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|2|0| / |0|6|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|1|8| / |0|9|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SVEMEYA557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DRAME Mariama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8211791K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|0|7|5|8|7|6|5|4|6|1|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mariama.kaba@hotmail.fr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GIANNESSI Alexandra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Plateforme CRE IDF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MAZOUZA Rachid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mazouza@bge-adil.eu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|2|0| / |0|6|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|1|8| / |0|9|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