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1C650">
      <w:pPr>
        <w:pStyle w:val="31"/>
        <w:keepNext/>
      </w:pPr>
      <w:r>
        <w:rPr>
          <w:rFonts w:ascii="微软雅黑" w:hAnsi="微软雅黑" w:eastAsia="微软雅黑"/>
          <w:b/>
          <w:i w:val="0"/>
          <w:color w:val="000000"/>
          <w:sz w:val="40"/>
        </w:rPr>
        <w:t>课程注册系统 设计文档</w:t>
      </w:r>
    </w:p>
    <w:p w14:paraId="2B045182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1. 设计概览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29E5A9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374" w:type="dxa"/>
            <w:shd w:val="clear" w:color="auto" w:fill="1F3864"/>
            <w:vAlign w:val="center"/>
          </w:tcPr>
          <w:p w14:paraId="56A697B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4813" w:type="dxa"/>
            <w:shd w:val="clear" w:color="auto" w:fill="1F3864"/>
            <w:vAlign w:val="center"/>
          </w:tcPr>
          <w:p w14:paraId="2D0B5D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设计结论</w:t>
            </w:r>
          </w:p>
        </w:tc>
        <w:tc>
          <w:tcPr>
            <w:tcW w:w="3225" w:type="dxa"/>
            <w:shd w:val="clear" w:color="auto" w:fill="1F3864"/>
            <w:vAlign w:val="center"/>
          </w:tcPr>
          <w:p w14:paraId="32AA637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09EFD6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CD267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架构风格</w:t>
            </w:r>
          </w:p>
        </w:tc>
        <w:tc>
          <w:tcPr>
            <w:tcW w:w="4813" w:type="dxa"/>
            <w:vAlign w:val="center"/>
          </w:tcPr>
          <w:p w14:paraId="0EDCB1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分层单体：页面层 → 路由/接口层 → 业务服务层 → 数据模型层 → 数据库</w:t>
            </w:r>
          </w:p>
        </w:tc>
        <w:tc>
          <w:tcPr>
            <w:tcW w:w="3225" w:type="dxa"/>
            <w:vAlign w:val="center"/>
          </w:tcPr>
          <w:p w14:paraId="6DCB1C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代码结构</w:t>
            </w:r>
          </w:p>
        </w:tc>
      </w:tr>
      <w:tr w14:paraId="738BA58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74" w:type="dxa"/>
            <w:shd w:val="clear" w:color="auto" w:fill="F2F5FA"/>
            <w:vAlign w:val="center"/>
          </w:tcPr>
          <w:p w14:paraId="5A34D6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部署形态</w:t>
            </w:r>
          </w:p>
        </w:tc>
        <w:tc>
          <w:tcPr>
            <w:tcW w:w="4813" w:type="dxa"/>
            <w:shd w:val="clear" w:color="auto" w:fill="F2F5FA"/>
            <w:vAlign w:val="center"/>
          </w:tcPr>
          <w:p w14:paraId="1A6CD0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浏览器访问的 B/S 系统；主应用与两个外部模拟系统、一个后台重试进程共 4 个进程</w:t>
            </w:r>
          </w:p>
        </w:tc>
        <w:tc>
          <w:tcPr>
            <w:tcW w:w="3225" w:type="dxa"/>
            <w:shd w:val="clear" w:color="auto" w:fill="F2F5FA"/>
            <w:vAlign w:val="center"/>
          </w:tcPr>
          <w:p w14:paraId="68F1615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scripts/run_demo.py</w:t>
            </w:r>
          </w:p>
        </w:tc>
      </w:tr>
      <w:tr w14:paraId="511F83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CD5A3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技术栈</w:t>
            </w:r>
          </w:p>
        </w:tc>
        <w:tc>
          <w:tcPr>
            <w:tcW w:w="4813" w:type="dxa"/>
            <w:vAlign w:val="center"/>
          </w:tcPr>
          <w:p w14:paraId="2F51E9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Python 3.12、FastAPI 0.116、SQLAlchemy 2.0、Alembic、Jinja2、MySQL 8／SQLite</w:t>
            </w:r>
          </w:p>
        </w:tc>
        <w:tc>
          <w:tcPr>
            <w:tcW w:w="3225" w:type="dxa"/>
            <w:vAlign w:val="center"/>
          </w:tcPr>
          <w:p w14:paraId="4278118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requirements.txt</w:t>
            </w:r>
          </w:p>
        </w:tc>
      </w:tr>
      <w:tr w14:paraId="08A204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74" w:type="dxa"/>
            <w:shd w:val="clear" w:color="auto" w:fill="F2F5FA"/>
            <w:vAlign w:val="center"/>
          </w:tcPr>
          <w:p w14:paraId="5E2A20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数据一致性</w:t>
            </w:r>
          </w:p>
        </w:tc>
        <w:tc>
          <w:tcPr>
            <w:tcW w:w="4813" w:type="dxa"/>
            <w:shd w:val="clear" w:color="auto" w:fill="F2F5FA"/>
            <w:vAlign w:val="center"/>
          </w:tcPr>
          <w:p w14:paraId="4766F6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悲观行锁 + 统一锁顺序 + 乐观版本号 + 数据库唯一约束/检查约束</w:t>
            </w:r>
          </w:p>
        </w:tc>
        <w:tc>
          <w:tcPr>
            <w:tcW w:w="3225" w:type="dxa"/>
            <w:shd w:val="clear" w:color="auto" w:fill="F2F5FA"/>
            <w:vAlign w:val="center"/>
          </w:tcPr>
          <w:p w14:paraId="0313F4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 设计说明</w:t>
            </w:r>
          </w:p>
        </w:tc>
      </w:tr>
      <w:tr w14:paraId="511ED4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0BE93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外部集成</w:t>
            </w:r>
          </w:p>
        </w:tc>
        <w:tc>
          <w:tcPr>
            <w:tcW w:w="4813" w:type="dxa"/>
            <w:vAlign w:val="center"/>
          </w:tcPr>
          <w:p w14:paraId="176C3D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目录系统只读、计费系统单向发送；两者都是独立进程，不导入主应用模型</w:t>
            </w:r>
          </w:p>
        </w:tc>
        <w:tc>
          <w:tcPr>
            <w:tcW w:w="3225" w:type="dxa"/>
            <w:vAlign w:val="center"/>
          </w:tcPr>
          <w:p w14:paraId="4DB2496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mock_catalog/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mock_billing/</w:t>
            </w:r>
          </w:p>
        </w:tc>
      </w:tr>
      <w:tr w14:paraId="26759E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74" w:type="dxa"/>
            <w:shd w:val="clear" w:color="auto" w:fill="F2F5FA"/>
            <w:vAlign w:val="center"/>
          </w:tcPr>
          <w:p w14:paraId="1EDA68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身份方案</w:t>
            </w:r>
          </w:p>
        </w:tc>
        <w:tc>
          <w:tcPr>
            <w:tcW w:w="4813" w:type="dxa"/>
            <w:shd w:val="clear" w:color="auto" w:fill="F2F5FA"/>
            <w:vAlign w:val="center"/>
          </w:tcPr>
          <w:p w14:paraId="027A96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服务端会话 + HttpOnly Cookie + CSRF 令牌 + 角色守卫</w:t>
            </w:r>
          </w:p>
        </w:tc>
        <w:tc>
          <w:tcPr>
            <w:tcW w:w="3225" w:type="dxa"/>
            <w:shd w:val="clear" w:color="auto" w:fill="F2F5FA"/>
            <w:vAlign w:val="center"/>
          </w:tcPr>
          <w:p w14:paraId="4CB091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 实现</w:t>
            </w:r>
          </w:p>
        </w:tc>
      </w:tr>
    </w:tbl>
    <w:p w14:paraId="1C5C8EAA">
      <w:pPr>
        <w:spacing w:after="80"/>
      </w:pPr>
    </w:p>
    <w:p w14:paraId="46A17AE9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设计目标：把"选课名额竞争""提交失败保留旧结果""关闭选课的一次性决策"三件事做成可验证的确定性行为，其余功能围绕这一核心展开。</w:t>
      </w:r>
    </w:p>
    <w:p w14:paraId="62380EA5">
      <w:pPr>
        <w:pStyle w:val="3"/>
        <w:keepNext w:val="0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2. 架构设计</w:t>
      </w:r>
    </w:p>
    <w:p w14:paraId="6AF5C262">
      <w:pPr>
        <w:pStyle w:val="4"/>
        <w:keepNext w:val="0"/>
      </w:pPr>
      <w:r>
        <w:rPr>
          <w:rFonts w:ascii="微软雅黑" w:hAnsi="微软雅黑" w:eastAsia="微软雅黑"/>
          <w:b/>
          <w:i w:val="0"/>
          <w:color w:val="000000"/>
          <w:sz w:val="25"/>
        </w:rPr>
        <w:t>2.1 分层与组件</w:t>
      </w:r>
    </w:p>
    <w:p w14:paraId="76CEFB30">
      <w:pPr>
        <w:keepNext/>
        <w:spacing w:before="120" w:after="80"/>
        <w:jc w:val="center"/>
      </w:pPr>
      <w:r>
        <w:drawing>
          <wp:inline distT="0" distB="0" distL="114300" distR="114300">
            <wp:extent cx="5034280" cy="7631430"/>
            <wp:effectExtent l="0" t="0" r="139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512" cy="7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5676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2-1  系统分层与组件架构图</w:t>
      </w:r>
    </w:p>
    <w:p w14:paraId="4E80B260">
      <w:pPr>
        <w:spacing w:after="120"/>
      </w:pPr>
      <w:r>
        <w:rPr>
          <w:rFonts w:ascii="宋体" w:hAnsi="宋体" w:eastAsia="宋体"/>
          <w:b/>
          <w:i w:val="0"/>
          <w:sz w:val="21"/>
        </w:rPr>
        <w:t>分层约束（成员 1 设定，成员 2–4 遵守）</w:t>
      </w:r>
    </w:p>
    <w:p w14:paraId="4B8A2358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1. </w:t>
      </w:r>
      <w:r>
        <w:rPr>
          <w:rFonts w:ascii="宋体" w:hAnsi="宋体" w:eastAsia="宋体"/>
          <w:b w:val="0"/>
          <w:i w:val="0"/>
          <w:sz w:val="21"/>
        </w:rPr>
        <w:t>页面只调用接口，</w:t>
      </w:r>
      <w:r>
        <w:rPr>
          <w:rFonts w:ascii="宋体" w:hAnsi="宋体" w:eastAsia="宋体"/>
          <w:b/>
          <w:i w:val="0"/>
          <w:sz w:val="21"/>
        </w:rPr>
        <w:t>不在页面复制业务校验</w:t>
      </w:r>
      <w:r>
        <w:rPr>
          <w:rFonts w:ascii="宋体" w:hAnsi="宋体" w:eastAsia="宋体"/>
          <w:b w:val="0"/>
          <w:i w:val="0"/>
          <w:sz w:val="21"/>
        </w:rPr>
        <w:t>；剩余名额以服务端结果为准。</w:t>
      </w:r>
    </w:p>
    <w:p w14:paraId="64460671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2. </w:t>
      </w:r>
      <w:r>
        <w:rPr>
          <w:rFonts w:ascii="宋体" w:hAnsi="宋体" w:eastAsia="宋体"/>
          <w:b w:val="0"/>
          <w:i w:val="0"/>
          <w:sz w:val="21"/>
        </w:rPr>
        <w:t xml:space="preserve">路由层只做参数解析、权限依赖与响应整理，业务规则集中在 </w:t>
      </w:r>
      <w:r>
        <w:rPr>
          <w:rFonts w:ascii="Consolas" w:hAnsi="Consolas" w:eastAsia="宋体"/>
          <w:b w:val="0"/>
          <w:i w:val="0"/>
          <w:color w:val="1F3864"/>
          <w:sz w:val="20"/>
        </w:rPr>
        <w:t>app/services/</w:t>
      </w:r>
      <w:r>
        <w:rPr>
          <w:rFonts w:ascii="宋体" w:hAnsi="宋体" w:eastAsia="宋体"/>
          <w:b w:val="0"/>
          <w:i w:val="0"/>
          <w:sz w:val="21"/>
        </w:rPr>
        <w:t>。</w:t>
      </w:r>
    </w:p>
    <w:p w14:paraId="28A6893B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3. </w:t>
      </w:r>
      <w:r>
        <w:rPr>
          <w:rFonts w:ascii="宋体" w:hAnsi="宋体" w:eastAsia="宋体"/>
          <w:b w:val="0"/>
          <w:i w:val="0"/>
          <w:sz w:val="21"/>
        </w:rPr>
        <w:t>所有写入口共用同一套锁顺序与冲突判定函数，避免同一规则出现多个版本（</w:t>
      </w:r>
      <w:r>
        <w:rPr>
          <w:rFonts w:ascii="Consolas" w:hAnsi="Consolas" w:eastAsia="宋体"/>
          <w:b w:val="0"/>
          <w:i w:val="0"/>
          <w:color w:val="1F3864"/>
          <w:sz w:val="20"/>
        </w:rPr>
        <w:t>teaching.py</w:t>
      </w:r>
      <w:r>
        <w:rPr>
          <w:rFonts w:ascii="宋体" w:hAnsi="宋体" w:eastAsia="宋体"/>
          <w:b w:val="0"/>
          <w:i w:val="0"/>
          <w:sz w:val="21"/>
        </w:rPr>
        <w:t xml:space="preserve"> 直接复用 </w:t>
      </w:r>
      <w:r>
        <w:rPr>
          <w:rFonts w:ascii="Consolas" w:hAnsi="Consolas" w:eastAsia="宋体"/>
          <w:b w:val="0"/>
          <w:i w:val="0"/>
          <w:color w:val="1F3864"/>
          <w:sz w:val="20"/>
        </w:rPr>
        <w:t>registration.py</w:t>
      </w:r>
      <w:r>
        <w:rPr>
          <w:rFonts w:ascii="宋体" w:hAnsi="宋体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宋体"/>
          <w:b w:val="0"/>
          <w:i w:val="0"/>
          <w:color w:val="1F3864"/>
          <w:sz w:val="20"/>
        </w:rPr>
        <w:t>lock_semester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require_open_semester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slots_conflict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passed_course_ids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 w14:paraId="4945E901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4. </w:t>
      </w:r>
      <w:r>
        <w:rPr>
          <w:rFonts w:ascii="宋体" w:hAnsi="宋体" w:eastAsia="宋体"/>
          <w:b w:val="0"/>
          <w:i w:val="0"/>
          <w:sz w:val="21"/>
        </w:rPr>
        <w:t xml:space="preserve">外部模拟系统不导入 </w:t>
      </w:r>
      <w:r>
        <w:rPr>
          <w:rFonts w:ascii="Consolas" w:hAnsi="Consolas" w:eastAsia="宋体"/>
          <w:b w:val="0"/>
          <w:i w:val="0"/>
          <w:color w:val="1F3864"/>
          <w:sz w:val="20"/>
        </w:rPr>
        <w:t>app</w:t>
      </w:r>
      <w:r>
        <w:rPr>
          <w:rFonts w:ascii="宋体" w:hAnsi="宋体" w:eastAsia="宋体"/>
          <w:b w:val="0"/>
          <w:i w:val="0"/>
          <w:sz w:val="21"/>
        </w:rPr>
        <w:t xml:space="preserve"> 下的任何模型，保证"外部系统"边界真实存在。</w:t>
      </w:r>
    </w:p>
    <w:p w14:paraId="657F815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2.2 运行时部署</w:t>
      </w:r>
    </w:p>
    <w:p w14:paraId="521AF8D6">
      <w:pPr>
        <w:keepNext/>
        <w:spacing w:before="120" w:after="80"/>
        <w:jc w:val="center"/>
      </w:pPr>
      <w:r>
        <w:drawing>
          <wp:inline distT="0" distB="0" distL="114300" distR="114300">
            <wp:extent cx="5832475" cy="2173605"/>
            <wp:effectExtent l="0" t="0" r="1587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620" cy="217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E462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2-2  运行时部署图</w:t>
      </w:r>
    </w:p>
    <w:p w14:paraId="0609387D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 xml:space="preserve">一键启动命令 </w:t>
      </w:r>
      <w:r>
        <w:rPr>
          <w:rFonts w:ascii="Consolas" w:hAnsi="Consolas" w:eastAsia="宋体"/>
          <w:b w:val="0"/>
          <w:i w:val="0"/>
          <w:color w:val="1F3864"/>
          <w:sz w:val="20"/>
        </w:rPr>
        <w:t>python -m scripts.run_demo</w:t>
      </w:r>
      <w:r>
        <w:rPr>
          <w:rFonts w:ascii="宋体" w:hAnsi="宋体" w:eastAsia="宋体"/>
          <w:b w:val="0"/>
          <w:i w:val="0"/>
          <w:sz w:val="21"/>
        </w:rPr>
        <w:t xml:space="preserve"> 依次执行：数据库迁移 → 初始化演示数据 → 启动目录服务、计费服务、后台重试进程、主应用。端口被占用时可整体改端口；日志写入 </w:t>
      </w:r>
      <w:r>
        <w:rPr>
          <w:rFonts w:ascii="Consolas" w:hAnsi="Consolas" w:eastAsia="宋体"/>
          <w:b w:val="0"/>
          <w:i w:val="0"/>
          <w:color w:val="1F3864"/>
          <w:sz w:val="20"/>
        </w:rPr>
        <w:t>tmp/run-demo-端口/</w:t>
      </w:r>
      <w:r>
        <w:rPr>
          <w:rFonts w:ascii="宋体" w:hAnsi="宋体" w:eastAsia="宋体"/>
          <w:b w:val="0"/>
          <w:i w:val="0"/>
          <w:sz w:val="21"/>
        </w:rPr>
        <w:t>。</w:t>
      </w:r>
    </w:p>
    <w:p w14:paraId="7A0FFA3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2.3 模块职责与负责人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4388E71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265" w:type="dxa"/>
            <w:shd w:val="clear" w:color="auto" w:fill="1F3864"/>
            <w:vAlign w:val="center"/>
          </w:tcPr>
          <w:p w14:paraId="4268B11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w="4014" w:type="dxa"/>
            <w:shd w:val="clear" w:color="auto" w:fill="1F3864"/>
            <w:vAlign w:val="center"/>
          </w:tcPr>
          <w:p w14:paraId="3F7A0CC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主要文件</w:t>
            </w:r>
          </w:p>
        </w:tc>
        <w:tc>
          <w:tcPr>
            <w:tcW w:w="1384" w:type="dxa"/>
            <w:shd w:val="clear" w:color="auto" w:fill="1F3864"/>
            <w:vAlign w:val="center"/>
          </w:tcPr>
          <w:p w14:paraId="6E1EF91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2749" w:type="dxa"/>
            <w:shd w:val="clear" w:color="auto" w:fill="1F3864"/>
            <w:vAlign w:val="center"/>
          </w:tcPr>
          <w:p w14:paraId="5EB690E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职责</w:t>
            </w:r>
          </w:p>
        </w:tc>
      </w:tr>
      <w:tr w14:paraId="4466346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vAlign w:val="center"/>
          </w:tcPr>
          <w:p w14:paraId="3FD8C3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选课与关闭核心</w:t>
            </w:r>
          </w:p>
        </w:tc>
        <w:tc>
          <w:tcPr>
            <w:tcW w:w="4014" w:type="dxa"/>
            <w:vAlign w:val="center"/>
          </w:tcPr>
          <w:p w14:paraId="6482028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  <w:tc>
          <w:tcPr>
            <w:tcW w:w="1384" w:type="dxa"/>
            <w:vAlign w:val="center"/>
          </w:tcPr>
          <w:p w14:paraId="737C74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2749" w:type="dxa"/>
            <w:vAlign w:val="center"/>
          </w:tcPr>
          <w:p w14:paraId="1F317C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草稿保存、正式提交、退课、删除、关闭选课、两轮替补、账单快照</w:t>
            </w:r>
          </w:p>
        </w:tc>
      </w:tr>
      <w:tr w14:paraId="38B35B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shd w:val="clear" w:color="auto" w:fill="F2F5FA"/>
            <w:vAlign w:val="center"/>
          </w:tcPr>
          <w:p w14:paraId="4A2A8A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应用组装</w:t>
            </w:r>
          </w:p>
        </w:tc>
        <w:tc>
          <w:tcPr>
            <w:tcW w:w="4014" w:type="dxa"/>
            <w:shd w:val="clear" w:color="auto" w:fill="F2F5FA"/>
            <w:vAlign w:val="center"/>
          </w:tcPr>
          <w:p w14:paraId="67D9B5D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app/main.py</w:t>
            </w:r>
          </w:p>
        </w:tc>
        <w:tc>
          <w:tcPr>
            <w:tcW w:w="1384" w:type="dxa"/>
            <w:shd w:val="clear" w:color="auto" w:fill="F2F5FA"/>
            <w:vAlign w:val="center"/>
          </w:tcPr>
          <w:p w14:paraId="2283F9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2749" w:type="dxa"/>
            <w:shd w:val="clear" w:color="auto" w:fill="F2F5FA"/>
            <w:vAlign w:val="center"/>
          </w:tcPr>
          <w:p w14:paraId="3FF808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选课与关闭 API、异常转换、路由与静态资源挂载</w:t>
            </w:r>
          </w:p>
        </w:tc>
      </w:tr>
      <w:tr w14:paraId="4DF41D4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vAlign w:val="center"/>
          </w:tcPr>
          <w:p w14:paraId="238FB8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选课页面数据</w:t>
            </w:r>
          </w:p>
        </w:tc>
        <w:tc>
          <w:tcPr>
            <w:tcW w:w="4014" w:type="dxa"/>
            <w:vAlign w:val="center"/>
          </w:tcPr>
          <w:p w14:paraId="5403B2C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app/routers/registration_pages.py</w:t>
            </w:r>
          </w:p>
        </w:tc>
        <w:tc>
          <w:tcPr>
            <w:tcW w:w="1384" w:type="dxa"/>
            <w:vAlign w:val="center"/>
          </w:tcPr>
          <w:p w14:paraId="72D9A3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2749" w:type="dxa"/>
            <w:vAlign w:val="center"/>
          </w:tcPr>
          <w:p w14:paraId="25F9F4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可选班次、草稿视图、关闭入口与关闭结果</w:t>
            </w:r>
          </w:p>
        </w:tc>
      </w:tr>
      <w:tr w14:paraId="36D27A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shd w:val="clear" w:color="auto" w:fill="F2F5FA"/>
            <w:vAlign w:val="center"/>
          </w:tcPr>
          <w:p w14:paraId="352FE5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页面与交互</w:t>
            </w:r>
          </w:p>
        </w:tc>
        <w:tc>
          <w:tcPr>
            <w:tcW w:w="4014" w:type="dxa"/>
            <w:shd w:val="clear" w:color="auto" w:fill="F2F5FA"/>
            <w:vAlign w:val="center"/>
          </w:tcPr>
          <w:p w14:paraId="5B77BD5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</w:t>
            </w:r>
          </w:p>
        </w:tc>
        <w:tc>
          <w:tcPr>
            <w:tcW w:w="1384" w:type="dxa"/>
            <w:shd w:val="clear" w:color="auto" w:fill="F2F5FA"/>
            <w:vAlign w:val="center"/>
          </w:tcPr>
          <w:p w14:paraId="4D0CCD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2749" w:type="dxa"/>
            <w:shd w:val="clear" w:color="auto" w:fill="F2F5FA"/>
            <w:vAlign w:val="center"/>
          </w:tcPr>
          <w:p w14:paraId="5CB14D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三种角色页面、样式、请求交互、名额轮询、版本冲突提示</w:t>
            </w:r>
          </w:p>
        </w:tc>
      </w:tr>
      <w:tr w14:paraId="00B43DF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vAlign w:val="center"/>
          </w:tcPr>
          <w:p w14:paraId="15802C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目录模拟</w:t>
            </w:r>
          </w:p>
        </w:tc>
        <w:tc>
          <w:tcPr>
            <w:tcW w:w="4014" w:type="dxa"/>
            <w:vAlign w:val="center"/>
          </w:tcPr>
          <w:p w14:paraId="1D2AD25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mock_catalog/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scripts/sync_catalog.py</w:t>
            </w:r>
          </w:p>
        </w:tc>
        <w:tc>
          <w:tcPr>
            <w:tcW w:w="1384" w:type="dxa"/>
            <w:vAlign w:val="center"/>
          </w:tcPr>
          <w:p w14:paraId="72B624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2749" w:type="dxa"/>
            <w:vAlign w:val="center"/>
          </w:tcPr>
          <w:p w14:paraId="5F4638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只读目录服务、目录数据、本地镜像同步</w:t>
            </w:r>
          </w:p>
        </w:tc>
      </w:tr>
      <w:tr w14:paraId="30BE63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shd w:val="clear" w:color="auto" w:fill="F2F5FA"/>
            <w:vAlign w:val="center"/>
          </w:tcPr>
          <w:p w14:paraId="712D6A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身份与会话</w:t>
            </w:r>
          </w:p>
        </w:tc>
        <w:tc>
          <w:tcPr>
            <w:tcW w:w="4014" w:type="dxa"/>
            <w:shd w:val="clear" w:color="auto" w:fill="F2F5FA"/>
            <w:vAlign w:val="center"/>
          </w:tcPr>
          <w:p w14:paraId="3F1C9E1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app/services/auth.py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app/auth_contract.py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app/routers/deps.py</w:t>
            </w:r>
          </w:p>
        </w:tc>
        <w:tc>
          <w:tcPr>
            <w:tcW w:w="1384" w:type="dxa"/>
            <w:shd w:val="clear" w:color="auto" w:fill="F2F5FA"/>
            <w:vAlign w:val="center"/>
          </w:tcPr>
          <w:p w14:paraId="286F1A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2749" w:type="dxa"/>
            <w:shd w:val="clear" w:color="auto" w:fill="F2F5FA"/>
            <w:vAlign w:val="center"/>
          </w:tcPr>
          <w:p w14:paraId="4FFDC9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密码哈希、登录、会话、改密、退出、CSRF、角色守卫</w:t>
            </w:r>
          </w:p>
        </w:tc>
      </w:tr>
      <w:tr w14:paraId="04832F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vAlign w:val="center"/>
          </w:tcPr>
          <w:p w14:paraId="6D5279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师生资料</w:t>
            </w:r>
          </w:p>
        </w:tc>
        <w:tc>
          <w:tcPr>
            <w:tcW w:w="4014" w:type="dxa"/>
            <w:vAlign w:val="center"/>
          </w:tcPr>
          <w:p w14:paraId="1AAFD58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web/web_routes.py</w:t>
            </w:r>
          </w:p>
        </w:tc>
        <w:tc>
          <w:tcPr>
            <w:tcW w:w="1384" w:type="dxa"/>
            <w:vAlign w:val="center"/>
          </w:tcPr>
          <w:p w14:paraId="0255F8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2749" w:type="dxa"/>
            <w:vAlign w:val="center"/>
          </w:tcPr>
          <w:p w14:paraId="221858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新增/查询/修改、编号分配、启停、重置密码、删除或停用</w:t>
            </w:r>
          </w:p>
        </w:tc>
      </w:tr>
      <w:tr w14:paraId="4B5979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shd w:val="clear" w:color="auto" w:fill="F2F5FA"/>
            <w:vAlign w:val="center"/>
          </w:tcPr>
          <w:p w14:paraId="2D9E0C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教师与成绩</w:t>
            </w:r>
          </w:p>
        </w:tc>
        <w:tc>
          <w:tcPr>
            <w:tcW w:w="4014" w:type="dxa"/>
            <w:shd w:val="clear" w:color="auto" w:fill="F2F5FA"/>
            <w:vAlign w:val="center"/>
          </w:tcPr>
          <w:p w14:paraId="19E3CD9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app/routers/teaching.py</w:t>
            </w:r>
          </w:p>
        </w:tc>
        <w:tc>
          <w:tcPr>
            <w:tcW w:w="1384" w:type="dxa"/>
            <w:shd w:val="clear" w:color="auto" w:fill="F2F5FA"/>
            <w:vAlign w:val="center"/>
          </w:tcPr>
          <w:p w14:paraId="5235ED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2749" w:type="dxa"/>
            <w:shd w:val="clear" w:color="auto" w:fill="F2F5FA"/>
            <w:vAlign w:val="center"/>
          </w:tcPr>
          <w:p w14:paraId="197A05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资格、可认领班次、认领/取消、名单、成绩与变更记录、学生成绩查询</w:t>
            </w:r>
          </w:p>
        </w:tc>
      </w:tr>
      <w:tr w14:paraId="26C70B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vAlign w:val="center"/>
          </w:tcPr>
          <w:p w14:paraId="4809E5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</w:t>
            </w:r>
          </w:p>
        </w:tc>
        <w:tc>
          <w:tcPr>
            <w:tcW w:w="4014" w:type="dxa"/>
            <w:vAlign w:val="center"/>
          </w:tcPr>
          <w:p w14:paraId="3F0A406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app/services/billing.py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mock_billing/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scripts/billing_retry_worker.py</w:t>
            </w:r>
          </w:p>
        </w:tc>
        <w:tc>
          <w:tcPr>
            <w:tcW w:w="1384" w:type="dxa"/>
            <w:vAlign w:val="center"/>
          </w:tcPr>
          <w:p w14:paraId="1D3285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2749" w:type="dxa"/>
            <w:vAlign w:val="center"/>
          </w:tcPr>
          <w:p w14:paraId="5CB1E3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账单快照发送、状态、失败分类重试、重排队、计费端去重</w:t>
            </w:r>
          </w:p>
        </w:tc>
      </w:tr>
      <w:tr w14:paraId="5932C6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65" w:type="dxa"/>
            <w:shd w:val="clear" w:color="auto" w:fill="F2F5FA"/>
            <w:vAlign w:val="center"/>
          </w:tcPr>
          <w:p w14:paraId="2FC817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学期判定</w:t>
            </w:r>
          </w:p>
        </w:tc>
        <w:tc>
          <w:tcPr>
            <w:tcW w:w="4014" w:type="dxa"/>
            <w:shd w:val="clear" w:color="auto" w:fill="F2F5FA"/>
            <w:vAlign w:val="center"/>
          </w:tcPr>
          <w:p w14:paraId="06C4190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app/services/semesters.py</w:t>
            </w:r>
          </w:p>
        </w:tc>
        <w:tc>
          <w:tcPr>
            <w:tcW w:w="1384" w:type="dxa"/>
            <w:shd w:val="clear" w:color="auto" w:fill="F2F5FA"/>
            <w:vAlign w:val="center"/>
          </w:tcPr>
          <w:p w14:paraId="073243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1、4 共用</w:t>
            </w:r>
          </w:p>
        </w:tc>
        <w:tc>
          <w:tcPr>
            <w:tcW w:w="2749" w:type="dxa"/>
            <w:shd w:val="clear" w:color="auto" w:fill="F2F5FA"/>
            <w:vAlign w:val="center"/>
          </w:tcPr>
          <w:p w14:paraId="1F11A8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"已完成学期"判定（关闭注册 ≠ 学期结束）</w:t>
            </w:r>
          </w:p>
        </w:tc>
      </w:tr>
    </w:tbl>
    <w:p w14:paraId="23F3A277">
      <w:pPr>
        <w:spacing w:after="80"/>
      </w:pPr>
    </w:p>
    <w:p w14:paraId="01FEEFF2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3. 用例图</w:t>
      </w:r>
    </w:p>
    <w:p w14:paraId="223ADE62">
      <w:pPr>
        <w:spacing w:after="120"/>
        <w:ind w:left="425"/>
      </w:pPr>
      <w:r>
        <w:rPr>
          <w:rFonts w:ascii="宋体" w:hAnsi="宋体" w:eastAsia="宋体"/>
          <w:b w:val="0"/>
          <w:i/>
          <w:color w:val="404040"/>
          <w:sz w:val="20"/>
        </w:rPr>
        <w:t>本图对应 PDF p6 的用例模型主图。图中用例编号与《需求分析文档》第 4 章、《需求目录》第 2 节一致。</w:t>
      </w:r>
    </w:p>
    <w:p w14:paraId="11B64646">
      <w:pPr>
        <w:keepNext/>
        <w:spacing w:before="120" w:after="80"/>
        <w:jc w:val="center"/>
      </w:pPr>
      <w:r>
        <w:drawing>
          <wp:inline distT="0" distB="0" distL="114300" distR="114300">
            <wp:extent cx="5832475" cy="2464435"/>
            <wp:effectExtent l="0" t="0" r="1587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620" cy="24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652E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3-1  课程注册系统用例图</w:t>
      </w:r>
    </w:p>
    <w:p w14:paraId="64E00A65">
      <w:pPr>
        <w:spacing w:after="120"/>
      </w:pPr>
      <w:r>
        <w:rPr>
          <w:rFonts w:ascii="宋体" w:hAnsi="宋体" w:eastAsia="宋体"/>
          <w:b/>
          <w:i w:val="0"/>
          <w:sz w:val="21"/>
        </w:rPr>
        <w:t>参与者—用例对应关系（与 PDF p6 一致）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0ED4A2F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527" w:type="dxa"/>
            <w:shd w:val="clear" w:color="auto" w:fill="1F3864"/>
            <w:vAlign w:val="center"/>
          </w:tcPr>
          <w:p w14:paraId="7B317D8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参与者</w:t>
            </w:r>
          </w:p>
        </w:tc>
        <w:tc>
          <w:tcPr>
            <w:tcW w:w="6885" w:type="dxa"/>
            <w:shd w:val="clear" w:color="auto" w:fill="1F3864"/>
            <w:vAlign w:val="center"/>
          </w:tcPr>
          <w:p w14:paraId="035A27E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用例</w:t>
            </w:r>
          </w:p>
        </w:tc>
      </w:tr>
      <w:tr w14:paraId="2E48A3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vAlign w:val="center"/>
          </w:tcPr>
          <w:p w14:paraId="13BFE2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</w:t>
            </w:r>
          </w:p>
        </w:tc>
        <w:tc>
          <w:tcPr>
            <w:tcW w:w="6885" w:type="dxa"/>
            <w:vAlign w:val="center"/>
          </w:tcPr>
          <w:p w14:paraId="5BC633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UC-2 登录、UC-5 选课登记、UC-8 查看成绩单</w:t>
            </w:r>
          </w:p>
        </w:tc>
      </w:tr>
      <w:tr w14:paraId="69678D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shd w:val="clear" w:color="auto" w:fill="F2F5FA"/>
            <w:vAlign w:val="center"/>
          </w:tcPr>
          <w:p w14:paraId="721913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w="6885" w:type="dxa"/>
            <w:shd w:val="clear" w:color="auto" w:fill="F2F5FA"/>
            <w:vAlign w:val="center"/>
          </w:tcPr>
          <w:p w14:paraId="0C3796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UC-2 登录、UC-6 选择授课课程、UC-7 成绩提交</w:t>
            </w:r>
          </w:p>
        </w:tc>
      </w:tr>
      <w:tr w14:paraId="541066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vAlign w:val="center"/>
          </w:tcPr>
          <w:p w14:paraId="6A9DE4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</w:t>
            </w:r>
          </w:p>
        </w:tc>
        <w:tc>
          <w:tcPr>
            <w:tcW w:w="6885" w:type="dxa"/>
            <w:vAlign w:val="center"/>
          </w:tcPr>
          <w:p w14:paraId="27489B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UC-2 登录、UC-3 维护教师信息、UC-4 维护学生信息、UC-1 关闭选课</w:t>
            </w:r>
          </w:p>
        </w:tc>
      </w:tr>
      <w:tr w14:paraId="250F7F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shd w:val="clear" w:color="auto" w:fill="F2F5FA"/>
            <w:vAlign w:val="center"/>
          </w:tcPr>
          <w:p w14:paraId="27BB43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</w:t>
            </w:r>
          </w:p>
        </w:tc>
        <w:tc>
          <w:tcPr>
            <w:tcW w:w="6885" w:type="dxa"/>
            <w:shd w:val="clear" w:color="auto" w:fill="F2F5FA"/>
            <w:vAlign w:val="center"/>
          </w:tcPr>
          <w:p w14:paraId="251C9E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为 UC-5、UC-6 提供课程目录数据（只读）</w:t>
            </w:r>
          </w:p>
        </w:tc>
      </w:tr>
      <w:tr w14:paraId="65E134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vAlign w:val="center"/>
          </w:tcPr>
          <w:p w14:paraId="12A5B5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计费系统</w:t>
            </w:r>
          </w:p>
        </w:tc>
        <w:tc>
          <w:tcPr>
            <w:tcW w:w="6885" w:type="dxa"/>
            <w:vAlign w:val="center"/>
          </w:tcPr>
          <w:p w14:paraId="6A4ECCA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 UC-1 中接收计费信息</w:t>
            </w:r>
          </w:p>
        </w:tc>
      </w:tr>
    </w:tbl>
    <w:p w14:paraId="138E3687">
      <w:pPr>
        <w:spacing w:after="80"/>
      </w:pPr>
    </w:p>
    <w:p w14:paraId="6EB3DC13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4. 实体关系图</w:t>
      </w:r>
    </w:p>
    <w:p w14:paraId="60CA0E7E">
      <w:pPr>
        <w:pStyle w:val="4"/>
        <w:keepNext/>
      </w:pPr>
      <w:bookmarkStart w:id="0" w:name="_GoBack"/>
      <w:bookmarkEnd w:id="0"/>
      <w:r>
        <w:rPr>
          <w:rFonts w:ascii="微软雅黑" w:hAnsi="微软雅黑" w:eastAsia="微软雅黑"/>
          <w:b/>
          <w:i w:val="0"/>
          <w:color w:val="000000"/>
          <w:sz w:val="25"/>
        </w:rPr>
        <w:t>4.1 实体关系图</w:t>
      </w:r>
    </w:p>
    <w:p w14:paraId="536F7C5D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整体关系较多，为保证可读性，先给出只含实体与关系的总览，再按业务域分四张图列出关键字段。字段的完整约束见 4.3 数据字典。</w:t>
      </w:r>
    </w:p>
    <w:p w14:paraId="7675D632">
      <w:pPr>
        <w:keepNext/>
        <w:spacing w:before="120" w:after="80"/>
        <w:jc w:val="center"/>
      </w:pPr>
      <w:r>
        <w:drawing>
          <wp:inline distT="0" distB="0" distL="114300" distR="114300">
            <wp:extent cx="5832475" cy="1798955"/>
            <wp:effectExtent l="0" t="0" r="1587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620" cy="179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14F7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4-1  实体关系总览</w:t>
      </w:r>
    </w:p>
    <w:p w14:paraId="3DFF7B8E">
      <w:pPr>
        <w:keepNext/>
        <w:spacing w:before="120" w:after="80"/>
        <w:jc w:val="center"/>
      </w:pPr>
      <w:r>
        <w:drawing>
          <wp:inline distT="0" distB="0" distL="114300" distR="114300">
            <wp:extent cx="5832475" cy="2192020"/>
            <wp:effectExtent l="0" t="0" r="1587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620" cy="219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1013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4-2  身份与人员实体</w:t>
      </w:r>
    </w:p>
    <w:p w14:paraId="03DB6111">
      <w:pPr>
        <w:keepNext/>
        <w:spacing w:before="120" w:after="80"/>
        <w:jc w:val="center"/>
      </w:pPr>
      <w:r>
        <w:drawing>
          <wp:inline distT="0" distB="0" distL="114300" distR="114300">
            <wp:extent cx="5832475" cy="5681980"/>
            <wp:effectExtent l="0" t="0" r="1587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620" cy="568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E7E2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4-3  课程与授课实体</w:t>
      </w:r>
    </w:p>
    <w:p w14:paraId="6930EC86">
      <w:pPr>
        <w:keepNext/>
        <w:spacing w:before="120" w:after="80"/>
        <w:jc w:val="center"/>
      </w:pPr>
      <w:r>
        <w:drawing>
          <wp:inline distT="0" distB="0" distL="114300" distR="114300">
            <wp:extent cx="5832475" cy="3813175"/>
            <wp:effectExtent l="0" t="0" r="1587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620" cy="38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D270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4-4  选课方案实体</w:t>
      </w:r>
    </w:p>
    <w:p w14:paraId="03A3DD6F">
      <w:pPr>
        <w:keepNext/>
        <w:spacing w:before="120" w:after="80"/>
        <w:jc w:val="center"/>
      </w:pPr>
      <w:r>
        <w:drawing>
          <wp:inline distT="0" distB="0" distL="114300" distR="114300">
            <wp:extent cx="5832475" cy="2860675"/>
            <wp:effectExtent l="0" t="0" r="15875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620" cy="286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5902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4-5  成绩与计费实体</w:t>
      </w:r>
    </w:p>
    <w:p w14:paraId="52DE77B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4.2 关键设计说明</w:t>
      </w:r>
    </w:p>
    <w:p w14:paraId="10507246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1. 草稿、正式主选、正式备选分成三张表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宋体"/>
          <w:b w:val="0"/>
          <w:i w:val="0"/>
          <w:color w:val="1F3864"/>
          <w:sz w:val="20"/>
        </w:rPr>
        <w:t>draft_choices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enrollments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formal_alternates</w:t>
      </w:r>
      <w:r>
        <w:rPr>
          <w:rFonts w:ascii="宋体" w:hAnsi="宋体" w:eastAsia="宋体"/>
          <w:b w:val="0"/>
          <w:i w:val="0"/>
          <w:sz w:val="21"/>
        </w:rPr>
        <w:t>）。原因：提交失败必须保留旧正式结果，单表状态机无法表达这一要求。三者的唯一约束分别作用于各自集合，因此同一班次可以同时出现在草稿与正式结果中。</w:t>
      </w:r>
    </w:p>
    <w:p w14:paraId="1CF30EAC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2. </w:t>
      </w:r>
      <w:r>
        <w:rPr>
          <w:rFonts w:ascii="Consolas" w:hAnsi="Consolas" w:eastAsia="宋体"/>
          <w:b/>
          <w:i w:val="0"/>
          <w:color w:val="1F3864"/>
          <w:sz w:val="20"/>
        </w:rPr>
        <w:t>enrollments</w:t>
      </w:r>
      <w:r>
        <w:rPr>
          <w:rFonts w:ascii="宋体" w:hAnsi="宋体" w:eastAsia="宋体"/>
          <w:b/>
          <w:i w:val="0"/>
          <w:sz w:val="21"/>
        </w:rPr>
        <w:t xml:space="preserve"> 冗余保存 </w:t>
      </w:r>
      <w:r>
        <w:rPr>
          <w:rFonts w:ascii="Consolas" w:hAnsi="Consolas" w:eastAsia="宋体"/>
          <w:b/>
          <w:i w:val="0"/>
          <w:color w:val="1F3864"/>
          <w:sz w:val="20"/>
        </w:rPr>
        <w:t>course_id</w:t>
      </w:r>
      <w:r>
        <w:rPr>
          <w:rFonts w:ascii="宋体" w:hAnsi="宋体" w:eastAsia="宋体"/>
          <w:b w:val="0"/>
          <w:i w:val="0"/>
          <w:sz w:val="21"/>
        </w:rPr>
        <w:t xml:space="preserve">，并设置 </w:t>
      </w:r>
      <w:r>
        <w:rPr>
          <w:rFonts w:ascii="Consolas" w:hAnsi="Consolas" w:eastAsia="宋体"/>
          <w:b w:val="0"/>
          <w:i w:val="0"/>
          <w:color w:val="1F3864"/>
          <w:sz w:val="20"/>
        </w:rPr>
        <w:t>(schedule_id, course_id)</w:t>
      </w:r>
      <w:r>
        <w:rPr>
          <w:rFonts w:ascii="宋体" w:hAnsi="宋体" w:eastAsia="宋体"/>
          <w:b w:val="0"/>
          <w:i w:val="0"/>
          <w:sz w:val="21"/>
        </w:rPr>
        <w:t xml:space="preserve"> 唯一约束，使"同一课程不能有两个正式班次"由数据库层强制保证，而不只依赖应用校验。</w:t>
      </w:r>
    </w:p>
    <w:p w14:paraId="16E9032C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3. 容量约束下沉到数据库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color w:val="1F3864"/>
          <w:sz w:val="20"/>
        </w:rPr>
        <w:t>capacity</w:t>
      </w:r>
      <w:r>
        <w:rPr>
          <w:rFonts w:ascii="宋体" w:hAnsi="宋体" w:eastAsia="宋体"/>
          <w:b w:val="0"/>
          <w:i w:val="0"/>
          <w:sz w:val="21"/>
        </w:rPr>
        <w:t xml:space="preserve"> 上设 </w:t>
      </w:r>
      <w:r>
        <w:rPr>
          <w:rFonts w:ascii="Consolas" w:hAnsi="Consolas" w:eastAsia="宋体"/>
          <w:b w:val="0"/>
          <w:i w:val="0"/>
          <w:color w:val="1F3864"/>
          <w:sz w:val="20"/>
        </w:rPr>
        <w:t>1 ≤ capacity ≤ 10</w:t>
      </w:r>
      <w:r>
        <w:rPr>
          <w:rFonts w:ascii="宋体" w:hAnsi="宋体" w:eastAsia="宋体"/>
          <w:b w:val="0"/>
          <w:i w:val="0"/>
          <w:sz w:val="21"/>
        </w:rPr>
        <w:t xml:space="preserve"> 检查约束，同时应用层再校验剩余名额。</w:t>
      </w:r>
    </w:p>
    <w:p w14:paraId="08AE90C5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4. </w:t>
      </w:r>
      <w:r>
        <w:rPr>
          <w:rFonts w:ascii="Consolas" w:hAnsi="Consolas" w:eastAsia="宋体"/>
          <w:b/>
          <w:i w:val="0"/>
          <w:color w:val="1F3864"/>
          <w:sz w:val="20"/>
        </w:rPr>
        <w:t>schedule.version</w:t>
      </w:r>
      <w:r>
        <w:rPr>
          <w:rFonts w:ascii="宋体" w:hAnsi="宋体" w:eastAsia="宋体"/>
          <w:b/>
          <w:i w:val="0"/>
          <w:sz w:val="21"/>
        </w:rPr>
        <w:t xml:space="preserve"> 是乐观版本号</w:t>
      </w:r>
      <w:r>
        <w:rPr>
          <w:rFonts w:ascii="宋体" w:hAnsi="宋体" w:eastAsia="宋体"/>
          <w:b w:val="0"/>
          <w:i w:val="0"/>
          <w:sz w:val="21"/>
        </w:rPr>
        <w:t>，用于防止两个页面并发编辑时旧页面把已退课程静默选回。</w:t>
      </w:r>
    </w:p>
    <w:p w14:paraId="29EB7A8C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5. </w:t>
      </w:r>
      <w:r>
        <w:rPr>
          <w:rFonts w:ascii="Consolas" w:hAnsi="Consolas" w:eastAsia="宋体"/>
          <w:b/>
          <w:i w:val="0"/>
          <w:color w:val="1F3864"/>
          <w:sz w:val="20"/>
        </w:rPr>
        <w:t>billing_jobs</w:t>
      </w:r>
      <w:r>
        <w:rPr>
          <w:rFonts w:ascii="宋体" w:hAnsi="宋体" w:eastAsia="宋体"/>
          <w:b/>
          <w:i w:val="0"/>
          <w:sz w:val="21"/>
        </w:rPr>
        <w:t xml:space="preserve"> 保存金额与课表 JSON 快照</w:t>
      </w:r>
      <w:r>
        <w:rPr>
          <w:rFonts w:ascii="宋体" w:hAnsi="宋体" w:eastAsia="宋体"/>
          <w:b w:val="0"/>
          <w:i w:val="0"/>
          <w:sz w:val="21"/>
        </w:rPr>
        <w:t>，发送端只读快照，不重新查询课程费用；</w:t>
      </w:r>
      <w:r>
        <w:rPr>
          <w:rFonts w:ascii="Consolas" w:hAnsi="Consolas" w:eastAsia="宋体"/>
          <w:b w:val="0"/>
          <w:i w:val="0"/>
          <w:color w:val="1F3864"/>
          <w:sz w:val="20"/>
        </w:rPr>
        <w:t>(semester_id, student_id)</w:t>
      </w:r>
      <w:r>
        <w:rPr>
          <w:rFonts w:ascii="宋体" w:hAnsi="宋体" w:eastAsia="宋体"/>
          <w:b w:val="0"/>
          <w:i w:val="0"/>
          <w:sz w:val="21"/>
        </w:rPr>
        <w:t xml:space="preserve"> 唯一，保证一次关闭只产生一份账单。</w:t>
      </w:r>
    </w:p>
    <w:p w14:paraId="3E2F37B6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6. </w:t>
      </w:r>
      <w:r>
        <w:rPr>
          <w:rFonts w:ascii="Consolas" w:hAnsi="Consolas" w:eastAsia="宋体"/>
          <w:b/>
          <w:i w:val="0"/>
          <w:color w:val="1F3864"/>
          <w:sz w:val="20"/>
        </w:rPr>
        <w:t>accounts.subject_id</w:t>
      </w:r>
      <w:r>
        <w:rPr>
          <w:rFonts w:ascii="宋体" w:hAnsi="宋体" w:eastAsia="宋体"/>
          <w:b/>
          <w:i w:val="0"/>
          <w:sz w:val="21"/>
        </w:rPr>
        <w:t xml:space="preserve"> 是软引用</w:t>
      </w:r>
      <w:r>
        <w:rPr>
          <w:rFonts w:ascii="宋体" w:hAnsi="宋体" w:eastAsia="宋体"/>
          <w:b w:val="0"/>
          <w:i w:val="0"/>
          <w:sz w:val="21"/>
        </w:rPr>
        <w:t xml:space="preserve">（不建外键），指向学生或教师档案，由 </w:t>
      </w:r>
      <w:r>
        <w:rPr>
          <w:rFonts w:ascii="Consolas" w:hAnsi="Consolas" w:eastAsia="宋体"/>
          <w:b w:val="0"/>
          <w:i w:val="0"/>
          <w:color w:val="1F3864"/>
          <w:sz w:val="20"/>
        </w:rPr>
        <w:t>role</w:t>
      </w:r>
      <w:r>
        <w:rPr>
          <w:rFonts w:ascii="宋体" w:hAnsi="宋体" w:eastAsia="宋体"/>
          <w:b w:val="0"/>
          <w:i w:val="0"/>
          <w:sz w:val="21"/>
        </w:rPr>
        <w:t xml:space="preserve"> 决定指向哪张表；这样注册员账号可以没有对应档案。</w:t>
      </w:r>
    </w:p>
    <w:p w14:paraId="3DCCDFB6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7. </w:t>
      </w:r>
      <w:r>
        <w:rPr>
          <w:rFonts w:ascii="Consolas" w:hAnsi="Consolas" w:eastAsia="宋体"/>
          <w:b/>
          <w:i w:val="0"/>
          <w:color w:val="1F3864"/>
          <w:sz w:val="20"/>
        </w:rPr>
        <w:t>login_number_sequences</w:t>
      </w:r>
      <w:r>
        <w:rPr>
          <w:rFonts w:ascii="宋体" w:hAnsi="宋体" w:eastAsia="宋体"/>
          <w:b/>
          <w:i w:val="0"/>
          <w:sz w:val="21"/>
        </w:rPr>
        <w:t xml:space="preserve"> 以行锁分配编号</w:t>
      </w:r>
      <w:r>
        <w:rPr>
          <w:rFonts w:ascii="宋体" w:hAnsi="宋体" w:eastAsia="宋体"/>
          <w:b w:val="0"/>
          <w:i w:val="0"/>
          <w:sz w:val="21"/>
        </w:rPr>
        <w:t>，删除人员后编号不复用。</w:t>
      </w:r>
    </w:p>
    <w:p w14:paraId="47B90D38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8. </w:t>
      </w:r>
      <w:r>
        <w:rPr>
          <w:rFonts w:ascii="Consolas" w:hAnsi="Consolas" w:eastAsia="宋体"/>
          <w:b/>
          <w:i w:val="0"/>
          <w:color w:val="1F3864"/>
          <w:sz w:val="20"/>
        </w:rPr>
        <w:t>semesters.status</w:t>
      </w:r>
      <w:r>
        <w:rPr>
          <w:rFonts w:ascii="宋体" w:hAnsi="宋体" w:eastAsia="宋体"/>
          <w:b/>
          <w:i w:val="0"/>
          <w:sz w:val="21"/>
        </w:rPr>
        <w:t xml:space="preserve"> 与 </w:t>
      </w:r>
      <w:r>
        <w:rPr>
          <w:rFonts w:ascii="Consolas" w:hAnsi="Consolas" w:eastAsia="宋体"/>
          <w:b/>
          <w:i w:val="0"/>
          <w:color w:val="1F3864"/>
          <w:sz w:val="20"/>
        </w:rPr>
        <w:t>ends_on</w:t>
      </w:r>
      <w:r>
        <w:rPr>
          <w:rFonts w:ascii="宋体" w:hAnsi="宋体" w:eastAsia="宋体"/>
          <w:b/>
          <w:i w:val="0"/>
          <w:sz w:val="21"/>
        </w:rPr>
        <w:t xml:space="preserve"> 是两件事</w:t>
      </w:r>
      <w:r>
        <w:rPr>
          <w:rFonts w:ascii="宋体" w:hAnsi="宋体" w:eastAsia="宋体"/>
          <w:b w:val="0"/>
          <w:i w:val="0"/>
          <w:sz w:val="21"/>
        </w:rPr>
        <w:t>：关闭注册只改状态；只有"状态已关闭且结束日期早于今天"才视为已完成学期，才能录入成绩或用于先修判定。</w:t>
      </w:r>
    </w:p>
    <w:p w14:paraId="765200F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4.3 数据字典（表清单）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686F3F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856" w:type="dxa"/>
            <w:shd w:val="clear" w:color="auto" w:fill="1F3864"/>
            <w:vAlign w:val="center"/>
          </w:tcPr>
          <w:p w14:paraId="32818A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表</w:t>
            </w:r>
          </w:p>
        </w:tc>
        <w:tc>
          <w:tcPr>
            <w:tcW w:w="1514" w:type="dxa"/>
            <w:shd w:val="clear" w:color="auto" w:fill="1F3864"/>
            <w:vAlign w:val="center"/>
          </w:tcPr>
          <w:p w14:paraId="0A8F835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中文名</w:t>
            </w:r>
          </w:p>
        </w:tc>
        <w:tc>
          <w:tcPr>
            <w:tcW w:w="5042" w:type="dxa"/>
            <w:shd w:val="clear" w:color="auto" w:fill="1F3864"/>
            <w:vAlign w:val="center"/>
          </w:tcPr>
          <w:p w14:paraId="71F0874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关键唯一约束 / 检查约束</w:t>
            </w:r>
          </w:p>
        </w:tc>
      </w:tr>
      <w:tr w14:paraId="6223EE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24A59E6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students</w:t>
            </w:r>
          </w:p>
        </w:tc>
        <w:tc>
          <w:tcPr>
            <w:tcW w:w="1514" w:type="dxa"/>
            <w:vAlign w:val="center"/>
          </w:tcPr>
          <w:p w14:paraId="24182A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学生档案</w:t>
            </w:r>
          </w:p>
        </w:tc>
        <w:tc>
          <w:tcPr>
            <w:tcW w:w="5042" w:type="dxa"/>
            <w:vAlign w:val="center"/>
          </w:tcPr>
          <w:p w14:paraId="714E0E8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student_number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2E05A4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6E9BF10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teachers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0B7F1F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教师档案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059AC51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teacher_number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5AE21E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41AF27E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accounts</w:t>
            </w:r>
          </w:p>
        </w:tc>
        <w:tc>
          <w:tcPr>
            <w:tcW w:w="1514" w:type="dxa"/>
            <w:vAlign w:val="center"/>
          </w:tcPr>
          <w:p w14:paraId="2A82C4B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登录账号</w:t>
            </w:r>
          </w:p>
        </w:tc>
        <w:tc>
          <w:tcPr>
            <w:tcW w:w="5042" w:type="dxa"/>
            <w:vAlign w:val="center"/>
          </w:tcPr>
          <w:p w14:paraId="6D68C06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login_number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601218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6D56F27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server_sessions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3B95B0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服务端会话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046ACF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主键为会话 ID；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account_id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建索引</w:t>
            </w:r>
          </w:p>
        </w:tc>
      </w:tr>
      <w:tr w14:paraId="4C901F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2598CC2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semesters</w:t>
            </w:r>
          </w:p>
        </w:tc>
        <w:tc>
          <w:tcPr>
            <w:tcW w:w="1514" w:type="dxa"/>
            <w:vAlign w:val="center"/>
          </w:tcPr>
          <w:p w14:paraId="4384EC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学期</w:t>
            </w:r>
          </w:p>
        </w:tc>
        <w:tc>
          <w:tcPr>
            <w:tcW w:w="5042" w:type="dxa"/>
            <w:vAlign w:val="center"/>
          </w:tcPr>
          <w:p w14:paraId="08EB8E4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code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6B0C0D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1485D2B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courses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6158F9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6B2B907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code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595F4F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59B9764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course_prerequisites</w:t>
            </w:r>
          </w:p>
        </w:tc>
        <w:tc>
          <w:tcPr>
            <w:tcW w:w="1514" w:type="dxa"/>
            <w:vAlign w:val="center"/>
          </w:tcPr>
          <w:p w14:paraId="7237E9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课程先修</w:t>
            </w:r>
          </w:p>
        </w:tc>
        <w:tc>
          <w:tcPr>
            <w:tcW w:w="5042" w:type="dxa"/>
            <w:vAlign w:val="center"/>
          </w:tcPr>
          <w:p w14:paraId="1D84E0B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(course_id, prerequisite_course_id)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733C5C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685FF2F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offerings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7122DC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课程班次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569E61C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(semester_id, course_id, section_number)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唯一；容量 1–10</w:t>
            </w:r>
          </w:p>
        </w:tc>
      </w:tr>
      <w:tr w14:paraId="7CF5B1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2E70A2F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offering_slots</w:t>
            </w:r>
          </w:p>
        </w:tc>
        <w:tc>
          <w:tcPr>
            <w:tcW w:w="1514" w:type="dxa"/>
            <w:vAlign w:val="center"/>
          </w:tcPr>
          <w:p w14:paraId="60F96B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上课时段</w:t>
            </w:r>
          </w:p>
        </w:tc>
        <w:tc>
          <w:tcPr>
            <w:tcW w:w="5042" w:type="dxa"/>
            <w:vAlign w:val="center"/>
          </w:tcPr>
          <w:p w14:paraId="32BCAE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星期 1–7；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end_period ≥ start_period</w:t>
            </w:r>
          </w:p>
        </w:tc>
      </w:tr>
      <w:tr w14:paraId="675FE0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178D0AE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schedules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125DC7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选课方案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67E75B8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(student_id, semester_id)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4DC53A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5985F8E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draft_choices</w:t>
            </w:r>
          </w:p>
        </w:tc>
        <w:tc>
          <w:tcPr>
            <w:tcW w:w="1514" w:type="dxa"/>
            <w:vAlign w:val="center"/>
          </w:tcPr>
          <w:p w14:paraId="4A1B2E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草稿明细</w:t>
            </w:r>
          </w:p>
        </w:tc>
        <w:tc>
          <w:tcPr>
            <w:tcW w:w="5042" w:type="dxa"/>
            <w:vAlign w:val="center"/>
          </w:tcPr>
          <w:p w14:paraId="344A64F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(schedule_id, offering_id)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(schedule_id, alternate_priority)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460563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20FD9A7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enrollments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08D35E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正式主选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060397F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(schedule_id, offering_id)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(schedule_id, course_id)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1520B1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790E53E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formal_alternates</w:t>
            </w:r>
          </w:p>
        </w:tc>
        <w:tc>
          <w:tcPr>
            <w:tcW w:w="1514" w:type="dxa"/>
            <w:vAlign w:val="center"/>
          </w:tcPr>
          <w:p w14:paraId="2A086A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正式备选</w:t>
            </w:r>
          </w:p>
        </w:tc>
        <w:tc>
          <w:tcPr>
            <w:tcW w:w="5042" w:type="dxa"/>
            <w:vAlign w:val="center"/>
          </w:tcPr>
          <w:p w14:paraId="46E0CD9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(schedule_id, offering_id)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(schedule_id, priority)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19EF36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5244DD3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grades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71675D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2A4F610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(student_id, offering_id)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6D005F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0FF2B62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grade_changes</w:t>
            </w:r>
          </w:p>
        </w:tc>
        <w:tc>
          <w:tcPr>
            <w:tcW w:w="1514" w:type="dxa"/>
            <w:vAlign w:val="center"/>
          </w:tcPr>
          <w:p w14:paraId="40DF10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成绩变更记录</w:t>
            </w:r>
          </w:p>
        </w:tc>
        <w:tc>
          <w:tcPr>
            <w:tcW w:w="5042" w:type="dxa"/>
            <w:vAlign w:val="center"/>
          </w:tcPr>
          <w:p w14:paraId="64FC8A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追加式，不覆盖历史</w:t>
            </w:r>
          </w:p>
        </w:tc>
      </w:tr>
      <w:tr w14:paraId="696205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12B513F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teacher_qualifications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79422B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教师授课资格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72ECF57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(teacher_id, course_id)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1CB8D9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vAlign w:val="center"/>
          </w:tcPr>
          <w:p w14:paraId="1A994FF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billing_jobs</w:t>
            </w:r>
          </w:p>
        </w:tc>
        <w:tc>
          <w:tcPr>
            <w:tcW w:w="1514" w:type="dxa"/>
            <w:vAlign w:val="center"/>
          </w:tcPr>
          <w:p w14:paraId="16C595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账单任务</w:t>
            </w:r>
          </w:p>
        </w:tc>
        <w:tc>
          <w:tcPr>
            <w:tcW w:w="5042" w:type="dxa"/>
            <w:vAlign w:val="center"/>
          </w:tcPr>
          <w:p w14:paraId="23DE2BC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(semester_id, student_id)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</w:t>
            </w:r>
          </w:p>
        </w:tc>
      </w:tr>
      <w:tr w14:paraId="65E78E0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6" w:type="dxa"/>
            <w:shd w:val="clear" w:color="auto" w:fill="F2F5FA"/>
            <w:vAlign w:val="center"/>
          </w:tcPr>
          <w:p w14:paraId="7E0469C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login_number_sequences</w:t>
            </w:r>
          </w:p>
        </w:tc>
        <w:tc>
          <w:tcPr>
            <w:tcW w:w="1514" w:type="dxa"/>
            <w:shd w:val="clear" w:color="auto" w:fill="F2F5FA"/>
            <w:vAlign w:val="center"/>
          </w:tcPr>
          <w:p w14:paraId="352D29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编号序列</w:t>
            </w:r>
          </w:p>
        </w:tc>
        <w:tc>
          <w:tcPr>
            <w:tcW w:w="5042" w:type="dxa"/>
            <w:shd w:val="clear" w:color="auto" w:fill="F2F5FA"/>
            <w:vAlign w:val="center"/>
          </w:tcPr>
          <w:p w14:paraId="574DFE3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prefix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为主键</w:t>
            </w:r>
          </w:p>
        </w:tc>
      </w:tr>
    </w:tbl>
    <w:p w14:paraId="301BCA75">
      <w:pPr>
        <w:spacing w:after="80"/>
      </w:pPr>
    </w:p>
    <w:p w14:paraId="7E2924D7">
      <w:pPr>
        <w:pStyle w:val="3"/>
        <w:keepNext w:val="0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5. 核心流程图</w:t>
      </w:r>
    </w:p>
    <w:p w14:paraId="6AA23678">
      <w:pPr>
        <w:pStyle w:val="4"/>
        <w:keepNext w:val="0"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5.1 学生提交选课方案（</w:t>
      </w:r>
      <w:r>
        <w:rPr>
          <w:rFonts w:ascii="Consolas" w:hAnsi="Consolas" w:eastAsia="微软雅黑"/>
          <w:b/>
          <w:i w:val="0"/>
          <w:color w:val="000000"/>
          <w:sz w:val="24"/>
        </w:rPr>
        <w:t>submit_schedule</w:t>
      </w:r>
      <w:r>
        <w:rPr>
          <w:rFonts w:ascii="微软雅黑" w:hAnsi="微软雅黑" w:eastAsia="微软雅黑"/>
          <w:b/>
          <w:i w:val="0"/>
          <w:color w:val="000000"/>
          <w:sz w:val="25"/>
        </w:rPr>
        <w:t>）</w:t>
      </w:r>
    </w:p>
    <w:p w14:paraId="029C3AED">
      <w:pPr>
        <w:keepNext/>
        <w:spacing w:before="120" w:after="80"/>
        <w:jc w:val="center"/>
      </w:pPr>
      <w:r>
        <w:drawing>
          <wp:inline distT="0" distB="0" distL="114300" distR="114300">
            <wp:extent cx="1822450" cy="7631430"/>
            <wp:effectExtent l="0" t="0" r="635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2682" cy="7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7D0D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5-1  学生提交选课流程图</w:t>
      </w:r>
    </w:p>
    <w:p w14:paraId="0F18005D">
      <w:pPr>
        <w:spacing w:after="120"/>
      </w:pPr>
      <w:r>
        <w:rPr>
          <w:rFonts w:ascii="宋体" w:hAnsi="宋体" w:eastAsia="宋体"/>
          <w:b/>
          <w:i w:val="0"/>
          <w:sz w:val="21"/>
        </w:rPr>
        <w:t>说明</w:t>
      </w:r>
      <w:r>
        <w:rPr>
          <w:rFonts w:ascii="宋体" w:hAnsi="宋体" w:eastAsia="宋体"/>
          <w:b w:val="0"/>
          <w:i w:val="0"/>
          <w:sz w:val="21"/>
        </w:rPr>
        <w:t xml:space="preserve">：名额检查在加锁后以 </w:t>
      </w:r>
      <w:r>
        <w:rPr>
          <w:rFonts w:ascii="Consolas" w:hAnsi="Consolas" w:eastAsia="宋体"/>
          <w:b w:val="0"/>
          <w:i w:val="0"/>
          <w:color w:val="1F3864"/>
          <w:sz w:val="20"/>
        </w:rPr>
        <w:t>SELECT ... FOR UPDATE</w:t>
      </w:r>
      <w:r>
        <w:rPr>
          <w:rFonts w:ascii="宋体" w:hAnsi="宋体" w:eastAsia="宋体"/>
          <w:b w:val="0"/>
          <w:i w:val="0"/>
          <w:sz w:val="21"/>
        </w:rPr>
        <w:t xml:space="preserve"> 统计最新结果，因此并发争抢最后一个名额时至多一人成功。</w:t>
      </w:r>
    </w:p>
    <w:p w14:paraId="70A38D75">
      <w:pPr>
        <w:pStyle w:val="4"/>
        <w:keepNext w:val="0"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5.2 关闭选课与两轮替补（</w:t>
      </w:r>
      <w:r>
        <w:rPr>
          <w:rFonts w:ascii="Consolas" w:hAnsi="Consolas" w:eastAsia="微软雅黑"/>
          <w:b/>
          <w:i w:val="0"/>
          <w:color w:val="000000"/>
          <w:sz w:val="24"/>
        </w:rPr>
        <w:t>close_registration</w:t>
      </w:r>
      <w:r>
        <w:rPr>
          <w:rFonts w:ascii="微软雅黑" w:hAnsi="微软雅黑" w:eastAsia="微软雅黑"/>
          <w:b/>
          <w:i w:val="0"/>
          <w:color w:val="000000"/>
          <w:sz w:val="25"/>
        </w:rPr>
        <w:t>）</w:t>
      </w:r>
    </w:p>
    <w:p w14:paraId="206E5F25">
      <w:pPr>
        <w:keepNext/>
        <w:spacing w:before="120" w:after="80"/>
        <w:jc w:val="center"/>
      </w:pPr>
      <w:r>
        <w:drawing>
          <wp:inline distT="0" distB="0" distL="114300" distR="114300">
            <wp:extent cx="1619250" cy="76314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581" cy="7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70F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5-2  关闭选课与两轮替补流程图</w:t>
      </w:r>
    </w:p>
    <w:p w14:paraId="56AA9888">
      <w:pPr>
        <w:spacing w:after="120"/>
      </w:pPr>
      <w:r>
        <w:rPr>
          <w:rFonts w:ascii="宋体" w:hAnsi="宋体" w:eastAsia="宋体"/>
          <w:b/>
          <w:i w:val="0"/>
          <w:sz w:val="21"/>
        </w:rPr>
        <w:t>替补校验</w:t>
      </w:r>
      <w:r>
        <w:rPr>
          <w:rFonts w:ascii="宋体" w:hAnsi="宋体" w:eastAsia="宋体"/>
          <w:b w:val="0"/>
          <w:i w:val="0"/>
          <w:sz w:val="21"/>
        </w:rPr>
        <w:t>（每一步都执行）：班次状态为开放、教师存在、未满员、同课程未重复、与已选班次无时间冲突、先修满足。任一条不满足就跳过该备选，继续尝试下一个。</w:t>
      </w:r>
    </w:p>
    <w:p w14:paraId="4675117F">
      <w:pPr>
        <w:spacing w:after="120"/>
      </w:pPr>
      <w:r>
        <w:rPr>
          <w:rFonts w:ascii="宋体" w:hAnsi="宋体" w:eastAsia="宋体"/>
          <w:b/>
          <w:i w:val="0"/>
          <w:sz w:val="21"/>
        </w:rPr>
        <w:t>关键规则</w:t>
      </w:r>
      <w:r>
        <w:rPr>
          <w:rFonts w:ascii="宋体" w:hAnsi="宋体" w:eastAsia="宋体"/>
          <w:b w:val="0"/>
          <w:i w:val="0"/>
          <w:sz w:val="21"/>
        </w:rPr>
        <w:t>：主动退课不产生"待补空缺"，因此不会被自动补回；已取消的班次不复活；两轮结束即关闭，不产生无限循环。</w:t>
      </w:r>
    </w:p>
    <w:p w14:paraId="183F5F2A">
      <w:pPr>
        <w:pStyle w:val="4"/>
        <w:keepNext w:val="0"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5.3 教师认领授课（</w:t>
      </w:r>
      <w:r>
        <w:rPr>
          <w:rFonts w:ascii="Consolas" w:hAnsi="Consolas" w:eastAsia="微软雅黑"/>
          <w:b/>
          <w:i w:val="0"/>
          <w:color w:val="000000"/>
          <w:sz w:val="24"/>
        </w:rPr>
        <w:t>claim_offering</w:t>
      </w:r>
      <w:r>
        <w:rPr>
          <w:rFonts w:ascii="微软雅黑" w:hAnsi="微软雅黑" w:eastAsia="微软雅黑"/>
          <w:b/>
          <w:i w:val="0"/>
          <w:color w:val="000000"/>
          <w:sz w:val="25"/>
        </w:rPr>
        <w:t>）</w:t>
      </w:r>
    </w:p>
    <w:p w14:paraId="1DE3BC86">
      <w:pPr>
        <w:keepNext/>
        <w:spacing w:before="120" w:after="80"/>
        <w:jc w:val="center"/>
      </w:pPr>
      <w:r>
        <w:drawing>
          <wp:inline distT="0" distB="0" distL="114300" distR="114300">
            <wp:extent cx="2847340" cy="7631430"/>
            <wp:effectExtent l="0" t="0" r="1016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7718" cy="7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BDA8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5-3  教师认领授课流程图</w:t>
      </w:r>
    </w:p>
    <w:p w14:paraId="34667969">
      <w:pPr>
        <w:pStyle w:val="4"/>
        <w:keepNext w:val="0"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5.4 成绩录入与变更记录（</w:t>
      </w:r>
      <w:r>
        <w:rPr>
          <w:rFonts w:ascii="Consolas" w:hAnsi="Consolas" w:eastAsia="微软雅黑"/>
          <w:b/>
          <w:i w:val="0"/>
          <w:color w:val="000000"/>
          <w:sz w:val="24"/>
        </w:rPr>
        <w:t>save_offering_grades</w:t>
      </w:r>
      <w:r>
        <w:rPr>
          <w:rFonts w:ascii="微软雅黑" w:hAnsi="微软雅黑" w:eastAsia="微软雅黑"/>
          <w:b/>
          <w:i w:val="0"/>
          <w:color w:val="000000"/>
          <w:sz w:val="25"/>
        </w:rPr>
        <w:t>）</w:t>
      </w:r>
    </w:p>
    <w:p w14:paraId="10891EBA">
      <w:pPr>
        <w:keepNext/>
        <w:spacing w:before="120" w:after="80"/>
        <w:jc w:val="center"/>
      </w:pPr>
      <w:r>
        <w:drawing>
          <wp:inline distT="0" distB="0" distL="114300" distR="114300">
            <wp:extent cx="2553970" cy="7631430"/>
            <wp:effectExtent l="0" t="0" r="1778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4015" cy="7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F8BD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5-4  成绩录入与变更记录流程图</w:t>
      </w:r>
    </w:p>
    <w:p w14:paraId="0E88D4C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5.5 账单发送与重试状态机（</w:t>
      </w:r>
      <w:r>
        <w:rPr>
          <w:rFonts w:ascii="Consolas" w:hAnsi="Consolas" w:eastAsia="微软雅黑"/>
          <w:b/>
          <w:i w:val="0"/>
          <w:color w:val="000000"/>
          <w:sz w:val="24"/>
        </w:rPr>
        <w:t>dispatch_pending_jobs</w:t>
      </w:r>
      <w:r>
        <w:rPr>
          <w:rFonts w:ascii="微软雅黑" w:hAnsi="微软雅黑" w:eastAsia="微软雅黑"/>
          <w:b/>
          <w:i w:val="0"/>
          <w:color w:val="000000"/>
          <w:sz w:val="25"/>
        </w:rPr>
        <w:t>）</w:t>
      </w:r>
    </w:p>
    <w:p w14:paraId="1BC66A3B">
      <w:pPr>
        <w:keepNext/>
        <w:spacing w:before="120" w:after="80"/>
        <w:jc w:val="center"/>
      </w:pPr>
      <w:r>
        <w:drawing>
          <wp:inline distT="0" distB="0" distL="114300" distR="114300">
            <wp:extent cx="5832475" cy="6283960"/>
            <wp:effectExtent l="0" t="0" r="158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620" cy="62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F237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5-5  账单发送与重试状态图</w:t>
      </w:r>
    </w:p>
    <w:p w14:paraId="648D4848">
      <w:pPr>
        <w:pStyle w:val="4"/>
        <w:keepNext w:val="0"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5.6 登录与会话（</w:t>
      </w:r>
      <w:r>
        <w:rPr>
          <w:rFonts w:ascii="Consolas" w:hAnsi="Consolas" w:eastAsia="微软雅黑"/>
          <w:b/>
          <w:i w:val="0"/>
          <w:color w:val="000000"/>
          <w:sz w:val="24"/>
        </w:rPr>
        <w:t>authenticate_user</w:t>
      </w:r>
      <w:r>
        <w:rPr>
          <w:rFonts w:ascii="微软雅黑" w:hAnsi="微软雅黑" w:eastAsia="微软雅黑"/>
          <w:b/>
          <w:i w:val="0"/>
          <w:color w:val="000000"/>
          <w:sz w:val="25"/>
        </w:rPr>
        <w:t xml:space="preserve"> → </w:t>
      </w:r>
      <w:r>
        <w:rPr>
          <w:rFonts w:ascii="Consolas" w:hAnsi="Consolas" w:eastAsia="微软雅黑"/>
          <w:b/>
          <w:i w:val="0"/>
          <w:color w:val="000000"/>
          <w:sz w:val="24"/>
        </w:rPr>
        <w:t>get_session_account</w:t>
      </w:r>
      <w:r>
        <w:rPr>
          <w:rFonts w:ascii="微软雅黑" w:hAnsi="微软雅黑" w:eastAsia="微软雅黑"/>
          <w:b/>
          <w:i w:val="0"/>
          <w:color w:val="000000"/>
          <w:sz w:val="25"/>
        </w:rPr>
        <w:t>）</w:t>
      </w:r>
    </w:p>
    <w:p w14:paraId="116B652C">
      <w:pPr>
        <w:keepNext/>
        <w:spacing w:before="120" w:after="80"/>
        <w:jc w:val="center"/>
      </w:pPr>
      <w:r>
        <w:drawing>
          <wp:inline distT="0" distB="0" distL="114300" distR="114300">
            <wp:extent cx="4493895" cy="7631430"/>
            <wp:effectExtent l="0" t="0" r="190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4447" cy="7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75FD">
      <w:pPr>
        <w:spacing w:after="200"/>
        <w:jc w:val="center"/>
      </w:pPr>
      <w:r>
        <w:rPr>
          <w:rFonts w:ascii="微软雅黑" w:hAnsi="微软雅黑" w:eastAsia="微软雅黑"/>
          <w:b/>
          <w:i w:val="0"/>
          <w:sz w:val="19"/>
        </w:rPr>
        <w:t>图 5-6  登录与会话校验流程图</w:t>
      </w:r>
    </w:p>
    <w:p w14:paraId="4C7EF8D2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6. 接口设计</w:t>
      </w:r>
    </w:p>
    <w:p w14:paraId="638F26A6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 xml:space="preserve">接口的完整字段与示例以 </w:t>
      </w:r>
      <w:r>
        <w:rPr>
          <w:rFonts w:ascii="Consolas" w:hAnsi="Consolas" w:eastAsia="宋体"/>
          <w:b w:val="0"/>
          <w:i w:val="0"/>
          <w:color w:val="1F3864"/>
          <w:sz w:val="20"/>
        </w:rPr>
        <w:t>docs/接口说明.md</w:t>
      </w:r>
      <w:r>
        <w:rPr>
          <w:rFonts w:ascii="宋体" w:hAnsi="宋体" w:eastAsia="宋体"/>
          <w:b w:val="0"/>
          <w:i w:val="0"/>
          <w:sz w:val="21"/>
        </w:rPr>
        <w:t xml:space="preserve"> 与运行后的 </w:t>
      </w:r>
      <w:r>
        <w:rPr>
          <w:rFonts w:ascii="Consolas" w:hAnsi="Consolas" w:eastAsia="宋体"/>
          <w:b w:val="0"/>
          <w:i w:val="0"/>
          <w:color w:val="1F3864"/>
          <w:sz w:val="20"/>
        </w:rPr>
        <w:t>/docs</w:t>
      </w:r>
      <w:r>
        <w:rPr>
          <w:rFonts w:ascii="宋体" w:hAnsi="宋体" w:eastAsia="宋体"/>
          <w:b w:val="0"/>
          <w:i w:val="0"/>
          <w:sz w:val="21"/>
        </w:rPr>
        <w:t xml:space="preserve"> 为准。下表为主线入口。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59FC09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457" w:type="dxa"/>
            <w:shd w:val="clear" w:color="auto" w:fill="1F3864"/>
            <w:vAlign w:val="center"/>
          </w:tcPr>
          <w:p w14:paraId="1E1DA4A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分类</w:t>
            </w:r>
          </w:p>
        </w:tc>
        <w:tc>
          <w:tcPr>
            <w:tcW w:w="5383" w:type="dxa"/>
            <w:shd w:val="clear" w:color="auto" w:fill="1F3864"/>
            <w:vAlign w:val="center"/>
          </w:tcPr>
          <w:p w14:paraId="5F89F0D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方法与路径</w:t>
            </w:r>
          </w:p>
        </w:tc>
        <w:tc>
          <w:tcPr>
            <w:tcW w:w="2572" w:type="dxa"/>
            <w:shd w:val="clear" w:color="auto" w:fill="1F3864"/>
            <w:vAlign w:val="center"/>
          </w:tcPr>
          <w:p w14:paraId="177B0D6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B70B2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2006A0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健康检查</w:t>
            </w:r>
          </w:p>
        </w:tc>
        <w:tc>
          <w:tcPr>
            <w:tcW w:w="5383" w:type="dxa"/>
            <w:vAlign w:val="center"/>
          </w:tcPr>
          <w:p w14:paraId="10AFAF8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/health</w:t>
            </w:r>
          </w:p>
        </w:tc>
        <w:tc>
          <w:tcPr>
            <w:tcW w:w="2572" w:type="dxa"/>
            <w:vAlign w:val="center"/>
          </w:tcPr>
          <w:p w14:paraId="6398B1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返回服务状态</w:t>
            </w:r>
          </w:p>
        </w:tc>
      </w:tr>
      <w:tr w14:paraId="7C095C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0C665E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认证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1376A5D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/api/v1/auth/login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5468D3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建立会话并写 Cookie</w:t>
            </w:r>
          </w:p>
        </w:tc>
      </w:tr>
      <w:tr w14:paraId="73AF42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45048E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认证</w:t>
            </w:r>
          </w:p>
        </w:tc>
        <w:tc>
          <w:tcPr>
            <w:tcW w:w="5383" w:type="dxa"/>
            <w:vAlign w:val="center"/>
          </w:tcPr>
          <w:p w14:paraId="1932EF1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/api/v1/auth/change-password</w:t>
            </w:r>
          </w:p>
        </w:tc>
        <w:tc>
          <w:tcPr>
            <w:tcW w:w="2572" w:type="dxa"/>
            <w:vAlign w:val="center"/>
          </w:tcPr>
          <w:p w14:paraId="3C17F3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改密并撤销全部旧会话</w:t>
            </w:r>
          </w:p>
        </w:tc>
      </w:tr>
      <w:tr w14:paraId="489993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1FA652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认证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30BC399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/api/v1/auth/logout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7A6E25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退出当前会话</w:t>
            </w:r>
          </w:p>
        </w:tc>
      </w:tr>
      <w:tr w14:paraId="696FD4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2C2C95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学生方案</w:t>
            </w:r>
          </w:p>
        </w:tc>
        <w:tc>
          <w:tcPr>
            <w:tcW w:w="5383" w:type="dxa"/>
            <w:vAlign w:val="center"/>
          </w:tcPr>
          <w:p w14:paraId="2EBE784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/semesters/{id}/schedule</w:t>
            </w:r>
          </w:p>
        </w:tc>
        <w:tc>
          <w:tcPr>
            <w:tcW w:w="2572" w:type="dxa"/>
            <w:vAlign w:val="center"/>
          </w:tcPr>
          <w:p w14:paraId="2CB7D6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读取草稿、正式主选、正式备选与版本号</w:t>
            </w:r>
          </w:p>
        </w:tc>
      </w:tr>
      <w:tr w14:paraId="1E7898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67C1BA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学生方案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06F8DF5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PUT /semesters/{id}/schedule/draft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4160DC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保存完整草稿，不占名额</w:t>
            </w:r>
          </w:p>
        </w:tc>
      </w:tr>
      <w:tr w14:paraId="48B678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1136D6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学生方案</w:t>
            </w:r>
          </w:p>
        </w:tc>
        <w:tc>
          <w:tcPr>
            <w:tcW w:w="5383" w:type="dxa"/>
            <w:vAlign w:val="center"/>
          </w:tcPr>
          <w:p w14:paraId="759A6E2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/semesters/{id}/schedule/submit</w:t>
            </w:r>
          </w:p>
        </w:tc>
        <w:tc>
          <w:tcPr>
            <w:tcW w:w="2572" w:type="dxa"/>
            <w:vAlign w:val="center"/>
          </w:tcPr>
          <w:p w14:paraId="3CF4B1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整体提交当前草稿</w:t>
            </w:r>
          </w:p>
        </w:tc>
      </w:tr>
      <w:tr w14:paraId="33EDA2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40C5A8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学生方案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2D5ACD8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DELETE /semesters/{id}/schedule/offerings/{offering_id}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4964CA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单独退课</w:t>
            </w:r>
          </w:p>
        </w:tc>
      </w:tr>
      <w:tr w14:paraId="1883DC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6F19AE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学生方案</w:t>
            </w:r>
          </w:p>
        </w:tc>
        <w:tc>
          <w:tcPr>
            <w:tcW w:w="5383" w:type="dxa"/>
            <w:vAlign w:val="center"/>
          </w:tcPr>
          <w:p w14:paraId="192A7D1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DELETE /semesters/{id}/schedule</w:t>
            </w:r>
          </w:p>
        </w:tc>
        <w:tc>
          <w:tcPr>
            <w:tcW w:w="2572" w:type="dxa"/>
            <w:vAlign w:val="center"/>
          </w:tcPr>
          <w:p w14:paraId="3DE706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确认后删除整份方案</w:t>
            </w:r>
          </w:p>
        </w:tc>
      </w:tr>
      <w:tr w14:paraId="15EBDE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4335CB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选课页面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2AD5DA0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/api/v1/student/available-sections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2111F8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页面的可选班次数据</w:t>
            </w:r>
          </w:p>
        </w:tc>
      </w:tr>
      <w:tr w14:paraId="57F807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668EDC5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</w:t>
            </w:r>
          </w:p>
        </w:tc>
        <w:tc>
          <w:tcPr>
            <w:tcW w:w="5383" w:type="dxa"/>
            <w:vAlign w:val="center"/>
          </w:tcPr>
          <w:p w14:paraId="33B5C6C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/api/v1/admin/registration/close</w:t>
            </w:r>
          </w:p>
        </w:tc>
        <w:tc>
          <w:tcPr>
            <w:tcW w:w="2572" w:type="dxa"/>
            <w:vAlign w:val="center"/>
          </w:tcPr>
          <w:p w14:paraId="7F26C4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教务关闭，含确认文字</w:t>
            </w:r>
          </w:p>
        </w:tc>
      </w:tr>
      <w:tr w14:paraId="41C40C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70B740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关闭结果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12F230D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/api/v1/admin/registration/closing-status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23EDF5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关闭结果与账单汇总</w:t>
            </w:r>
          </w:p>
        </w:tc>
      </w:tr>
      <w:tr w14:paraId="54C88C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04B1D1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人员管理</w:t>
            </w:r>
          </w:p>
        </w:tc>
        <w:tc>
          <w:tcPr>
            <w:tcW w:w="5383" w:type="dxa"/>
            <w:vAlign w:val="center"/>
          </w:tcPr>
          <w:p w14:paraId="61E4245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GET/POST/PATCH/DELETE /api/v1/admin/users[...]</w:t>
            </w:r>
          </w:p>
        </w:tc>
        <w:tc>
          <w:tcPr>
            <w:tcW w:w="2572" w:type="dxa"/>
            <w:vAlign w:val="center"/>
          </w:tcPr>
          <w:p w14:paraId="45E27EE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师生资料、启停、重置密码、删除或停用</w:t>
            </w:r>
          </w:p>
        </w:tc>
      </w:tr>
      <w:tr w14:paraId="61785E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093BA8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55D993C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/api/v1/teacher/offerings/claimable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/mine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19DC88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可认领与本人授课</w:t>
            </w:r>
          </w:p>
        </w:tc>
      </w:tr>
      <w:tr w14:paraId="7E51D1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72E9CC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w="5383" w:type="dxa"/>
            <w:vAlign w:val="center"/>
          </w:tcPr>
          <w:p w14:paraId="633CD83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/api/v1/teacher/offerings/{id}/claim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/release</w:t>
            </w:r>
          </w:p>
        </w:tc>
        <w:tc>
          <w:tcPr>
            <w:tcW w:w="2572" w:type="dxa"/>
            <w:vAlign w:val="center"/>
          </w:tcPr>
          <w:p w14:paraId="588139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认领与取消</w:t>
            </w:r>
          </w:p>
        </w:tc>
      </w:tr>
      <w:tr w14:paraId="2BB59E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3475B1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1BE0F3E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GET/PUT /api/v1/teacher/offerings/{id}/grades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59DCBB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名单与成绩录入</w:t>
            </w:r>
          </w:p>
        </w:tc>
      </w:tr>
      <w:tr w14:paraId="67CA887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6F3E0B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</w:t>
            </w:r>
          </w:p>
        </w:tc>
        <w:tc>
          <w:tcPr>
            <w:tcW w:w="5383" w:type="dxa"/>
            <w:vAlign w:val="center"/>
          </w:tcPr>
          <w:p w14:paraId="5A50435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/api/v1/teacher/offerings/{id}/grade-changes</w:t>
            </w:r>
          </w:p>
        </w:tc>
        <w:tc>
          <w:tcPr>
            <w:tcW w:w="2572" w:type="dxa"/>
            <w:vAlign w:val="center"/>
          </w:tcPr>
          <w:p w14:paraId="766529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变更记录</w:t>
            </w:r>
          </w:p>
        </w:tc>
      </w:tr>
      <w:tr w14:paraId="67C0F7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4494BA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0DC5149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/api/v1/student/me/grades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66ABFA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学生本人成绩</w:t>
            </w:r>
          </w:p>
        </w:tc>
      </w:tr>
      <w:tr w14:paraId="54175F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7E4607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</w:t>
            </w:r>
          </w:p>
        </w:tc>
        <w:tc>
          <w:tcPr>
            <w:tcW w:w="5383" w:type="dxa"/>
            <w:vAlign w:val="center"/>
          </w:tcPr>
          <w:p w14:paraId="4D392E0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/api/v1/registrar/billing/jobs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/summary</w:t>
            </w:r>
          </w:p>
        </w:tc>
        <w:tc>
          <w:tcPr>
            <w:tcW w:w="2572" w:type="dxa"/>
            <w:vAlign w:val="center"/>
          </w:tcPr>
          <w:p w14:paraId="2903AE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账单状态查询</w:t>
            </w:r>
          </w:p>
        </w:tc>
      </w:tr>
      <w:tr w14:paraId="3A5B32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457" w:type="dxa"/>
            <w:shd w:val="clear" w:color="auto" w:fill="F2F5FA"/>
            <w:vAlign w:val="center"/>
          </w:tcPr>
          <w:p w14:paraId="3F5917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67B95A3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/api/v1/registrar/billing/dispatch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/jobs/{id}/retry</w:t>
            </w:r>
          </w:p>
        </w:tc>
        <w:tc>
          <w:tcPr>
            <w:tcW w:w="2572" w:type="dxa"/>
            <w:shd w:val="clear" w:color="auto" w:fill="F2F5FA"/>
            <w:vAlign w:val="center"/>
          </w:tcPr>
          <w:p w14:paraId="19BF54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手动发送与重新排队</w:t>
            </w:r>
          </w:p>
        </w:tc>
      </w:tr>
    </w:tbl>
    <w:p w14:paraId="37BB490C">
      <w:pPr>
        <w:spacing w:after="80"/>
      </w:pPr>
    </w:p>
    <w:p w14:paraId="77C17DF3">
      <w:pPr>
        <w:spacing w:after="120"/>
      </w:pPr>
      <w:r>
        <w:rPr>
          <w:rFonts w:ascii="宋体" w:hAnsi="宋体" w:eastAsia="宋体"/>
          <w:b/>
          <w:i w:val="0"/>
          <w:sz w:val="21"/>
        </w:rPr>
        <w:t>统一错误格式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color w:val="1F3864"/>
          <w:sz w:val="20"/>
        </w:rPr>
        <w:t>{"detail": "可直接展示给用户的原因"}</w:t>
      </w:r>
      <w:r>
        <w:rPr>
          <w:rFonts w:ascii="宋体" w:hAnsi="宋体" w:eastAsia="宋体"/>
          <w:b w:val="0"/>
          <w:i w:val="0"/>
          <w:sz w:val="21"/>
        </w:rPr>
        <w:t>。常见状态码：401 未登录或会话失效、403 权限不足或首次未改密、404 资源不存在、409 业务冲突（含版本冲突与关闭繁忙）、422 参数或业务取值非法、503 外部目录不可用。</w:t>
      </w:r>
    </w:p>
    <w:p w14:paraId="664A7934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7. 并发与一致性设计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5F0F95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854" w:type="dxa"/>
            <w:shd w:val="clear" w:color="auto" w:fill="1F3864"/>
            <w:vAlign w:val="center"/>
          </w:tcPr>
          <w:p w14:paraId="3E1AD62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机制</w:t>
            </w:r>
          </w:p>
        </w:tc>
        <w:tc>
          <w:tcPr>
            <w:tcW w:w="2712" w:type="dxa"/>
            <w:shd w:val="clear" w:color="auto" w:fill="1F3864"/>
            <w:vAlign w:val="center"/>
          </w:tcPr>
          <w:p w14:paraId="7C0B93E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解决的问题</w:t>
            </w:r>
          </w:p>
        </w:tc>
        <w:tc>
          <w:tcPr>
            <w:tcW w:w="3846" w:type="dxa"/>
            <w:shd w:val="clear" w:color="auto" w:fill="1F3864"/>
            <w:vAlign w:val="center"/>
          </w:tcPr>
          <w:p w14:paraId="6E524DE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实现位置</w:t>
            </w:r>
          </w:p>
        </w:tc>
      </w:tr>
      <w:tr w14:paraId="781F3A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4" w:type="dxa"/>
            <w:vAlign w:val="center"/>
          </w:tcPr>
          <w:p w14:paraId="381325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统一锁顺序：学期 → 业务主体 → 班次 ID 升序</w:t>
            </w:r>
          </w:p>
        </w:tc>
        <w:tc>
          <w:tcPr>
            <w:tcW w:w="2712" w:type="dxa"/>
            <w:vAlign w:val="center"/>
          </w:tcPr>
          <w:p w14:paraId="27C8CA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避免不同入口以不同顺序加锁造成死锁</w:t>
            </w:r>
          </w:p>
        </w:tc>
        <w:tc>
          <w:tcPr>
            <w:tcW w:w="3846" w:type="dxa"/>
            <w:vAlign w:val="center"/>
          </w:tcPr>
          <w:p w14:paraId="697FBEC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teaching.py</w:t>
            </w:r>
          </w:p>
        </w:tc>
      </w:tr>
      <w:tr w14:paraId="22012C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4" w:type="dxa"/>
            <w:shd w:val="clear" w:color="auto" w:fill="F2F5FA"/>
            <w:vAlign w:val="center"/>
          </w:tcPr>
          <w:p w14:paraId="097B1E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学期共享锁 +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require_open</w:t>
            </w:r>
          </w:p>
        </w:tc>
        <w:tc>
          <w:tcPr>
            <w:tcW w:w="2712" w:type="dxa"/>
            <w:shd w:val="clear" w:color="auto" w:fill="F2F5FA"/>
            <w:vAlign w:val="center"/>
          </w:tcPr>
          <w:p w14:paraId="167952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选课/授课与关闭互斥</w:t>
            </w:r>
          </w:p>
        </w:tc>
        <w:tc>
          <w:tcPr>
            <w:tcW w:w="3846" w:type="dxa"/>
            <w:shd w:val="clear" w:color="auto" w:fill="F2F5FA"/>
            <w:vAlign w:val="center"/>
          </w:tcPr>
          <w:p w14:paraId="2F6B3F3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_lock_semester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require_open_semester</w:t>
            </w:r>
          </w:p>
        </w:tc>
      </w:tr>
      <w:tr w14:paraId="1E8882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4" w:type="dxa"/>
            <w:vAlign w:val="center"/>
          </w:tcPr>
          <w:p w14:paraId="26BEAB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关闭时学期排他锁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NOWAIT</w:t>
            </w:r>
          </w:p>
        </w:tc>
        <w:tc>
          <w:tcPr>
            <w:tcW w:w="2712" w:type="dxa"/>
            <w:vAlign w:val="center"/>
          </w:tcPr>
          <w:p w14:paraId="3FFA3E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有进行中事务时立即失败并提示重试，不长时间阻塞</w:t>
            </w:r>
          </w:p>
        </w:tc>
        <w:tc>
          <w:tcPr>
            <w:tcW w:w="3846" w:type="dxa"/>
            <w:vAlign w:val="center"/>
          </w:tcPr>
          <w:p w14:paraId="037B2CC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_lock_semester(exclusive=True)</w:t>
            </w:r>
          </w:p>
        </w:tc>
      </w:tr>
      <w:tr w14:paraId="64BD20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4" w:type="dxa"/>
            <w:shd w:val="clear" w:color="auto" w:fill="F2F5FA"/>
            <w:vAlign w:val="center"/>
          </w:tcPr>
          <w:p w14:paraId="360F4C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班次行锁 + 加锁后当前读统计人数</w:t>
            </w:r>
          </w:p>
        </w:tc>
        <w:tc>
          <w:tcPr>
            <w:tcW w:w="2712" w:type="dxa"/>
            <w:shd w:val="clear" w:color="auto" w:fill="F2F5FA"/>
            <w:vAlign w:val="center"/>
          </w:tcPr>
          <w:p w14:paraId="294494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防止并发争抢最后一个名额时超额</w:t>
            </w:r>
          </w:p>
        </w:tc>
        <w:tc>
          <w:tcPr>
            <w:tcW w:w="3846" w:type="dxa"/>
            <w:shd w:val="clear" w:color="auto" w:fill="F2F5FA"/>
            <w:vAlign w:val="center"/>
          </w:tcPr>
          <w:p w14:paraId="39DD22E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_validate_primaries</w:t>
            </w:r>
          </w:p>
        </w:tc>
      </w:tr>
      <w:tr w14:paraId="6EB6B6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4" w:type="dxa"/>
            <w:vAlign w:val="center"/>
          </w:tcPr>
          <w:p w14:paraId="68E1DD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乐观版本号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schedule.version</w:t>
            </w:r>
          </w:p>
        </w:tc>
        <w:tc>
          <w:tcPr>
            <w:tcW w:w="2712" w:type="dxa"/>
            <w:vAlign w:val="center"/>
          </w:tcPr>
          <w:p w14:paraId="07AAF7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防止旧页面覆盖新状态</w:t>
            </w:r>
          </w:p>
        </w:tc>
        <w:tc>
          <w:tcPr>
            <w:tcW w:w="3846" w:type="dxa"/>
            <w:vAlign w:val="center"/>
          </w:tcPr>
          <w:p w14:paraId="5FE3D5B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_check_version</w:t>
            </w:r>
          </w:p>
        </w:tc>
      </w:tr>
      <w:tr w14:paraId="6BBDFA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4" w:type="dxa"/>
            <w:shd w:val="clear" w:color="auto" w:fill="F2F5FA"/>
            <w:vAlign w:val="center"/>
          </w:tcPr>
          <w:p w14:paraId="488549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数据库唯一约束</w:t>
            </w:r>
          </w:p>
        </w:tc>
        <w:tc>
          <w:tcPr>
            <w:tcW w:w="2712" w:type="dxa"/>
            <w:shd w:val="clear" w:color="auto" w:fill="F2F5FA"/>
            <w:vAlign w:val="center"/>
          </w:tcPr>
          <w:p w14:paraId="4209EE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兜底阻止同一课程两个正式班次、重复账单、重复成绩</w:t>
            </w:r>
          </w:p>
        </w:tc>
        <w:tc>
          <w:tcPr>
            <w:tcW w:w="3846" w:type="dxa"/>
            <w:shd w:val="clear" w:color="auto" w:fill="F2F5FA"/>
            <w:vAlign w:val="center"/>
          </w:tcPr>
          <w:p w14:paraId="1F6B601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app/models.py</w:t>
            </w:r>
          </w:p>
        </w:tc>
      </w:tr>
      <w:tr w14:paraId="532B6B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4" w:type="dxa"/>
            <w:vAlign w:val="center"/>
          </w:tcPr>
          <w:p w14:paraId="541B46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关闭事务内固定账单快照</w:t>
            </w:r>
          </w:p>
        </w:tc>
        <w:tc>
          <w:tcPr>
            <w:tcW w:w="2712" w:type="dxa"/>
            <w:vAlign w:val="center"/>
          </w:tcPr>
          <w:p w14:paraId="4B801E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发送端不重算金额，重试结果稳定</w:t>
            </w:r>
          </w:p>
        </w:tc>
        <w:tc>
          <w:tcPr>
            <w:tcW w:w="3846" w:type="dxa"/>
            <w:vAlign w:val="center"/>
          </w:tcPr>
          <w:p w14:paraId="46BF5E3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close_registration</w:t>
            </w:r>
          </w:p>
        </w:tc>
      </w:tr>
      <w:tr w14:paraId="73788D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4" w:type="dxa"/>
            <w:shd w:val="clear" w:color="auto" w:fill="F2F5FA"/>
            <w:vAlign w:val="center"/>
          </w:tcPr>
          <w:p w14:paraId="395C42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两阶段派发（先认领再发送）</w:t>
            </w:r>
          </w:p>
        </w:tc>
        <w:tc>
          <w:tcPr>
            <w:tcW w:w="2712" w:type="dxa"/>
            <w:shd w:val="clear" w:color="auto" w:fill="F2F5FA"/>
            <w:vAlign w:val="center"/>
          </w:tcPr>
          <w:p w14:paraId="441ABFB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进程崩溃后账单不丢失，多调度器不重复认领</w:t>
            </w:r>
          </w:p>
        </w:tc>
        <w:tc>
          <w:tcPr>
            <w:tcW w:w="3846" w:type="dxa"/>
            <w:shd w:val="clear" w:color="auto" w:fill="F2F5FA"/>
            <w:vAlign w:val="center"/>
          </w:tcPr>
          <w:p w14:paraId="740F757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dispatch_pending_jobs</w:t>
            </w:r>
          </w:p>
        </w:tc>
      </w:tr>
    </w:tbl>
    <w:p w14:paraId="57AE6EDD">
      <w:pPr>
        <w:spacing w:after="80"/>
      </w:pPr>
    </w:p>
    <w:p w14:paraId="3839A0B6">
      <w:pPr>
        <w:spacing w:after="120"/>
      </w:pPr>
      <w:r>
        <w:rPr>
          <w:rFonts w:ascii="宋体" w:hAnsi="宋体" w:eastAsia="宋体"/>
          <w:b/>
          <w:i w:val="0"/>
          <w:sz w:val="21"/>
        </w:rPr>
        <w:t>已知边界（如实说明）</w:t>
      </w:r>
      <w:r>
        <w:rPr>
          <w:rFonts w:ascii="宋体" w:hAnsi="宋体" w:eastAsia="宋体"/>
          <w:b w:val="0"/>
          <w:i w:val="0"/>
          <w:sz w:val="21"/>
        </w:rPr>
        <w:t xml:space="preserve">：SQLite 测试环境忽略行级 </w:t>
      </w:r>
      <w:r>
        <w:rPr>
          <w:rFonts w:ascii="Consolas" w:hAnsi="Consolas" w:eastAsia="宋体"/>
          <w:b w:val="0"/>
          <w:i w:val="0"/>
          <w:color w:val="1F3864"/>
          <w:sz w:val="20"/>
        </w:rPr>
        <w:t>FOR UPDATE</w:t>
      </w:r>
      <w:r>
        <w:rPr>
          <w:rFonts w:ascii="宋体" w:hAnsi="宋体" w:eastAsia="宋体"/>
          <w:b w:val="0"/>
          <w:i w:val="0"/>
          <w:sz w:val="21"/>
        </w:rPr>
        <w:t xml:space="preserve">，因此自动化并发用例只有在配置名称以 </w:t>
      </w:r>
      <w:r>
        <w:rPr>
          <w:rFonts w:ascii="Consolas" w:hAnsi="Consolas" w:eastAsia="宋体"/>
          <w:b w:val="0"/>
          <w:i w:val="0"/>
          <w:color w:val="1F3864"/>
          <w:sz w:val="20"/>
        </w:rPr>
        <w:t>_test</w:t>
      </w:r>
      <w:r>
        <w:rPr>
          <w:rFonts w:ascii="宋体" w:hAnsi="宋体" w:eastAsia="宋体"/>
          <w:b w:val="0"/>
          <w:i w:val="0"/>
          <w:sz w:val="21"/>
        </w:rPr>
        <w:t xml:space="preserve"> 结尾的独立 MySQL 库时才具有并发证明力；未配置时这 5 条用例会被跳过，不记为通过。</w:t>
      </w:r>
    </w:p>
    <w:p w14:paraId="6D2B0039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8. 安全设计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7B1982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005" w:type="dxa"/>
            <w:shd w:val="clear" w:color="auto" w:fill="1F3864"/>
            <w:vAlign w:val="center"/>
          </w:tcPr>
          <w:p w14:paraId="696987F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措施</w:t>
            </w:r>
          </w:p>
        </w:tc>
        <w:tc>
          <w:tcPr>
            <w:tcW w:w="7407" w:type="dxa"/>
            <w:shd w:val="clear" w:color="auto" w:fill="1F3864"/>
            <w:vAlign w:val="center"/>
          </w:tcPr>
          <w:p w14:paraId="70794DF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7925F6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65E9E0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密码存储</w:t>
            </w:r>
          </w:p>
        </w:tc>
        <w:tc>
          <w:tcPr>
            <w:tcW w:w="7407" w:type="dxa"/>
            <w:vAlign w:val="center"/>
          </w:tcPr>
          <w:p w14:paraId="18E32C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Argon2 哈希，接口从不返回哈希值</w:t>
            </w:r>
          </w:p>
        </w:tc>
      </w:tr>
      <w:tr w14:paraId="184859F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27DEA1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会话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63FF94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服务端会话表，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session_id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为 HttpOnly Cookie，有效期 8 小时，改密/退出/停用即撤销</w:t>
            </w:r>
          </w:p>
        </w:tc>
      </w:tr>
      <w:tr w14:paraId="657DA6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27C9F9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CSRF</w:t>
            </w:r>
          </w:p>
        </w:tc>
        <w:tc>
          <w:tcPr>
            <w:tcW w:w="7407" w:type="dxa"/>
            <w:vAlign w:val="center"/>
          </w:tcPr>
          <w:p w14:paraId="4F45DC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所有写操作校验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X-CSRF-Token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与会话内令牌一致</w:t>
            </w:r>
          </w:p>
        </w:tc>
      </w:tr>
      <w:tr w14:paraId="721BC7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5557B9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身份来源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4029F5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一律取自会话，忽略请求体自报的学号/工号</w:t>
            </w:r>
          </w:p>
        </w:tc>
      </w:tr>
      <w:tr w14:paraId="1FAB2D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1B1F9E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角色守卫</w:t>
            </w:r>
          </w:p>
        </w:tc>
        <w:tc>
          <w:tcPr>
            <w:tcW w:w="7407" w:type="dxa"/>
            <w:vAlign w:val="center"/>
          </w:tcPr>
          <w:p w14:paraId="4A6B9E0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require_student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require_teacher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require_registrar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，角色不匹配返回 403</w:t>
            </w:r>
          </w:p>
        </w:tc>
      </w:tr>
      <w:tr w14:paraId="1E7797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25F413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归属校验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0C9A9B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教师只能访问本人班次的名单与成绩；学生只能访问本人方案与成绩</w:t>
            </w:r>
          </w:p>
        </w:tc>
      </w:tr>
      <w:tr w14:paraId="0A183F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7068A7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越权防护</w:t>
            </w:r>
          </w:p>
        </w:tc>
        <w:tc>
          <w:tcPr>
            <w:tcW w:w="7407" w:type="dxa"/>
            <w:vAlign w:val="center"/>
          </w:tcPr>
          <w:p w14:paraId="739881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越权返回 403 且不返回任何他人数据；有专门测试用例</w:t>
            </w:r>
          </w:p>
        </w:tc>
      </w:tr>
      <w:tr w14:paraId="6B9D57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012209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输出转义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6D8468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页面模板对外部字符串转义，人员姓名中的 HTML 按文本显示</w:t>
            </w:r>
          </w:p>
        </w:tc>
      </w:tr>
      <w:tr w14:paraId="78BFD2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vAlign w:val="center"/>
          </w:tcPr>
          <w:p w14:paraId="00811AB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首次登录</w:t>
            </w:r>
          </w:p>
        </w:tc>
        <w:tc>
          <w:tcPr>
            <w:tcW w:w="7407" w:type="dxa"/>
            <w:vAlign w:val="center"/>
          </w:tcPr>
          <w:p w14:paraId="5A683C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未改密前只能改密与退出</w:t>
            </w:r>
          </w:p>
        </w:tc>
      </w:tr>
      <w:tr w14:paraId="4F21BB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05" w:type="dxa"/>
            <w:shd w:val="clear" w:color="auto" w:fill="F2F5FA"/>
            <w:vAlign w:val="center"/>
          </w:tcPr>
          <w:p w14:paraId="629431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敏感数据</w:t>
            </w:r>
          </w:p>
        </w:tc>
        <w:tc>
          <w:tcPr>
            <w:tcW w:w="7407" w:type="dxa"/>
            <w:shd w:val="clear" w:color="auto" w:fill="F2F5FA"/>
            <w:vAlign w:val="center"/>
          </w:tcPr>
          <w:p w14:paraId="7A0257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演示数据全为虚构；真实环境不得提交数据库连接串与账号密码</w:t>
            </w:r>
          </w:p>
        </w:tc>
      </w:tr>
    </w:tbl>
    <w:p w14:paraId="0C0D53A0">
      <w:pPr>
        <w:spacing w:after="80"/>
      </w:pPr>
    </w:p>
    <w:p w14:paraId="2D740F04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9. 外部系统设计</w:t>
      </w:r>
    </w:p>
    <w:p w14:paraId="2FD5F01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9.1 课程目录（只读）</w:t>
      </w:r>
    </w:p>
    <w:p w14:paraId="5F359029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>· 接口：</w:t>
      </w:r>
      <w:r>
        <w:rPr>
          <w:rFonts w:ascii="Consolas" w:hAnsi="Consolas" w:eastAsia="宋体"/>
          <w:b w:val="0"/>
          <w:i w:val="0"/>
          <w:color w:val="1F3864"/>
          <w:sz w:val="20"/>
        </w:rPr>
        <w:t>GET {CATALOG_SERVICE_URL}/catalog/courses?semester_code=...</w:t>
      </w:r>
      <w:r>
        <w:rPr>
          <w:rFonts w:ascii="宋体" w:hAnsi="宋体" w:eastAsia="宋体"/>
          <w:b w:val="0"/>
          <w:i w:val="0"/>
          <w:sz w:val="21"/>
        </w:rPr>
        <w:t>，超时 3 秒。</w:t>
      </w:r>
    </w:p>
    <w:p w14:paraId="093CD588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>· 数据：学期代码与起止日期、课程（编号、名称、简介、院系、固定费用、先修编号）、班次（班号、容量 1–10、若干时段）。</w:t>
      </w:r>
    </w:p>
    <w:p w14:paraId="48D3DA14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>· 校验：课程编号唯一、班号唯一、先修必须存在于同一快照、课程不能以自身为先修、日期范围合法；任一不合法即视为目录无效并返回 503。</w:t>
      </w:r>
    </w:p>
    <w:p w14:paraId="49D0B893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>· 同步：</w:t>
      </w:r>
      <w:r>
        <w:rPr>
          <w:rFonts w:ascii="Consolas" w:hAnsi="Consolas" w:eastAsia="宋体"/>
          <w:b w:val="0"/>
          <w:i w:val="0"/>
          <w:color w:val="1F3864"/>
          <w:sz w:val="20"/>
        </w:rPr>
        <w:t>python -m scripts.sync_catalog</w:t>
      </w:r>
      <w:r>
        <w:rPr>
          <w:rFonts w:ascii="宋体" w:hAnsi="宋体" w:eastAsia="宋体"/>
          <w:b w:val="0"/>
          <w:i w:val="0"/>
          <w:sz w:val="21"/>
        </w:rPr>
        <w:t xml:space="preserve"> 显式初始化或同步本地镜像；</w:t>
      </w:r>
      <w:r>
        <w:rPr>
          <w:rFonts w:ascii="宋体" w:hAnsi="宋体" w:eastAsia="宋体"/>
          <w:b/>
          <w:i w:val="0"/>
          <w:sz w:val="21"/>
        </w:rPr>
        <w:t>已关闭学期不得重新同步</w:t>
      </w:r>
      <w:r>
        <w:rPr>
          <w:rFonts w:ascii="宋体" w:hAnsi="宋体" w:eastAsia="宋体"/>
          <w:b w:val="0"/>
          <w:i w:val="0"/>
          <w:sz w:val="21"/>
        </w:rPr>
        <w:t>；已存在的班次不覆盖其状态与教师，保证业务数据不被目录刷新冲掉。</w:t>
      </w:r>
    </w:p>
    <w:p w14:paraId="52E5109E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>· 失败处理：目录不可用时提示"课程目录暂时不可用或数据无效"，已保存的选课结果不受影响。</w:t>
      </w:r>
    </w:p>
    <w:p w14:paraId="363FEE4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9.2 计费（单向发送）</w:t>
      </w:r>
    </w:p>
    <w:p w14:paraId="510561F1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>· 接口：</w:t>
      </w:r>
      <w:r>
        <w:rPr>
          <w:rFonts w:ascii="Consolas" w:hAnsi="Consolas" w:eastAsia="宋体"/>
          <w:b w:val="0"/>
          <w:i w:val="0"/>
          <w:color w:val="1F3864"/>
          <w:sz w:val="20"/>
        </w:rPr>
        <w:t>POST {BILLING_SERVICE_URL}/billing/charges</w:t>
      </w:r>
      <w:r>
        <w:rPr>
          <w:rFonts w:ascii="宋体" w:hAnsi="宋体" w:eastAsia="宋体"/>
          <w:b w:val="0"/>
          <w:i w:val="0"/>
          <w:sz w:val="21"/>
        </w:rPr>
        <w:t>，超时 5 秒。</w:t>
      </w:r>
    </w:p>
    <w:p w14:paraId="75016CB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>· 报文体：任务 ID、学期、学生、金额（字符串小数）、课表快照 JSON。</w:t>
      </w:r>
    </w:p>
    <w:p w14:paraId="45C277D4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接收端唯一键 </w:t>
      </w:r>
      <w:r>
        <w:rPr>
          <w:rFonts w:ascii="Consolas" w:hAnsi="Consolas" w:eastAsia="宋体"/>
          <w:b w:val="0"/>
          <w:i w:val="0"/>
          <w:color w:val="1F3864"/>
          <w:sz w:val="20"/>
        </w:rPr>
        <w:t>(semester_id, student_id)</w:t>
      </w:r>
      <w:r>
        <w:rPr>
          <w:rFonts w:ascii="宋体" w:hAnsi="宋体" w:eastAsia="宋体"/>
          <w:b w:val="0"/>
          <w:i w:val="0"/>
          <w:sz w:val="21"/>
        </w:rPr>
        <w:t>：首次接收返回 201；同键同内容返回 200 表示复用既有结果，不重复收费；同键不同内容返回 409 冲突并记录。</w:t>
      </w:r>
    </w:p>
    <w:p w14:paraId="070E234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>· 金额比较按数值进行，</w:t>
      </w:r>
      <w:r>
        <w:rPr>
          <w:rFonts w:ascii="Consolas" w:hAnsi="Consolas" w:eastAsia="宋体"/>
          <w:b w:val="0"/>
          <w:i w:val="0"/>
          <w:color w:val="1F3864"/>
          <w:sz w:val="20"/>
        </w:rPr>
        <w:t>120.0</w:t>
      </w:r>
      <w:r>
        <w:rPr>
          <w:rFonts w:ascii="宋体" w:hAnsi="宋体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宋体"/>
          <w:b w:val="0"/>
          <w:i w:val="0"/>
          <w:color w:val="1F3864"/>
          <w:sz w:val="20"/>
        </w:rPr>
        <w:t>120.00</w:t>
      </w:r>
      <w:r>
        <w:rPr>
          <w:rFonts w:ascii="宋体" w:hAnsi="宋体" w:eastAsia="宋体"/>
          <w:b w:val="0"/>
          <w:i w:val="0"/>
          <w:sz w:val="21"/>
        </w:rPr>
        <w:t xml:space="preserve"> 视为相同内容。</w:t>
      </w:r>
    </w:p>
    <w:p w14:paraId="2A49D16F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故障注入：支持 </w:t>
      </w:r>
      <w:r>
        <w:rPr>
          <w:rFonts w:ascii="Consolas" w:hAnsi="Consolas" w:eastAsia="宋体"/>
          <w:b w:val="0"/>
          <w:i w:val="0"/>
          <w:color w:val="1F3864"/>
          <w:sz w:val="20"/>
        </w:rPr>
        <w:t>fault=503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fault=500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fault=timeout</w:t>
      </w:r>
      <w:r>
        <w:rPr>
          <w:rFonts w:ascii="宋体" w:hAnsi="宋体" w:eastAsia="宋体"/>
          <w:b w:val="0"/>
          <w:i w:val="0"/>
          <w:sz w:val="21"/>
        </w:rPr>
        <w:t>，用于验证发送端的分类与重试。</w:t>
      </w:r>
    </w:p>
    <w:p w14:paraId="496CFD7D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持久账本：配置 </w:t>
      </w:r>
      <w:r>
        <w:rPr>
          <w:rFonts w:ascii="Consolas" w:hAnsi="Consolas" w:eastAsia="宋体"/>
          <w:b w:val="0"/>
          <w:i w:val="0"/>
          <w:color w:val="1F3864"/>
          <w:sz w:val="20"/>
        </w:rPr>
        <w:t>MOCK_BILLING_DATABASE</w:t>
      </w:r>
      <w:r>
        <w:rPr>
          <w:rFonts w:ascii="宋体" w:hAnsi="宋体" w:eastAsia="宋体"/>
          <w:b w:val="0"/>
          <w:i w:val="0"/>
          <w:sz w:val="21"/>
        </w:rPr>
        <w:t xml:space="preserve"> 时使用 SQLite 持久账本，进程重启后仍能去重。</w:t>
      </w:r>
    </w:p>
    <w:p w14:paraId="70360F57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10. 关键设计决策与理由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645129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859" w:type="dxa"/>
            <w:shd w:val="clear" w:color="auto" w:fill="1F3864"/>
            <w:vAlign w:val="center"/>
          </w:tcPr>
          <w:p w14:paraId="6D6C781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决策</w:t>
            </w:r>
          </w:p>
        </w:tc>
        <w:tc>
          <w:tcPr>
            <w:tcW w:w="4860" w:type="dxa"/>
            <w:shd w:val="clear" w:color="auto" w:fill="1F3864"/>
            <w:vAlign w:val="center"/>
          </w:tcPr>
          <w:p w14:paraId="7FB6F1B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理由</w:t>
            </w:r>
          </w:p>
        </w:tc>
        <w:tc>
          <w:tcPr>
            <w:tcW w:w="1692" w:type="dxa"/>
            <w:shd w:val="clear" w:color="auto" w:fill="1F3864"/>
            <w:vAlign w:val="center"/>
          </w:tcPr>
          <w:p w14:paraId="4F1ECB6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提出人</w:t>
            </w:r>
          </w:p>
        </w:tc>
      </w:tr>
      <w:tr w14:paraId="309201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vAlign w:val="center"/>
          </w:tcPr>
          <w:p w14:paraId="531301E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草稿、正式主选、正式备选分三表</w:t>
            </w:r>
          </w:p>
        </w:tc>
        <w:tc>
          <w:tcPr>
            <w:tcW w:w="4860" w:type="dxa"/>
            <w:vAlign w:val="center"/>
          </w:tcPr>
          <w:p w14:paraId="051FEA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"提交失败保留旧正式结果"用单表状态机无法表达</w:t>
            </w:r>
          </w:p>
        </w:tc>
        <w:tc>
          <w:tcPr>
            <w:tcW w:w="1692" w:type="dxa"/>
            <w:vAlign w:val="center"/>
          </w:tcPr>
          <w:p w14:paraId="585852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</w:tr>
      <w:tr w14:paraId="064DD4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shd w:val="clear" w:color="auto" w:fill="F2F5FA"/>
            <w:vAlign w:val="center"/>
          </w:tcPr>
          <w:p w14:paraId="203C86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正式选课冗余保存课程 ID 并加唯一约束</w:t>
            </w:r>
          </w:p>
        </w:tc>
        <w:tc>
          <w:tcPr>
            <w:tcW w:w="4860" w:type="dxa"/>
            <w:shd w:val="clear" w:color="auto" w:fill="F2F5FA"/>
            <w:vAlign w:val="center"/>
          </w:tcPr>
          <w:p w14:paraId="05A184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让"同课程不重复"由数据库兜底，不只靠应用判断</w:t>
            </w:r>
          </w:p>
        </w:tc>
        <w:tc>
          <w:tcPr>
            <w:tcW w:w="1692" w:type="dxa"/>
            <w:shd w:val="clear" w:color="auto" w:fill="F2F5FA"/>
            <w:vAlign w:val="center"/>
          </w:tcPr>
          <w:p w14:paraId="15D470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</w:tr>
      <w:tr w14:paraId="02E182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vAlign w:val="center"/>
          </w:tcPr>
          <w:p w14:paraId="7602E3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加锁后当前读统计名额</w:t>
            </w:r>
          </w:p>
        </w:tc>
        <w:tc>
          <w:tcPr>
            <w:tcW w:w="4860" w:type="dxa"/>
            <w:vAlign w:val="center"/>
          </w:tcPr>
          <w:p w14:paraId="20E30D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MySQL REPEATABLE READ 下普通 COUNT 会读事务旧快照，导致超额</w:t>
            </w:r>
          </w:p>
        </w:tc>
        <w:tc>
          <w:tcPr>
            <w:tcW w:w="1692" w:type="dxa"/>
            <w:vAlign w:val="center"/>
          </w:tcPr>
          <w:p w14:paraId="345D68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</w:tr>
      <w:tr w14:paraId="682547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shd w:val="clear" w:color="auto" w:fill="F2F5FA"/>
            <w:vAlign w:val="center"/>
          </w:tcPr>
          <w:p w14:paraId="7EBE11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关闭时固定金额与课表快照</w:t>
            </w:r>
          </w:p>
        </w:tc>
        <w:tc>
          <w:tcPr>
            <w:tcW w:w="4860" w:type="dxa"/>
            <w:shd w:val="clear" w:color="auto" w:fill="F2F5FA"/>
            <w:vAlign w:val="center"/>
          </w:tcPr>
          <w:p w14:paraId="2895D4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重试必须发送同一份内容，否则计费端会判为内容冲突</w:t>
            </w:r>
          </w:p>
        </w:tc>
        <w:tc>
          <w:tcPr>
            <w:tcW w:w="1692" w:type="dxa"/>
            <w:shd w:val="clear" w:color="auto" w:fill="F2F5FA"/>
            <w:vAlign w:val="center"/>
          </w:tcPr>
          <w:p w14:paraId="28368A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1、4</w:t>
            </w:r>
          </w:p>
        </w:tc>
      </w:tr>
      <w:tr w14:paraId="12FCC9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vAlign w:val="center"/>
          </w:tcPr>
          <w:p w14:paraId="6405F2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成绩变更采用追加记录而非覆盖</w:t>
            </w:r>
          </w:p>
        </w:tc>
        <w:tc>
          <w:tcPr>
            <w:tcW w:w="4860" w:type="dxa"/>
            <w:vAlign w:val="center"/>
          </w:tcPr>
          <w:p w14:paraId="04B86E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成绩是敏感信息，需要可追溯的修改历史</w:t>
            </w:r>
          </w:p>
        </w:tc>
        <w:tc>
          <w:tcPr>
            <w:tcW w:w="1692" w:type="dxa"/>
            <w:vAlign w:val="center"/>
          </w:tcPr>
          <w:p w14:paraId="19B4CE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</w:tr>
      <w:tr w14:paraId="19AC2A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shd w:val="clear" w:color="auto" w:fill="F2F5FA"/>
            <w:vAlign w:val="center"/>
          </w:tcPr>
          <w:p w14:paraId="24FCB7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认证改为服务端会话而非请求头模拟身份</w:t>
            </w:r>
          </w:p>
        </w:tc>
        <w:tc>
          <w:tcPr>
            <w:tcW w:w="4860" w:type="dxa"/>
            <w:shd w:val="clear" w:color="auto" w:fill="F2F5FA"/>
            <w:vAlign w:val="center"/>
          </w:tcPr>
          <w:p w14:paraId="1D8F0B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请求头自报身份可被伪造，无法满足"学生不能改他人课表"</w:t>
            </w:r>
          </w:p>
        </w:tc>
        <w:tc>
          <w:tcPr>
            <w:tcW w:w="1692" w:type="dxa"/>
            <w:shd w:val="clear" w:color="auto" w:fill="F2F5FA"/>
            <w:vAlign w:val="center"/>
          </w:tcPr>
          <w:p w14:paraId="0DD4CE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</w:tr>
      <w:tr w14:paraId="221BD8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vAlign w:val="center"/>
          </w:tcPr>
          <w:p w14:paraId="07B33A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人员编号用锁定序列而非自增主键</w:t>
            </w:r>
          </w:p>
        </w:tc>
        <w:tc>
          <w:tcPr>
            <w:tcW w:w="4860" w:type="dxa"/>
            <w:vAlign w:val="center"/>
          </w:tcPr>
          <w:p w14:paraId="51ACBD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编号面向用户，删除后不复用可避免歧义</w:t>
            </w:r>
          </w:p>
        </w:tc>
        <w:tc>
          <w:tcPr>
            <w:tcW w:w="1692" w:type="dxa"/>
            <w:vAlign w:val="center"/>
          </w:tcPr>
          <w:p w14:paraId="5819A4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</w:tr>
      <w:tr w14:paraId="3A95A8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shd w:val="clear" w:color="auto" w:fill="F2F5FA"/>
            <w:vAlign w:val="center"/>
          </w:tcPr>
          <w:p w14:paraId="04F3DC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目录只读且本地镜像保存状态</w:t>
            </w:r>
          </w:p>
        </w:tc>
        <w:tc>
          <w:tcPr>
            <w:tcW w:w="4860" w:type="dxa"/>
            <w:shd w:val="clear" w:color="auto" w:fill="F2F5FA"/>
            <w:vAlign w:val="center"/>
          </w:tcPr>
          <w:p w14:paraId="0587C9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原文要求不更新旧目录，同时注册库必须维护教师与名额</w:t>
            </w:r>
          </w:p>
        </w:tc>
        <w:tc>
          <w:tcPr>
            <w:tcW w:w="1692" w:type="dxa"/>
            <w:shd w:val="clear" w:color="auto" w:fill="F2F5FA"/>
            <w:vAlign w:val="center"/>
          </w:tcPr>
          <w:p w14:paraId="1051FE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1、2</w:t>
            </w:r>
          </w:p>
        </w:tc>
      </w:tr>
      <w:tr w14:paraId="689EB8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vAlign w:val="center"/>
          </w:tcPr>
          <w:p w14:paraId="54234C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页面每 10 秒轮询名额</w:t>
            </w:r>
          </w:p>
        </w:tc>
        <w:tc>
          <w:tcPr>
            <w:tcW w:w="4860" w:type="dxa"/>
            <w:vAlign w:val="center"/>
          </w:tcPr>
          <w:p w14:paraId="4482AAE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满足"编排课表时满员须通知学生"</w:t>
            </w:r>
          </w:p>
        </w:tc>
        <w:tc>
          <w:tcPr>
            <w:tcW w:w="1692" w:type="dxa"/>
            <w:vAlign w:val="center"/>
          </w:tcPr>
          <w:p w14:paraId="7E4C8C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</w:tr>
      <w:tr w14:paraId="5C93A6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59" w:type="dxa"/>
            <w:shd w:val="clear" w:color="auto" w:fill="F2F5FA"/>
            <w:vAlign w:val="center"/>
          </w:tcPr>
          <w:p w14:paraId="7B8DE7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关闭选课与学期完成分离</w:t>
            </w:r>
          </w:p>
        </w:tc>
        <w:tc>
          <w:tcPr>
            <w:tcW w:w="4860" w:type="dxa"/>
            <w:shd w:val="clear" w:color="auto" w:fill="F2F5FA"/>
            <w:vAlign w:val="center"/>
          </w:tcPr>
          <w:p w14:paraId="5EC61D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关闭注册不等于学期结束，成绩只能在完成后录入</w:t>
            </w:r>
          </w:p>
        </w:tc>
        <w:tc>
          <w:tcPr>
            <w:tcW w:w="1692" w:type="dxa"/>
            <w:shd w:val="clear" w:color="auto" w:fill="F2F5FA"/>
            <w:vAlign w:val="center"/>
          </w:tcPr>
          <w:p w14:paraId="51E465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1、4</w:t>
            </w:r>
          </w:p>
        </w:tc>
      </w:tr>
    </w:tbl>
    <w:p w14:paraId="6BC2D8BA">
      <w:pPr>
        <w:spacing w:after="80"/>
      </w:pPr>
    </w:p>
    <w:p w14:paraId="5B7E9C01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11. 已知设计边界与未验证项</w:t>
      </w:r>
    </w:p>
    <w:p w14:paraId="576A3C1A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1. </w:t>
      </w:r>
      <w:r>
        <w:rPr>
          <w:rFonts w:ascii="宋体" w:hAnsi="宋体" w:eastAsia="宋体"/>
          <w:b w:val="0"/>
          <w:i w:val="0"/>
          <w:sz w:val="21"/>
        </w:rPr>
        <w:t>原文要求的 Windows 95/98 桌面界面未采用，改为浏览器 Web；已列入待确认事项 Q-03。</w:t>
      </w:r>
    </w:p>
    <w:p w14:paraId="710C01D3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2. </w:t>
      </w:r>
      <w:r>
        <w:rPr>
          <w:rFonts w:ascii="宋体" w:hAnsi="宋体" w:eastAsia="宋体"/>
          <w:b w:val="0"/>
          <w:i w:val="0"/>
          <w:sz w:val="21"/>
        </w:rPr>
        <w:t>2000／500 并发、目录延迟、80% 事务 2 分钟内、7×24 停机率等非功能指标</w:t>
      </w:r>
      <w:r>
        <w:rPr>
          <w:rFonts w:ascii="宋体" w:hAnsi="宋体" w:eastAsia="宋体"/>
          <w:b/>
          <w:i w:val="0"/>
          <w:sz w:val="21"/>
        </w:rPr>
        <w:t>没有实测数据</w:t>
      </w:r>
      <w:r>
        <w:rPr>
          <w:rFonts w:ascii="宋体" w:hAnsi="宋体" w:eastAsia="宋体"/>
          <w:b w:val="0"/>
          <w:i w:val="0"/>
          <w:sz w:val="21"/>
        </w:rPr>
        <w:t>，设计上以中间层镜像与超时控制回应，但不声称达标。</w:t>
      </w:r>
    </w:p>
    <w:p w14:paraId="004AC843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3. </w:t>
      </w:r>
      <w:r>
        <w:rPr>
          <w:rFonts w:ascii="宋体" w:hAnsi="宋体" w:eastAsia="宋体"/>
          <w:b w:val="0"/>
          <w:i w:val="0"/>
          <w:sz w:val="21"/>
        </w:rPr>
        <w:t>外部目录与计费用模拟服务替代真实遗留系统；模拟服务实现了超时、故障注入与持久去重，但不具备真实系统的全部行为。</w:t>
      </w:r>
    </w:p>
    <w:p w14:paraId="4D9ED1E0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4. </w:t>
      </w:r>
      <w:r>
        <w:rPr>
          <w:rFonts w:ascii="宋体" w:hAnsi="宋体" w:eastAsia="宋体"/>
          <w:b w:val="0"/>
          <w:i w:val="0"/>
          <w:sz w:val="21"/>
        </w:rPr>
        <w:t>SQLite 仅用于本机复现，不具备行锁并发证明力；并发结论以独立 MySQL 库上的专项用例为准。</w:t>
      </w:r>
    </w:p>
    <w:p w14:paraId="6F960E4E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5. </w:t>
      </w:r>
      <w:r>
        <w:rPr>
          <w:rFonts w:ascii="宋体" w:hAnsi="宋体" w:eastAsia="宋体"/>
          <w:b w:val="0"/>
          <w:i w:val="0"/>
          <w:sz w:val="21"/>
        </w:rPr>
        <w:t>关闭选课的两轮替补、主动退课不补回、关闭时计费均为对原文歧义的细化，需教师确认（Q-04、Q-05）。</w:t>
      </w:r>
    </w:p>
    <w:p w14:paraId="0E91FDC4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6. </w:t>
      </w:r>
      <w:r>
        <w:rPr>
          <w:rFonts w:ascii="宋体" w:hAnsi="宋体" w:eastAsia="宋体"/>
          <w:b w:val="0"/>
          <w:i w:val="0"/>
          <w:sz w:val="21"/>
        </w:rPr>
        <w:t>单双周、部分教学周、教室容量以外的排课约束不在本期设计范围。</w:t>
      </w:r>
    </w:p>
    <w:p w14:paraId="7C1A8F8D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12. 设计对需求的追溯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79766B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752" w:type="dxa"/>
            <w:shd w:val="clear" w:color="auto" w:fill="1F3864"/>
            <w:vAlign w:val="center"/>
          </w:tcPr>
          <w:p w14:paraId="7914D87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需求分组</w:t>
            </w:r>
          </w:p>
        </w:tc>
        <w:tc>
          <w:tcPr>
            <w:tcW w:w="1760" w:type="dxa"/>
            <w:shd w:val="clear" w:color="auto" w:fill="1F3864"/>
            <w:vAlign w:val="center"/>
          </w:tcPr>
          <w:p w14:paraId="49B77AF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设计章节</w:t>
            </w:r>
          </w:p>
        </w:tc>
        <w:tc>
          <w:tcPr>
            <w:tcW w:w="4900" w:type="dxa"/>
            <w:shd w:val="clear" w:color="auto" w:fill="1F3864"/>
            <w:vAlign w:val="center"/>
          </w:tcPr>
          <w:p w14:paraId="3FE8BDB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主要实现</w:t>
            </w:r>
          </w:p>
        </w:tc>
      </w:tr>
      <w:tr w14:paraId="36B82D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vAlign w:val="center"/>
          </w:tcPr>
          <w:p w14:paraId="3425F8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FR-LGN-01～05 登录与账号</w:t>
            </w:r>
          </w:p>
        </w:tc>
        <w:tc>
          <w:tcPr>
            <w:tcW w:w="1760" w:type="dxa"/>
            <w:vAlign w:val="center"/>
          </w:tcPr>
          <w:p w14:paraId="398E7F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5.6、8</w:t>
            </w:r>
          </w:p>
        </w:tc>
        <w:tc>
          <w:tcPr>
            <w:tcW w:w="4900" w:type="dxa"/>
            <w:vAlign w:val="center"/>
          </w:tcPr>
          <w:p w14:paraId="5FB9A6A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app/services/auth.py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app/auth_contract.py</w:t>
            </w:r>
          </w:p>
        </w:tc>
      </w:tr>
      <w:tr w14:paraId="7B2CF1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shd w:val="clear" w:color="auto" w:fill="F2F5FA"/>
            <w:vAlign w:val="center"/>
          </w:tcPr>
          <w:p w14:paraId="007A15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FR-REG-01～18 选课登记</w:t>
            </w:r>
          </w:p>
        </w:tc>
        <w:tc>
          <w:tcPr>
            <w:tcW w:w="1760" w:type="dxa"/>
            <w:shd w:val="clear" w:color="auto" w:fill="F2F5FA"/>
            <w:vAlign w:val="center"/>
          </w:tcPr>
          <w:p w14:paraId="4C9390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4、5.1</w:t>
            </w:r>
          </w:p>
        </w:tc>
        <w:tc>
          <w:tcPr>
            <w:tcW w:w="4900" w:type="dxa"/>
            <w:shd w:val="clear" w:color="auto" w:fill="F2F5FA"/>
            <w:vAlign w:val="center"/>
          </w:tcPr>
          <w:p w14:paraId="2E7FA76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</w:tr>
      <w:tr w14:paraId="13C0DA3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vAlign w:val="center"/>
          </w:tcPr>
          <w:p w14:paraId="13FCBD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FR-TCH-01～09 选择授课课程</w:t>
            </w:r>
          </w:p>
        </w:tc>
        <w:tc>
          <w:tcPr>
            <w:tcW w:w="1760" w:type="dxa"/>
            <w:vAlign w:val="center"/>
          </w:tcPr>
          <w:p w14:paraId="63AA6B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5.3</w:t>
            </w:r>
          </w:p>
        </w:tc>
        <w:tc>
          <w:tcPr>
            <w:tcW w:w="4900" w:type="dxa"/>
            <w:vAlign w:val="center"/>
          </w:tcPr>
          <w:p w14:paraId="77C0A6A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</w:p>
        </w:tc>
      </w:tr>
      <w:tr w14:paraId="4CFEFE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shd w:val="clear" w:color="auto" w:fill="F2F5FA"/>
            <w:vAlign w:val="center"/>
          </w:tcPr>
          <w:p w14:paraId="1F98CD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FR-GRD-01～07 成绩提交</w:t>
            </w:r>
          </w:p>
        </w:tc>
        <w:tc>
          <w:tcPr>
            <w:tcW w:w="1760" w:type="dxa"/>
            <w:shd w:val="clear" w:color="auto" w:fill="F2F5FA"/>
            <w:vAlign w:val="center"/>
          </w:tcPr>
          <w:p w14:paraId="70123B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5.4</w:t>
            </w:r>
          </w:p>
        </w:tc>
        <w:tc>
          <w:tcPr>
            <w:tcW w:w="4900" w:type="dxa"/>
            <w:shd w:val="clear" w:color="auto" w:fill="F2F5FA"/>
            <w:vAlign w:val="center"/>
          </w:tcPr>
          <w:p w14:paraId="5DB98D5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</w:p>
        </w:tc>
      </w:tr>
      <w:tr w14:paraId="45513F9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vAlign w:val="center"/>
          </w:tcPr>
          <w:p w14:paraId="37622D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FR-RPT-01～05 查看成绩单</w:t>
            </w:r>
          </w:p>
        </w:tc>
        <w:tc>
          <w:tcPr>
            <w:tcW w:w="1760" w:type="dxa"/>
            <w:vAlign w:val="center"/>
          </w:tcPr>
          <w:p w14:paraId="4FDBAA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w="4900" w:type="dxa"/>
            <w:vAlign w:val="center"/>
          </w:tcPr>
          <w:p w14:paraId="25059B7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app/routers/teaching.py</w:t>
            </w:r>
          </w:p>
        </w:tc>
      </w:tr>
      <w:tr w14:paraId="750AED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shd w:val="clear" w:color="auto" w:fill="F2F5FA"/>
            <w:vAlign w:val="center"/>
          </w:tcPr>
          <w:p w14:paraId="754138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FR-CLS-01～10 关闭选课</w:t>
            </w:r>
          </w:p>
        </w:tc>
        <w:tc>
          <w:tcPr>
            <w:tcW w:w="1760" w:type="dxa"/>
            <w:shd w:val="clear" w:color="auto" w:fill="F2F5FA"/>
            <w:vAlign w:val="center"/>
          </w:tcPr>
          <w:p w14:paraId="728A33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5.2</w:t>
            </w:r>
          </w:p>
        </w:tc>
        <w:tc>
          <w:tcPr>
            <w:tcW w:w="4900" w:type="dxa"/>
            <w:shd w:val="clear" w:color="auto" w:fill="F2F5FA"/>
            <w:vAlign w:val="center"/>
          </w:tcPr>
          <w:p w14:paraId="1F7B20F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</w:tr>
      <w:tr w14:paraId="3BD861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vAlign w:val="center"/>
          </w:tcPr>
          <w:p w14:paraId="5DC801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FR-PRF/STU 师生维护</w:t>
            </w:r>
          </w:p>
        </w:tc>
        <w:tc>
          <w:tcPr>
            <w:tcW w:w="1760" w:type="dxa"/>
            <w:vAlign w:val="center"/>
          </w:tcPr>
          <w:p w14:paraId="6F1DD5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4、6</w:t>
            </w:r>
          </w:p>
        </w:tc>
        <w:tc>
          <w:tcPr>
            <w:tcW w:w="4900" w:type="dxa"/>
            <w:vAlign w:val="center"/>
          </w:tcPr>
          <w:p w14:paraId="2F3A882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</w:p>
        </w:tc>
      </w:tr>
      <w:tr w14:paraId="6AE2B7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shd w:val="clear" w:color="auto" w:fill="F2F5FA"/>
            <w:vAlign w:val="center"/>
          </w:tcPr>
          <w:p w14:paraId="23F219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FR-CAT-01～03 课程目录</w:t>
            </w:r>
          </w:p>
        </w:tc>
        <w:tc>
          <w:tcPr>
            <w:tcW w:w="1760" w:type="dxa"/>
            <w:shd w:val="clear" w:color="auto" w:fill="F2F5FA"/>
            <w:vAlign w:val="center"/>
          </w:tcPr>
          <w:p w14:paraId="23F1C82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9.1</w:t>
            </w:r>
          </w:p>
        </w:tc>
        <w:tc>
          <w:tcPr>
            <w:tcW w:w="4900" w:type="dxa"/>
            <w:shd w:val="clear" w:color="auto" w:fill="F2F5FA"/>
            <w:vAlign w:val="center"/>
          </w:tcPr>
          <w:p w14:paraId="39EE872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app/services/catalog.py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mock_catalog/</w:t>
            </w:r>
          </w:p>
        </w:tc>
      </w:tr>
      <w:tr w14:paraId="6824C1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vAlign w:val="center"/>
          </w:tcPr>
          <w:p w14:paraId="73E38C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FR-BIL-01～03 计费</w:t>
            </w:r>
          </w:p>
        </w:tc>
        <w:tc>
          <w:tcPr>
            <w:tcW w:w="1760" w:type="dxa"/>
            <w:vAlign w:val="center"/>
          </w:tcPr>
          <w:p w14:paraId="4A2026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5.5、9.2</w:t>
            </w:r>
          </w:p>
        </w:tc>
        <w:tc>
          <w:tcPr>
            <w:tcW w:w="4900" w:type="dxa"/>
            <w:vAlign w:val="center"/>
          </w:tcPr>
          <w:p w14:paraId="5A43CEA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app/services/billing.py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mock_billing/</w:t>
            </w:r>
          </w:p>
        </w:tc>
      </w:tr>
      <w:tr w14:paraId="3D05A27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shd w:val="clear" w:color="auto" w:fill="F2F5FA"/>
            <w:vAlign w:val="center"/>
          </w:tcPr>
          <w:p w14:paraId="53BFD4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NFR-S-01～04 安全</w:t>
            </w:r>
          </w:p>
        </w:tc>
        <w:tc>
          <w:tcPr>
            <w:tcW w:w="1760" w:type="dxa"/>
            <w:shd w:val="clear" w:color="auto" w:fill="F2F5FA"/>
            <w:vAlign w:val="center"/>
          </w:tcPr>
          <w:p w14:paraId="356BF1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w="4900" w:type="dxa"/>
            <w:shd w:val="clear" w:color="auto" w:fill="F2F5FA"/>
            <w:vAlign w:val="center"/>
          </w:tcPr>
          <w:p w14:paraId="15C30F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会话、守卫、归属校验、CSRF</w:t>
            </w:r>
          </w:p>
        </w:tc>
      </w:tr>
      <w:tr w14:paraId="1C70E2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vAlign w:val="center"/>
          </w:tcPr>
          <w:p w14:paraId="284F4D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NFR-F-01 并发</w:t>
            </w:r>
          </w:p>
        </w:tc>
        <w:tc>
          <w:tcPr>
            <w:tcW w:w="1760" w:type="dxa"/>
            <w:vAlign w:val="center"/>
          </w:tcPr>
          <w:p w14:paraId="6D5A98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w="4900" w:type="dxa"/>
            <w:vAlign w:val="center"/>
          </w:tcPr>
          <w:p w14:paraId="61C6C4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锁顺序、行锁、版本号</w:t>
            </w:r>
          </w:p>
        </w:tc>
      </w:tr>
      <w:tr w14:paraId="6749C7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52" w:type="dxa"/>
            <w:shd w:val="clear" w:color="auto" w:fill="F2F5FA"/>
            <w:vAlign w:val="center"/>
          </w:tcPr>
          <w:p w14:paraId="3E9133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NFR-F-02 满员通知</w:t>
            </w:r>
          </w:p>
        </w:tc>
        <w:tc>
          <w:tcPr>
            <w:tcW w:w="1760" w:type="dxa"/>
            <w:shd w:val="clear" w:color="auto" w:fill="F2F5FA"/>
            <w:vAlign w:val="center"/>
          </w:tcPr>
          <w:p w14:paraId="62AD99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5.1</w:t>
            </w:r>
          </w:p>
        </w:tc>
        <w:tc>
          <w:tcPr>
            <w:tcW w:w="4900" w:type="dxa"/>
            <w:shd w:val="clear" w:color="auto" w:fill="F2F5FA"/>
            <w:vAlign w:val="center"/>
          </w:tcPr>
          <w:p w14:paraId="24C074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页面轮询 + 提交时后端重校验</w:t>
            </w:r>
          </w:p>
        </w:tc>
      </w:tr>
    </w:tbl>
    <w:p w14:paraId="0C5E2CB1">
      <w:pPr>
        <w:spacing w:after="80"/>
      </w:pPr>
    </w:p>
    <w:p w14:paraId="0D3EB32F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逐条追溯与测试用例的对应关系见《需求覆盖与变更清单》。</w:t>
      </w:r>
    </w:p>
    <w:sectPr>
      <w:footerReference r:id="rId5" w:type="default"/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D5BA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C6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dcterms:modified xsi:type="dcterms:W3CDTF">2026-10-08T15:23:44Z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944CB932D71448FA8E8B053AFD79E134_12</vt:lpwstr>
  </property>
</Properties>
</file>