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4B37" w:rsidRPr="00A04B37" w:rsidRDefault="00A04B37" w:rsidP="00A04B37">
      <w:pPr>
        <w:numPr>
          <w:ilvl w:val="0"/>
          <w:numId w:val="1"/>
        </w:numPr>
        <w:spacing w:after="0" w:line="240" w:lineRule="auto"/>
        <w:ind w:left="567" w:hanging="567"/>
        <w:jc w:val="both"/>
        <w:rPr>
          <w:rFonts w:ascii="Arial" w:eastAsia="Calibri" w:hAnsi="Arial" w:cs="Arial"/>
          <w:b/>
          <w:color w:val="000000" w:themeColor="text1"/>
          <w:sz w:val="24"/>
          <w:szCs w:val="24"/>
          <w:u w:val="single"/>
        </w:rPr>
      </w:pPr>
      <w:bookmarkStart w:id="0" w:name="_Hlk210062548"/>
      <w:r w:rsidRPr="00A04B37">
        <w:rPr>
          <w:rFonts w:ascii="Arial" w:eastAsia="Calibri" w:hAnsi="Arial" w:cs="Arial"/>
          <w:b/>
          <w:color w:val="000000" w:themeColor="text1"/>
          <w:sz w:val="24"/>
          <w:szCs w:val="24"/>
          <w:u w:val="single"/>
        </w:rPr>
        <w:t>TERMS OF REFERENCE</w:t>
      </w:r>
    </w:p>
    <w:p w:rsidR="00A04B37" w:rsidRPr="00A04B37" w:rsidRDefault="00A04B37" w:rsidP="00A04B37">
      <w:pPr>
        <w:spacing w:after="0" w:line="240" w:lineRule="auto"/>
        <w:ind w:left="562"/>
        <w:jc w:val="both"/>
        <w:rPr>
          <w:rFonts w:ascii="Arial" w:eastAsia="Calibri" w:hAnsi="Arial" w:cs="Arial"/>
          <w:color w:val="000000" w:themeColor="text1"/>
          <w:sz w:val="24"/>
          <w:szCs w:val="24"/>
          <w:lang w:val="en-US"/>
        </w:rPr>
      </w:pP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szCs w:val="24"/>
          <w:lang w:val="en-US"/>
        </w:rPr>
      </w:pPr>
      <w:r w:rsidRPr="00A04B37">
        <w:rPr>
          <w:rFonts w:ascii="Arial" w:eastAsia="Calibri" w:hAnsi="Arial" w:cs="Arial"/>
          <w:color w:val="000000" w:themeColor="text1"/>
          <w:sz w:val="24"/>
          <w:szCs w:val="24"/>
          <w:lang w:val="en-US"/>
        </w:rPr>
        <w:t>The Constitution upholds every Filipino’s right to accessible and affordable health care. In line with this and aligned with the country’s commitment to the World Health Organization’s International Health Regulations and the Sustainable Development Goals (SDGs), particularly SDG 3, the government recognizes the need to strengthen public health facilities across the country. However, many hospitals and clinics still lack adequate medical devices and equipment, amid rising concerns on healthcare access. Since most of these are imported and are subject to a three percent customs duty plus a twelve percent value-added tax (VAT), the added costs make health services more expensive and limit access to timely care, especially in remote and underserved areas.</w:t>
      </w: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szCs w:val="24"/>
          <w:lang w:val="en-US"/>
        </w:rPr>
      </w:pPr>
    </w:p>
    <w:p w:rsidR="00A04B37" w:rsidRPr="00A04B37" w:rsidRDefault="00A04B37" w:rsidP="00A04B37">
      <w:pPr>
        <w:spacing w:after="0" w:line="240" w:lineRule="auto"/>
        <w:ind w:firstLine="567"/>
        <w:jc w:val="both"/>
        <w:rPr>
          <w:rFonts w:ascii="Arial" w:eastAsia="Calibri" w:hAnsi="Arial" w:cs="Arial"/>
          <w:color w:val="000000" w:themeColor="text1"/>
          <w:sz w:val="24"/>
          <w:szCs w:val="24"/>
          <w:lang w:val="en-US"/>
        </w:rPr>
      </w:pPr>
      <w:r w:rsidRPr="00A04B37">
        <w:rPr>
          <w:rFonts w:ascii="Arial" w:eastAsia="Calibri" w:hAnsi="Arial" w:cs="Arial"/>
          <w:color w:val="000000" w:themeColor="text1"/>
          <w:sz w:val="24"/>
          <w:szCs w:val="24"/>
          <w:lang w:val="en-US"/>
        </w:rPr>
        <w:t>This study is made in anticipation of public hearings on the proposed exemption from VAT on the importation of medical devices and equipment.</w:t>
      </w:r>
    </w:p>
    <w:p w:rsidR="00A04B37" w:rsidRPr="00A04B37" w:rsidRDefault="00A04B37" w:rsidP="00A04B37">
      <w:pPr>
        <w:spacing w:after="0" w:line="240" w:lineRule="auto"/>
        <w:jc w:val="both"/>
        <w:rPr>
          <w:rFonts w:ascii="Arial" w:eastAsia="Calibri" w:hAnsi="Arial" w:cs="Arial"/>
          <w:color w:val="000000" w:themeColor="text1"/>
          <w:sz w:val="24"/>
          <w:szCs w:val="24"/>
          <w:lang w:val="en-US"/>
        </w:rPr>
      </w:pPr>
    </w:p>
    <w:p w:rsidR="00A04B37" w:rsidRPr="00A04B37" w:rsidRDefault="00A04B37" w:rsidP="00A04B37">
      <w:pPr>
        <w:spacing w:after="0" w:line="240" w:lineRule="auto"/>
        <w:contextualSpacing/>
        <w:jc w:val="both"/>
        <w:rPr>
          <w:rFonts w:ascii="Arial" w:eastAsia="Calibri" w:hAnsi="Arial" w:cs="Arial"/>
          <w:color w:val="000000" w:themeColor="text1"/>
          <w:sz w:val="24"/>
          <w:szCs w:val="24"/>
        </w:rPr>
      </w:pPr>
    </w:p>
    <w:p w:rsidR="00A04B37" w:rsidRPr="00A04B37" w:rsidRDefault="00A04B37" w:rsidP="00A04B37">
      <w:pPr>
        <w:tabs>
          <w:tab w:val="left" w:pos="567"/>
        </w:tabs>
        <w:spacing w:after="0" w:line="240" w:lineRule="auto"/>
        <w:contextualSpacing/>
        <w:jc w:val="both"/>
        <w:rPr>
          <w:rFonts w:ascii="Arial" w:eastAsia="Calibri" w:hAnsi="Arial" w:cs="Arial"/>
          <w:b/>
          <w:color w:val="000000" w:themeColor="text1"/>
          <w:sz w:val="24"/>
          <w:lang w:val="en-US"/>
        </w:rPr>
      </w:pPr>
      <w:r w:rsidRPr="00A04B37">
        <w:rPr>
          <w:rFonts w:ascii="Arial" w:eastAsia="Calibri" w:hAnsi="Arial" w:cs="Arial"/>
          <w:b/>
          <w:color w:val="000000" w:themeColor="text1"/>
          <w:sz w:val="24"/>
          <w:lang w:val="en-US"/>
        </w:rPr>
        <w:t>II.</w:t>
      </w:r>
      <w:r w:rsidRPr="00A04B37">
        <w:rPr>
          <w:rFonts w:ascii="Arial" w:eastAsia="Calibri" w:hAnsi="Arial" w:cs="Arial"/>
          <w:b/>
          <w:color w:val="000000" w:themeColor="text1"/>
          <w:sz w:val="24"/>
          <w:lang w:val="en-US"/>
        </w:rPr>
        <w:tab/>
        <w:t>LEGISLATIVE HISTORY</w:t>
      </w:r>
    </w:p>
    <w:p w:rsidR="00A04B37" w:rsidRPr="00A04B37" w:rsidRDefault="00A04B37" w:rsidP="00A04B37">
      <w:pPr>
        <w:spacing w:after="0" w:line="240" w:lineRule="auto"/>
        <w:ind w:left="720"/>
        <w:contextualSpacing/>
        <w:jc w:val="both"/>
        <w:rPr>
          <w:rFonts w:ascii="Arial" w:eastAsia="Calibri" w:hAnsi="Arial" w:cs="Arial"/>
          <w:color w:val="000000" w:themeColor="text1"/>
          <w:sz w:val="24"/>
          <w:lang w:val="en-US"/>
        </w:rPr>
      </w:pPr>
    </w:p>
    <w:p w:rsidR="00A04B37" w:rsidRPr="00A04B37" w:rsidRDefault="00A04B37" w:rsidP="00A04B37">
      <w:pPr>
        <w:spacing w:after="0" w:line="240" w:lineRule="auto"/>
        <w:ind w:firstLine="567"/>
        <w:jc w:val="both"/>
        <w:rPr>
          <w:rFonts w:ascii="Arial" w:eastAsia="MS Mincho" w:hAnsi="Arial" w:cs="Arial"/>
          <w:color w:val="000000" w:themeColor="text1"/>
          <w:sz w:val="24"/>
          <w:szCs w:val="24"/>
          <w:lang w:val="en-US"/>
        </w:rPr>
      </w:pPr>
      <w:r w:rsidRPr="00A04B37">
        <w:rPr>
          <w:rFonts w:ascii="Arial" w:eastAsia="MS Mincho" w:hAnsi="Arial" w:cs="Arial"/>
          <w:b/>
          <w:color w:val="000000" w:themeColor="text1"/>
          <w:sz w:val="24"/>
          <w:szCs w:val="24"/>
          <w:lang w:val="en-US"/>
        </w:rPr>
        <w:t>House Bill No. (HBN) 6112</w:t>
      </w:r>
      <w:r w:rsidRPr="00A04B37">
        <w:rPr>
          <w:rFonts w:ascii="Arial" w:eastAsia="MS Mincho" w:hAnsi="Arial" w:cs="Arial"/>
          <w:color w:val="000000" w:themeColor="text1"/>
          <w:sz w:val="24"/>
          <w:szCs w:val="24"/>
          <w:lang w:val="en-US"/>
        </w:rPr>
        <w:t xml:space="preserve">, entitled </w:t>
      </w:r>
      <w:r w:rsidRPr="00A04B37">
        <w:rPr>
          <w:rFonts w:ascii="Arial" w:eastAsia="MS Mincho" w:hAnsi="Arial" w:cs="Arial"/>
          <w:i/>
          <w:color w:val="000000" w:themeColor="text1"/>
          <w:sz w:val="24"/>
          <w:szCs w:val="24"/>
          <w:lang w:val="en-US"/>
        </w:rPr>
        <w:t>“An Act Exempting the Importation of Medical Devices and Equipment from Customs Duty and Value-Added Tax for a Period of Five (5) Years”</w:t>
      </w:r>
      <w:r w:rsidRPr="00A04B37">
        <w:rPr>
          <w:rFonts w:ascii="Arial" w:eastAsia="MS Mincho" w:hAnsi="Arial" w:cs="Arial"/>
          <w:color w:val="000000" w:themeColor="text1"/>
          <w:sz w:val="24"/>
          <w:szCs w:val="24"/>
          <w:lang w:val="en-US"/>
        </w:rPr>
        <w:t xml:space="preserve"> was filed by </w:t>
      </w:r>
      <w:r w:rsidRPr="00A04B37">
        <w:rPr>
          <w:rFonts w:ascii="Arial" w:eastAsia="MS Mincho" w:hAnsi="Arial" w:cs="Arial"/>
          <w:b/>
          <w:color w:val="000000" w:themeColor="text1"/>
          <w:sz w:val="24"/>
          <w:szCs w:val="24"/>
          <w:lang w:val="en-US"/>
        </w:rPr>
        <w:t xml:space="preserve">Representative Ricardo S. Cruz, Jr. </w:t>
      </w:r>
      <w:r w:rsidRPr="00A04B37">
        <w:rPr>
          <w:rFonts w:ascii="Arial" w:eastAsia="MS Mincho" w:hAnsi="Arial" w:cs="Arial"/>
          <w:color w:val="000000" w:themeColor="text1"/>
          <w:sz w:val="24"/>
          <w:szCs w:val="24"/>
          <w:lang w:val="en-US"/>
        </w:rPr>
        <w:t xml:space="preserve">on </w:t>
      </w:r>
      <w:r w:rsidRPr="00A04B37">
        <w:rPr>
          <w:rFonts w:ascii="Arial" w:eastAsia="MS Mincho" w:hAnsi="Arial" w:cs="Arial"/>
          <w:b/>
          <w:color w:val="000000" w:themeColor="text1"/>
          <w:sz w:val="24"/>
          <w:szCs w:val="24"/>
          <w:lang w:val="en-US"/>
        </w:rPr>
        <w:t>18 November 2025</w:t>
      </w:r>
      <w:r w:rsidRPr="00A04B37">
        <w:rPr>
          <w:rFonts w:ascii="Arial" w:eastAsia="MS Mincho" w:hAnsi="Arial" w:cs="Arial"/>
          <w:color w:val="000000" w:themeColor="text1"/>
          <w:sz w:val="24"/>
          <w:szCs w:val="24"/>
          <w:lang w:val="en-US"/>
        </w:rPr>
        <w:t xml:space="preserve">. It was approved on First Reading and primarily referred to the House Committee on Ways and Means on </w:t>
      </w:r>
      <w:r w:rsidRPr="00A04B37">
        <w:rPr>
          <w:rFonts w:ascii="Arial" w:eastAsia="MS Mincho" w:hAnsi="Arial" w:cs="Arial"/>
          <w:b/>
          <w:color w:val="000000" w:themeColor="text1"/>
          <w:sz w:val="24"/>
          <w:szCs w:val="24"/>
          <w:lang w:val="en-US"/>
        </w:rPr>
        <w:t>24 November 2025</w:t>
      </w:r>
      <w:r w:rsidRPr="00A04B37">
        <w:rPr>
          <w:rFonts w:ascii="Arial" w:eastAsia="MS Mincho" w:hAnsi="Arial" w:cs="Arial"/>
          <w:color w:val="000000" w:themeColor="text1"/>
          <w:sz w:val="24"/>
          <w:szCs w:val="24"/>
          <w:lang w:val="en-US"/>
        </w:rPr>
        <w:t>.</w:t>
      </w:r>
    </w:p>
    <w:p w:rsidR="00A04B37" w:rsidRPr="00A04B37" w:rsidRDefault="00A04B37" w:rsidP="00A04B37">
      <w:pPr>
        <w:spacing w:after="0" w:line="240" w:lineRule="auto"/>
        <w:ind w:firstLine="567"/>
        <w:jc w:val="both"/>
        <w:rPr>
          <w:rFonts w:ascii="Arial" w:eastAsia="Calibri" w:hAnsi="Arial" w:cs="Arial"/>
          <w:color w:val="000000" w:themeColor="text1"/>
          <w:sz w:val="24"/>
          <w:lang w:val="en-US"/>
        </w:rPr>
      </w:pPr>
    </w:p>
    <w:p w:rsidR="00A04B37" w:rsidRPr="00A04B37" w:rsidRDefault="00A04B37" w:rsidP="00A04B37">
      <w:pPr>
        <w:spacing w:after="0" w:line="240" w:lineRule="auto"/>
        <w:ind w:firstLine="567"/>
        <w:jc w:val="both"/>
        <w:rPr>
          <w:rFonts w:ascii="Arial" w:eastAsia="Calibri" w:hAnsi="Arial" w:cs="Arial"/>
          <w:color w:val="000000" w:themeColor="text1"/>
          <w:sz w:val="24"/>
          <w:lang w:val="en-US"/>
        </w:rPr>
      </w:pPr>
      <w:r w:rsidRPr="00A04B37">
        <w:rPr>
          <w:rFonts w:ascii="Arial" w:eastAsia="Calibri" w:hAnsi="Arial" w:cs="Arial"/>
          <w:b/>
          <w:color w:val="000000" w:themeColor="text1"/>
          <w:sz w:val="24"/>
          <w:lang w:val="en-US"/>
        </w:rPr>
        <w:t>Senate Bill No. (SBN) 347</w:t>
      </w:r>
      <w:r w:rsidRPr="00A04B37">
        <w:rPr>
          <w:rFonts w:ascii="Arial" w:eastAsia="Calibri" w:hAnsi="Arial" w:cs="Arial"/>
          <w:color w:val="000000" w:themeColor="text1"/>
          <w:sz w:val="24"/>
          <w:lang w:val="en-US"/>
        </w:rPr>
        <w:t xml:space="preserve"> or “</w:t>
      </w:r>
      <w:r w:rsidRPr="00A04B37">
        <w:rPr>
          <w:rFonts w:ascii="Arial" w:eastAsia="Calibri" w:hAnsi="Arial" w:cs="Arial"/>
          <w:i/>
          <w:color w:val="000000" w:themeColor="text1"/>
          <w:sz w:val="24"/>
          <w:lang w:val="en-US"/>
        </w:rPr>
        <w:t>An Act Exempting the Importation of Medical Devices and Equipment from Customs Duty and Value-Added Tax for a Period of Five (5) Years”</w:t>
      </w:r>
      <w:r w:rsidRPr="00A04B37">
        <w:rPr>
          <w:rFonts w:ascii="Arial" w:eastAsia="Calibri" w:hAnsi="Arial" w:cs="Arial"/>
          <w:color w:val="000000" w:themeColor="text1"/>
          <w:sz w:val="24"/>
          <w:lang w:val="en-US"/>
        </w:rPr>
        <w:t xml:space="preserve">, was filed on </w:t>
      </w:r>
      <w:r w:rsidRPr="00A04B37">
        <w:rPr>
          <w:rFonts w:ascii="Arial" w:eastAsia="Calibri" w:hAnsi="Arial" w:cs="Arial"/>
          <w:b/>
          <w:color w:val="000000" w:themeColor="text1"/>
          <w:sz w:val="24"/>
          <w:lang w:val="en-US"/>
        </w:rPr>
        <w:t>10 July 2025</w:t>
      </w:r>
      <w:r w:rsidRPr="00A04B37">
        <w:rPr>
          <w:rFonts w:ascii="Arial" w:eastAsia="Calibri" w:hAnsi="Arial" w:cs="Arial"/>
          <w:color w:val="000000" w:themeColor="text1"/>
          <w:sz w:val="24"/>
          <w:lang w:val="en-US"/>
        </w:rPr>
        <w:t xml:space="preserve"> by </w:t>
      </w:r>
      <w:r w:rsidRPr="00A04B37">
        <w:rPr>
          <w:rFonts w:ascii="Arial" w:eastAsia="Calibri" w:hAnsi="Arial" w:cs="Arial"/>
          <w:b/>
          <w:color w:val="000000" w:themeColor="text1"/>
          <w:sz w:val="24"/>
          <w:lang w:val="en-US"/>
        </w:rPr>
        <w:t>Sen. Pia S. Cayetano</w:t>
      </w:r>
      <w:r w:rsidRPr="00A04B37">
        <w:rPr>
          <w:rFonts w:ascii="Arial" w:eastAsia="Calibri" w:hAnsi="Arial" w:cs="Arial"/>
          <w:color w:val="000000" w:themeColor="text1"/>
          <w:sz w:val="24"/>
          <w:lang w:val="en-US"/>
        </w:rPr>
        <w:t xml:space="preserve">.  The measure was primarily referred to the Committee on Ways and Means on </w:t>
      </w:r>
      <w:r w:rsidRPr="00A04B37">
        <w:rPr>
          <w:rFonts w:ascii="Arial" w:eastAsia="Calibri" w:hAnsi="Arial" w:cs="Arial"/>
          <w:b/>
          <w:color w:val="000000" w:themeColor="text1"/>
          <w:sz w:val="24"/>
          <w:lang w:val="en-US"/>
        </w:rPr>
        <w:t>11 August 2025</w:t>
      </w:r>
      <w:r w:rsidRPr="00A04B37">
        <w:rPr>
          <w:rFonts w:ascii="Arial" w:eastAsia="Calibri" w:hAnsi="Arial" w:cs="Arial"/>
          <w:color w:val="000000" w:themeColor="text1"/>
          <w:sz w:val="24"/>
          <w:lang w:val="en-US"/>
        </w:rPr>
        <w:t xml:space="preserve">. </w:t>
      </w:r>
    </w:p>
    <w:p w:rsidR="00A04B37" w:rsidRPr="00A04B37" w:rsidRDefault="00A04B37" w:rsidP="00A04B37">
      <w:pPr>
        <w:spacing w:after="0" w:line="240" w:lineRule="auto"/>
        <w:ind w:firstLine="567"/>
        <w:jc w:val="both"/>
        <w:rPr>
          <w:rFonts w:ascii="Arial" w:eastAsia="Calibri" w:hAnsi="Arial" w:cs="Arial"/>
          <w:color w:val="000000" w:themeColor="text1"/>
          <w:sz w:val="24"/>
          <w:lang w:val="en-US"/>
        </w:rPr>
      </w:pPr>
    </w:p>
    <w:p w:rsidR="00A04B37" w:rsidRPr="00A04B37" w:rsidRDefault="00A04B37" w:rsidP="00A04B37">
      <w:pPr>
        <w:spacing w:after="0" w:line="240" w:lineRule="auto"/>
        <w:ind w:firstLine="567"/>
        <w:jc w:val="both"/>
        <w:rPr>
          <w:rFonts w:ascii="Arial" w:eastAsia="MS Mincho" w:hAnsi="Arial" w:cs="Arial"/>
          <w:color w:val="000000" w:themeColor="text1"/>
          <w:sz w:val="24"/>
          <w:szCs w:val="24"/>
          <w:lang w:val="en-US"/>
        </w:rPr>
      </w:pPr>
      <w:r w:rsidRPr="00A04B37">
        <w:rPr>
          <w:rFonts w:ascii="Arial" w:eastAsia="MS Mincho" w:hAnsi="Arial" w:cs="Arial"/>
          <w:color w:val="000000" w:themeColor="text1"/>
          <w:sz w:val="24"/>
          <w:szCs w:val="24"/>
          <w:lang w:val="en-US"/>
        </w:rPr>
        <w:t xml:space="preserve">Both bills are currently </w:t>
      </w:r>
      <w:r w:rsidRPr="00A04B37">
        <w:rPr>
          <w:rFonts w:ascii="Arial" w:eastAsia="MS Mincho" w:hAnsi="Arial" w:cs="Arial"/>
          <w:b/>
          <w:color w:val="000000" w:themeColor="text1"/>
          <w:sz w:val="24"/>
          <w:szCs w:val="24"/>
          <w:lang w:val="en-US"/>
        </w:rPr>
        <w:t>pending with their respective Committees</w:t>
      </w:r>
      <w:r w:rsidRPr="00A04B37">
        <w:rPr>
          <w:rFonts w:ascii="Arial" w:eastAsia="MS Mincho" w:hAnsi="Arial" w:cs="Arial"/>
          <w:color w:val="000000" w:themeColor="text1"/>
          <w:sz w:val="24"/>
          <w:szCs w:val="24"/>
          <w:lang w:val="en-US"/>
        </w:rPr>
        <w:t>.</w:t>
      </w:r>
    </w:p>
    <w:p w:rsidR="00A04B37" w:rsidRPr="00A04B37" w:rsidRDefault="00A04B37" w:rsidP="00A04B37">
      <w:pPr>
        <w:spacing w:after="0" w:line="240" w:lineRule="auto"/>
        <w:contextualSpacing/>
        <w:jc w:val="both"/>
        <w:rPr>
          <w:rFonts w:ascii="Arial" w:eastAsia="Calibri" w:hAnsi="Arial" w:cs="Arial"/>
          <w:color w:val="000000" w:themeColor="text1"/>
          <w:sz w:val="24"/>
          <w:szCs w:val="24"/>
        </w:rPr>
      </w:pPr>
    </w:p>
    <w:p w:rsidR="00A04B37" w:rsidRPr="00A04B37" w:rsidRDefault="00A04B37" w:rsidP="00A04B37">
      <w:pPr>
        <w:spacing w:after="0" w:line="240" w:lineRule="auto"/>
        <w:contextualSpacing/>
        <w:jc w:val="both"/>
        <w:rPr>
          <w:rFonts w:ascii="Arial" w:eastAsia="Calibri" w:hAnsi="Arial" w:cs="Arial"/>
          <w:color w:val="000000" w:themeColor="text1"/>
          <w:sz w:val="24"/>
          <w:szCs w:val="24"/>
        </w:rPr>
      </w:pPr>
    </w:p>
    <w:p w:rsidR="00A04B37" w:rsidRPr="00A04B37" w:rsidRDefault="00A04B37" w:rsidP="00A04B37">
      <w:pPr>
        <w:tabs>
          <w:tab w:val="left" w:pos="567"/>
        </w:tabs>
        <w:spacing w:after="0" w:line="240" w:lineRule="auto"/>
        <w:contextualSpacing/>
        <w:jc w:val="both"/>
        <w:rPr>
          <w:rFonts w:ascii="Arial" w:eastAsia="Calibri" w:hAnsi="Arial" w:cs="Arial"/>
          <w:b/>
          <w:color w:val="000000" w:themeColor="text1"/>
          <w:sz w:val="24"/>
          <w:lang w:val="en-US"/>
        </w:rPr>
      </w:pPr>
      <w:r w:rsidRPr="00A04B37">
        <w:rPr>
          <w:rFonts w:ascii="Arial" w:eastAsia="Calibri" w:hAnsi="Arial" w:cs="Arial"/>
          <w:b/>
          <w:color w:val="000000" w:themeColor="text1"/>
          <w:sz w:val="24"/>
          <w:lang w:val="en-US"/>
        </w:rPr>
        <w:t>III.</w:t>
      </w:r>
      <w:r w:rsidRPr="00A04B37">
        <w:rPr>
          <w:rFonts w:ascii="Arial" w:eastAsia="Calibri" w:hAnsi="Arial" w:cs="Arial"/>
          <w:b/>
          <w:color w:val="000000" w:themeColor="text1"/>
          <w:sz w:val="24"/>
          <w:lang w:val="en-US"/>
        </w:rPr>
        <w:tab/>
        <w:t>SALIENT FEATURES OF SBN 347 AND HBN 6112</w:t>
      </w:r>
    </w:p>
    <w:p w:rsidR="00A04B37" w:rsidRPr="00A04B37" w:rsidRDefault="00A04B37" w:rsidP="00A04B37">
      <w:pPr>
        <w:tabs>
          <w:tab w:val="left" w:pos="567"/>
        </w:tabs>
        <w:spacing w:after="0" w:line="240" w:lineRule="auto"/>
        <w:contextualSpacing/>
        <w:jc w:val="both"/>
        <w:rPr>
          <w:rFonts w:ascii="Arial" w:eastAsia="Calibri" w:hAnsi="Arial" w:cs="Arial"/>
          <w:color w:val="000000" w:themeColor="text1"/>
          <w:sz w:val="24"/>
          <w:lang w:val="en-US"/>
        </w:rPr>
      </w:pP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lang w:val="en-US"/>
        </w:rPr>
      </w:pPr>
      <w:r w:rsidRPr="00A04B37">
        <w:rPr>
          <w:rFonts w:ascii="Arial" w:eastAsia="Calibri" w:hAnsi="Arial" w:cs="Arial"/>
          <w:i/>
          <w:color w:val="000000"/>
          <w:sz w:val="24"/>
          <w:lang w:val="en-US"/>
        </w:rPr>
        <w:t xml:space="preserve">SBN </w:t>
      </w:r>
      <w:r w:rsidRPr="00A04B37">
        <w:rPr>
          <w:rFonts w:ascii="Arial" w:eastAsia="Calibri" w:hAnsi="Arial" w:cs="Arial"/>
          <w:i/>
          <w:color w:val="000000" w:themeColor="text1"/>
          <w:sz w:val="24"/>
          <w:lang w:val="en-US"/>
        </w:rPr>
        <w:t>347</w:t>
      </w:r>
      <w:r w:rsidRPr="00A04B37">
        <w:rPr>
          <w:rFonts w:ascii="Arial" w:eastAsia="Calibri" w:hAnsi="Arial" w:cs="Arial"/>
          <w:color w:val="000000" w:themeColor="text1"/>
          <w:sz w:val="24"/>
          <w:lang w:val="en-US"/>
        </w:rPr>
        <w:t xml:space="preserve"> aims to bridge the gap in access to essential medical devices and equipment, particularly in public health facilities outside Metro Manila. By granting a five-year exemption from customs duties and taxes on imported medical devices and equipment intended for research, diagnosis, and treatment, the measure seeks to reduce costs and strengthen the capacity of hospitals and laboratories to deliver quality health care. </w:t>
      </w: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lang w:val="en-US"/>
        </w:rPr>
      </w:pP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lang w:val="en-US"/>
        </w:rPr>
      </w:pPr>
      <w:r w:rsidRPr="00A04B37">
        <w:rPr>
          <w:rFonts w:ascii="Arial" w:eastAsia="Calibri" w:hAnsi="Arial" w:cs="Arial"/>
          <w:color w:val="000000" w:themeColor="text1"/>
          <w:sz w:val="24"/>
          <w:lang w:val="en-US"/>
        </w:rPr>
        <w:t xml:space="preserve">As provided in the bill, the Department of Health will identify and prioritize the medical technologies covered under this exemption to ensure that only essential and high-impact equipment are included. After the exemption period, regular tax rates will apply, subject to review. </w:t>
      </w: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lang w:val="en-US"/>
        </w:rPr>
      </w:pPr>
    </w:p>
    <w:p w:rsidR="00A04B37" w:rsidRPr="00A04B37" w:rsidRDefault="00A04B37" w:rsidP="00A04B37">
      <w:pPr>
        <w:spacing w:after="0" w:line="240" w:lineRule="auto"/>
        <w:ind w:firstLine="567"/>
        <w:contextualSpacing/>
        <w:jc w:val="both"/>
        <w:rPr>
          <w:rFonts w:ascii="Arial" w:eastAsia="MS Mincho" w:hAnsi="Arial" w:cs="Arial"/>
          <w:color w:val="000000" w:themeColor="text1"/>
          <w:sz w:val="24"/>
          <w:szCs w:val="24"/>
          <w:lang w:val="en-US"/>
        </w:rPr>
      </w:pPr>
      <w:r w:rsidRPr="00A04B37">
        <w:rPr>
          <w:rFonts w:ascii="Arial" w:eastAsia="MS Mincho" w:hAnsi="Arial" w:cs="Arial"/>
          <w:i/>
          <w:color w:val="000000" w:themeColor="text1"/>
          <w:sz w:val="24"/>
          <w:szCs w:val="24"/>
          <w:lang w:val="en-US"/>
        </w:rPr>
        <w:t>HBN 6112</w:t>
      </w:r>
      <w:r w:rsidRPr="00A04B37">
        <w:rPr>
          <w:rFonts w:ascii="Arial" w:eastAsia="MS Mincho" w:hAnsi="Arial" w:cs="Arial"/>
          <w:color w:val="000000" w:themeColor="text1"/>
          <w:sz w:val="24"/>
          <w:szCs w:val="24"/>
          <w:lang w:val="en-US"/>
        </w:rPr>
        <w:t xml:space="preserve"> contains the same intent and provisions, granting a five-year exemption from customs duties and taxes on imported medical devices and equipment intended for research, diagnosis, and treatment. The proposed measure seeks to </w:t>
      </w:r>
      <w:r w:rsidRPr="00A04B37">
        <w:rPr>
          <w:rFonts w:ascii="Arial" w:eastAsia="MS Mincho" w:hAnsi="Arial" w:cs="Arial"/>
          <w:color w:val="000000" w:themeColor="text1"/>
          <w:sz w:val="24"/>
          <w:szCs w:val="24"/>
          <w:lang w:val="en-US"/>
        </w:rPr>
        <w:lastRenderedPageBreak/>
        <w:t>reduce costs and strengthen the capacity of hospitals and laboratories to deliver quality health care, while also affirming the Philippines’ commitment to the Sustainable Development Goals, particularly SDG 3 on ensuring healthy lives and promote well-being for all at all ages. It aims to eradicate a wide range of diseases, address emerging health crises, and provide universal access to quality healthcare.</w:t>
      </w:r>
    </w:p>
    <w:p w:rsidR="00A04B37" w:rsidRPr="00A04B37" w:rsidRDefault="00A04B37" w:rsidP="00A04B37">
      <w:pPr>
        <w:spacing w:after="0" w:line="240" w:lineRule="auto"/>
        <w:ind w:firstLine="567"/>
        <w:contextualSpacing/>
        <w:jc w:val="both"/>
        <w:rPr>
          <w:rFonts w:ascii="Arial" w:eastAsia="MS Mincho" w:hAnsi="Arial" w:cs="Arial"/>
          <w:color w:val="000000" w:themeColor="text1"/>
          <w:sz w:val="24"/>
          <w:szCs w:val="24"/>
          <w:lang w:val="en-US"/>
        </w:rPr>
      </w:pPr>
    </w:p>
    <w:p w:rsidR="00A04B37" w:rsidRPr="00A04B37" w:rsidRDefault="00A04B37" w:rsidP="00A04B37">
      <w:pPr>
        <w:spacing w:after="0" w:line="240" w:lineRule="auto"/>
        <w:ind w:firstLine="567"/>
        <w:contextualSpacing/>
        <w:jc w:val="both"/>
        <w:rPr>
          <w:rFonts w:ascii="Arial" w:eastAsia="MS Mincho" w:hAnsi="Arial" w:cs="Arial"/>
          <w:color w:val="000000" w:themeColor="text1"/>
          <w:sz w:val="24"/>
          <w:szCs w:val="24"/>
          <w:lang w:val="en-US"/>
        </w:rPr>
      </w:pPr>
      <w:r w:rsidRPr="00A04B37">
        <w:rPr>
          <w:rFonts w:ascii="Arial" w:eastAsia="MS Mincho" w:hAnsi="Arial" w:cs="Arial"/>
          <w:color w:val="000000" w:themeColor="text1"/>
          <w:sz w:val="24"/>
          <w:szCs w:val="24"/>
          <w:lang w:val="en-US"/>
        </w:rPr>
        <w:t>Both bills are identical to each other.</w:t>
      </w:r>
    </w:p>
    <w:p w:rsidR="00A04B37" w:rsidRPr="00A04B37" w:rsidRDefault="00A04B37" w:rsidP="00A04B37">
      <w:pPr>
        <w:spacing w:after="0" w:line="240" w:lineRule="auto"/>
        <w:ind w:firstLine="567"/>
        <w:contextualSpacing/>
        <w:jc w:val="both"/>
        <w:rPr>
          <w:rFonts w:ascii="Arial" w:eastAsia="MS Mincho" w:hAnsi="Arial" w:cs="Arial"/>
          <w:color w:val="000000" w:themeColor="text1"/>
          <w:sz w:val="24"/>
          <w:szCs w:val="24"/>
          <w:lang w:val="en-US"/>
        </w:rPr>
      </w:pPr>
    </w:p>
    <w:p w:rsidR="00A04B37" w:rsidRPr="00A04B37" w:rsidRDefault="00A04B37" w:rsidP="00A04B37">
      <w:pPr>
        <w:spacing w:after="0" w:line="240" w:lineRule="auto"/>
        <w:ind w:firstLine="567"/>
        <w:contextualSpacing/>
        <w:jc w:val="both"/>
        <w:rPr>
          <w:rFonts w:ascii="Arial" w:eastAsia="MS Mincho" w:hAnsi="Arial" w:cs="Arial"/>
          <w:color w:val="000000" w:themeColor="text1"/>
          <w:sz w:val="24"/>
          <w:szCs w:val="24"/>
          <w:lang w:val="en-US"/>
        </w:rPr>
      </w:pPr>
    </w:p>
    <w:p w:rsidR="00A04B37" w:rsidRPr="00A04B37" w:rsidRDefault="00A04B37" w:rsidP="00A04B37">
      <w:pPr>
        <w:numPr>
          <w:ilvl w:val="0"/>
          <w:numId w:val="8"/>
        </w:numPr>
        <w:tabs>
          <w:tab w:val="left" w:pos="567"/>
        </w:tabs>
        <w:spacing w:after="0" w:line="240" w:lineRule="auto"/>
        <w:ind w:left="567" w:hanging="567"/>
        <w:contextualSpacing/>
        <w:jc w:val="both"/>
        <w:rPr>
          <w:rFonts w:ascii="Arial" w:eastAsia="Calibri" w:hAnsi="Arial" w:cs="Arial"/>
          <w:b/>
          <w:color w:val="000000" w:themeColor="text1"/>
          <w:sz w:val="24"/>
          <w:szCs w:val="24"/>
        </w:rPr>
      </w:pPr>
      <w:r w:rsidRPr="00A04B37">
        <w:rPr>
          <w:rFonts w:ascii="Arial" w:eastAsia="MS Mincho" w:hAnsi="Arial" w:cs="Arial"/>
          <w:b/>
          <w:color w:val="000000" w:themeColor="text1"/>
          <w:sz w:val="24"/>
          <w:szCs w:val="24"/>
          <w:lang w:val="en-US"/>
        </w:rPr>
        <w:t>LEGAL BASES</w:t>
      </w:r>
    </w:p>
    <w:p w:rsidR="00A04B37" w:rsidRPr="00A04B37" w:rsidRDefault="00A04B37" w:rsidP="00A04B37">
      <w:pPr>
        <w:spacing w:after="0" w:line="240" w:lineRule="auto"/>
        <w:ind w:left="567"/>
        <w:contextualSpacing/>
        <w:jc w:val="both"/>
        <w:rPr>
          <w:rFonts w:ascii="Arial" w:eastAsia="Calibri" w:hAnsi="Arial" w:cs="Arial"/>
          <w:color w:val="000000" w:themeColor="text1"/>
          <w:spacing w:val="1"/>
          <w:sz w:val="24"/>
          <w:szCs w:val="24"/>
        </w:rPr>
      </w:pPr>
    </w:p>
    <w:p w:rsidR="00A04B37" w:rsidRPr="00A04B37" w:rsidRDefault="00A04B37" w:rsidP="00A04B37">
      <w:pPr>
        <w:numPr>
          <w:ilvl w:val="0"/>
          <w:numId w:val="9"/>
        </w:numPr>
        <w:tabs>
          <w:tab w:val="left" w:pos="567"/>
        </w:tabs>
        <w:spacing w:after="0" w:line="240" w:lineRule="auto"/>
        <w:ind w:left="567" w:hanging="567"/>
        <w:contextualSpacing/>
        <w:jc w:val="both"/>
        <w:rPr>
          <w:rFonts w:ascii="Arial" w:eastAsia="Calibri" w:hAnsi="Arial" w:cs="Arial"/>
          <w:color w:val="000000" w:themeColor="text1"/>
          <w:sz w:val="24"/>
          <w:szCs w:val="24"/>
        </w:rPr>
      </w:pPr>
      <w:r w:rsidRPr="00A04B37">
        <w:rPr>
          <w:rFonts w:ascii="Arial" w:eastAsia="Calibri" w:hAnsi="Arial" w:cs="Arial"/>
          <w:b/>
          <w:i/>
          <w:color w:val="000000" w:themeColor="text1"/>
          <w:sz w:val="24"/>
          <w:szCs w:val="24"/>
        </w:rPr>
        <w:t xml:space="preserve">Revenue Memorandum Circular No. 7-2024 </w:t>
      </w:r>
      <w:r w:rsidRPr="00A04B37">
        <w:rPr>
          <w:rFonts w:ascii="Arial" w:eastAsia="Calibri" w:hAnsi="Arial" w:cs="Arial"/>
          <w:color w:val="000000" w:themeColor="text1"/>
          <w:sz w:val="24"/>
          <w:szCs w:val="24"/>
        </w:rPr>
        <w:t>(January 11, 2024) – This Circular informs taxpayers of the reversion of the Value-Added Tax (VAT) exemption of transactions specified under Section 109 (BB) of the Tax Code of 1997, as amended.</w:t>
      </w:r>
    </w:p>
    <w:p w:rsidR="00A04B37" w:rsidRPr="00A04B37" w:rsidRDefault="00A04B37" w:rsidP="00A04B37">
      <w:pPr>
        <w:tabs>
          <w:tab w:val="left" w:pos="567"/>
        </w:tabs>
        <w:spacing w:after="0" w:line="240" w:lineRule="auto"/>
        <w:ind w:left="720"/>
        <w:contextualSpacing/>
        <w:jc w:val="both"/>
        <w:rPr>
          <w:rFonts w:ascii="Arial" w:eastAsia="Calibri" w:hAnsi="Arial" w:cs="Arial"/>
          <w:color w:val="000000" w:themeColor="text1"/>
          <w:sz w:val="24"/>
          <w:szCs w:val="24"/>
        </w:rPr>
      </w:pPr>
    </w:p>
    <w:p w:rsidR="00A04B37" w:rsidRPr="00A04B37" w:rsidRDefault="00A04B37" w:rsidP="00A04B37">
      <w:pPr>
        <w:tabs>
          <w:tab w:val="left" w:pos="851"/>
        </w:tabs>
        <w:spacing w:after="0" w:line="240" w:lineRule="auto"/>
        <w:ind w:left="567"/>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Pursuant to Section 12 of Republic Act No. 11534, (CREATE Act), as implemented by Revenue Regulations No. 4-2021, the following transactions under Section 109 (BB) of the Tax Code of 1997, as amended, shall no longer be exempt from VAT effective January 1, 2024, to wit:</w:t>
      </w:r>
    </w:p>
    <w:p w:rsidR="00A04B37" w:rsidRPr="00A04B37" w:rsidRDefault="00A04B37" w:rsidP="00A04B37">
      <w:pPr>
        <w:tabs>
          <w:tab w:val="left" w:pos="851"/>
        </w:tabs>
        <w:spacing w:after="0" w:line="240" w:lineRule="auto"/>
        <w:ind w:left="567"/>
        <w:contextualSpacing/>
        <w:jc w:val="both"/>
        <w:rPr>
          <w:rFonts w:ascii="Arial" w:eastAsia="Calibri" w:hAnsi="Arial" w:cs="Arial"/>
          <w:color w:val="000000" w:themeColor="text1"/>
          <w:sz w:val="24"/>
          <w:szCs w:val="24"/>
        </w:rPr>
      </w:pPr>
    </w:p>
    <w:p w:rsidR="00A04B37" w:rsidRPr="00A04B37" w:rsidRDefault="00A04B37" w:rsidP="00A04B37">
      <w:pPr>
        <w:tabs>
          <w:tab w:val="left" w:pos="851"/>
        </w:tabs>
        <w:spacing w:after="0" w:line="240" w:lineRule="auto"/>
        <w:ind w:left="567"/>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Sale or importation of the following:</w:t>
      </w:r>
    </w:p>
    <w:p w:rsidR="00A04B37" w:rsidRPr="00A04B37" w:rsidRDefault="00A04B37" w:rsidP="00A04B37">
      <w:pPr>
        <w:tabs>
          <w:tab w:val="left" w:pos="851"/>
        </w:tabs>
        <w:spacing w:after="0" w:line="240" w:lineRule="auto"/>
        <w:ind w:left="567"/>
        <w:contextualSpacing/>
        <w:jc w:val="both"/>
        <w:rPr>
          <w:rFonts w:ascii="Arial" w:eastAsia="Calibri" w:hAnsi="Arial" w:cs="Arial"/>
          <w:color w:val="000000" w:themeColor="text1"/>
          <w:sz w:val="24"/>
          <w:szCs w:val="24"/>
        </w:rPr>
      </w:pPr>
    </w:p>
    <w:p w:rsidR="00A04B37" w:rsidRPr="00A04B37" w:rsidRDefault="00A04B37" w:rsidP="00A04B37">
      <w:pPr>
        <w:tabs>
          <w:tab w:val="left" w:pos="851"/>
        </w:tabs>
        <w:spacing w:after="0" w:line="240" w:lineRule="auto"/>
        <w:ind w:left="851" w:hanging="284"/>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a. Capital equipment, its spare parts and raw materials, necessary for the production of personal protective equipment components such as coveralls, gown, surgical cap, surgical mask, N-95 mask, scrub suits, goggles and face shield, double or surgical gloves, dedicated shoes, and shoe covers, for COVID-19 prevention;</w:t>
      </w:r>
    </w:p>
    <w:p w:rsidR="00A04B37" w:rsidRPr="00A04B37" w:rsidRDefault="00A04B37" w:rsidP="00A04B37">
      <w:pPr>
        <w:tabs>
          <w:tab w:val="left" w:pos="851"/>
        </w:tabs>
        <w:spacing w:after="0" w:line="240" w:lineRule="auto"/>
        <w:ind w:left="851" w:hanging="284"/>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b. All drugs, vaccines and medical devices specifically prescribed and directly used for the treatment of COVID-19; and</w:t>
      </w:r>
    </w:p>
    <w:p w:rsidR="00A04B37" w:rsidRPr="00A04B37" w:rsidRDefault="00A04B37" w:rsidP="00A04B37">
      <w:pPr>
        <w:tabs>
          <w:tab w:val="left" w:pos="851"/>
        </w:tabs>
        <w:spacing w:after="0" w:line="240" w:lineRule="auto"/>
        <w:ind w:left="851" w:hanging="284"/>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c. Drugs for the treatment of COVID-19 approved by the Food and Drug Administration (FDA) for use in clinical trials, including raw materials directly necessary for the production of such drugs.</w:t>
      </w:r>
    </w:p>
    <w:p w:rsidR="00A04B37" w:rsidRPr="00A04B37" w:rsidRDefault="00A04B37" w:rsidP="00A04B37">
      <w:pPr>
        <w:tabs>
          <w:tab w:val="left" w:pos="567"/>
        </w:tabs>
        <w:spacing w:after="0" w:line="240" w:lineRule="auto"/>
        <w:ind w:left="720"/>
        <w:contextualSpacing/>
        <w:jc w:val="both"/>
        <w:rPr>
          <w:rFonts w:ascii="Arial" w:eastAsia="Calibri" w:hAnsi="Arial" w:cs="Arial"/>
          <w:color w:val="000000" w:themeColor="text1"/>
          <w:sz w:val="24"/>
          <w:szCs w:val="24"/>
        </w:rPr>
      </w:pPr>
    </w:p>
    <w:p w:rsidR="00A04B37" w:rsidRPr="00A04B37" w:rsidRDefault="00A04B37" w:rsidP="00A04B37">
      <w:pPr>
        <w:tabs>
          <w:tab w:val="left" w:pos="567"/>
        </w:tabs>
        <w:spacing w:after="0" w:line="240" w:lineRule="auto"/>
        <w:ind w:left="720"/>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The said transactions shall now be subject to VAT starting January 1, 2024.</w:t>
      </w:r>
    </w:p>
    <w:p w:rsidR="00A04B37" w:rsidRPr="00A04B37" w:rsidRDefault="00A04B37" w:rsidP="00A04B37">
      <w:pPr>
        <w:tabs>
          <w:tab w:val="left" w:pos="567"/>
        </w:tabs>
        <w:spacing w:after="0" w:line="240" w:lineRule="auto"/>
        <w:ind w:left="720"/>
        <w:contextualSpacing/>
        <w:jc w:val="both"/>
        <w:rPr>
          <w:rFonts w:ascii="Arial" w:eastAsia="Calibri" w:hAnsi="Arial" w:cs="Arial"/>
          <w:color w:val="000000" w:themeColor="text1"/>
          <w:sz w:val="24"/>
          <w:szCs w:val="24"/>
        </w:rPr>
      </w:pPr>
    </w:p>
    <w:p w:rsidR="00A04B37" w:rsidRPr="00A04B37" w:rsidRDefault="00A04B37" w:rsidP="00A04B37">
      <w:pPr>
        <w:numPr>
          <w:ilvl w:val="0"/>
          <w:numId w:val="7"/>
        </w:numPr>
        <w:shd w:val="clear" w:color="auto" w:fill="FFFFFF"/>
        <w:tabs>
          <w:tab w:val="left" w:pos="567"/>
        </w:tabs>
        <w:spacing w:after="0" w:line="240" w:lineRule="auto"/>
        <w:ind w:left="567" w:hanging="567"/>
        <w:contextualSpacing/>
        <w:jc w:val="both"/>
        <w:rPr>
          <w:rFonts w:ascii="Arial" w:eastAsia="Calibri" w:hAnsi="Arial" w:cs="Arial"/>
          <w:b/>
          <w:i/>
          <w:color w:val="000000" w:themeColor="text1"/>
          <w:sz w:val="24"/>
          <w:szCs w:val="24"/>
        </w:rPr>
      </w:pPr>
      <w:r w:rsidRPr="00A04B37">
        <w:rPr>
          <w:rFonts w:ascii="Arial" w:eastAsia="Calibri" w:hAnsi="Arial" w:cs="Arial"/>
          <w:b/>
          <w:i/>
          <w:color w:val="000000" w:themeColor="text1"/>
          <w:spacing w:val="1"/>
          <w:sz w:val="24"/>
          <w:szCs w:val="24"/>
        </w:rPr>
        <w:t>RA No. 11534 (Corporate Recovery and Tax Incentives for Enterprises Act or CREATE Act)</w:t>
      </w:r>
    </w:p>
    <w:p w:rsidR="00A04B37" w:rsidRPr="00A04B37" w:rsidRDefault="00A04B37" w:rsidP="00A04B37">
      <w:pPr>
        <w:tabs>
          <w:tab w:val="left" w:pos="567"/>
        </w:tabs>
        <w:spacing w:after="0" w:line="240" w:lineRule="auto"/>
        <w:contextualSpacing/>
        <w:jc w:val="both"/>
        <w:rPr>
          <w:rFonts w:ascii="Arial" w:eastAsia="Calibri" w:hAnsi="Arial" w:cs="Arial"/>
          <w:b/>
          <w:color w:val="000000" w:themeColor="text1"/>
          <w:sz w:val="24"/>
          <w:szCs w:val="24"/>
          <w:highlight w:val="yellow"/>
        </w:rPr>
      </w:pPr>
    </w:p>
    <w:p w:rsidR="00A04B37" w:rsidRPr="00A04B37" w:rsidRDefault="00A04B37" w:rsidP="00A04B37">
      <w:pPr>
        <w:tabs>
          <w:tab w:val="left" w:pos="567"/>
        </w:tabs>
        <w:spacing w:after="0" w:line="240" w:lineRule="auto"/>
        <w:ind w:left="567"/>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As amended by RA 11534 (Section 12 of the CREATE Act), Sec. 109(BB) of the National Internal Revenue Code provides that the VAT exemption on the sale or importation of medical devices and equipment specifically prescribed and directly used for the treatment of COVID</w:t>
      </w:r>
      <w:r w:rsidRPr="00A04B37">
        <w:rPr>
          <w:rFonts w:ascii="Cambria Math" w:eastAsia="Calibri" w:hAnsi="Cambria Math" w:cs="Cambria Math"/>
          <w:color w:val="000000" w:themeColor="text1"/>
          <w:sz w:val="24"/>
          <w:szCs w:val="24"/>
        </w:rPr>
        <w:t>‑</w:t>
      </w:r>
      <w:r w:rsidRPr="00A04B37">
        <w:rPr>
          <w:rFonts w:ascii="Arial" w:eastAsia="Calibri" w:hAnsi="Arial" w:cs="Arial"/>
          <w:color w:val="000000" w:themeColor="text1"/>
          <w:sz w:val="24"/>
          <w:szCs w:val="24"/>
        </w:rPr>
        <w:t>19 shall apply only from January 1, 2021 until December 31, 2023. After the expiration of this period, the exemption no longer applies, and such medical devices are once again subject to the prevailing twelve percent (12%) VAT under Sections 106 - 107 of the NIRC.</w:t>
      </w:r>
    </w:p>
    <w:p w:rsidR="00A04B37" w:rsidRPr="00A04B37" w:rsidRDefault="00A04B37" w:rsidP="00A04B37">
      <w:pPr>
        <w:tabs>
          <w:tab w:val="left" w:pos="567"/>
        </w:tabs>
        <w:spacing w:after="0" w:line="240" w:lineRule="auto"/>
        <w:contextualSpacing/>
        <w:jc w:val="both"/>
        <w:rPr>
          <w:rFonts w:ascii="Arial" w:eastAsia="Calibri" w:hAnsi="Arial" w:cs="Arial"/>
          <w:color w:val="000000" w:themeColor="text1"/>
          <w:sz w:val="24"/>
          <w:szCs w:val="24"/>
          <w:highlight w:val="yellow"/>
        </w:rPr>
      </w:pPr>
    </w:p>
    <w:p w:rsidR="00A04B37" w:rsidRPr="00A04B37" w:rsidRDefault="00A04B37" w:rsidP="00A04B37">
      <w:pPr>
        <w:numPr>
          <w:ilvl w:val="0"/>
          <w:numId w:val="7"/>
        </w:numPr>
        <w:tabs>
          <w:tab w:val="left" w:pos="567"/>
        </w:tabs>
        <w:spacing w:after="0" w:line="240" w:lineRule="auto"/>
        <w:ind w:left="567" w:hanging="567"/>
        <w:contextualSpacing/>
        <w:jc w:val="both"/>
        <w:rPr>
          <w:rFonts w:ascii="Arial" w:eastAsia="Calibri" w:hAnsi="Arial" w:cs="Arial"/>
          <w:color w:val="000000" w:themeColor="text1"/>
          <w:spacing w:val="1"/>
          <w:sz w:val="24"/>
          <w:szCs w:val="24"/>
        </w:rPr>
      </w:pPr>
      <w:r w:rsidRPr="00A04B37">
        <w:rPr>
          <w:rFonts w:ascii="Arial" w:eastAsia="Calibri" w:hAnsi="Arial" w:cs="Arial"/>
          <w:b/>
          <w:color w:val="000000" w:themeColor="text1"/>
          <w:sz w:val="24"/>
          <w:szCs w:val="24"/>
        </w:rPr>
        <w:t xml:space="preserve">National Internal Revenue Code (NIRC) of 1997, As Amended </w:t>
      </w:r>
    </w:p>
    <w:p w:rsidR="00A04B37" w:rsidRPr="00A04B37" w:rsidRDefault="00A04B37" w:rsidP="00A04B37">
      <w:pPr>
        <w:ind w:left="567"/>
        <w:contextualSpacing/>
        <w:jc w:val="both"/>
        <w:rPr>
          <w:rFonts w:ascii="Arial" w:eastAsia="Calibri" w:hAnsi="Arial" w:cs="Arial"/>
          <w:color w:val="000000" w:themeColor="text1"/>
          <w:spacing w:val="1"/>
          <w:sz w:val="24"/>
          <w:szCs w:val="24"/>
        </w:rPr>
      </w:pPr>
    </w:p>
    <w:p w:rsidR="00A04B37" w:rsidRPr="00A04B37" w:rsidRDefault="00A04B37" w:rsidP="00A04B37">
      <w:pPr>
        <w:ind w:left="567"/>
        <w:contextualSpacing/>
        <w:jc w:val="both"/>
        <w:rPr>
          <w:rFonts w:ascii="Arial" w:eastAsia="Calibri" w:hAnsi="Arial" w:cs="Arial"/>
          <w:color w:val="000000" w:themeColor="text1"/>
          <w:spacing w:val="1"/>
          <w:sz w:val="24"/>
          <w:szCs w:val="24"/>
        </w:rPr>
      </w:pPr>
      <w:r w:rsidRPr="00A04B37">
        <w:rPr>
          <w:rFonts w:ascii="Arial" w:eastAsia="Calibri" w:hAnsi="Arial" w:cs="Arial"/>
          <w:color w:val="000000" w:themeColor="text1"/>
          <w:spacing w:val="1"/>
          <w:sz w:val="24"/>
          <w:szCs w:val="24"/>
        </w:rPr>
        <w:lastRenderedPageBreak/>
        <w:t>Section 107(A) of the National Internal Revenue Code of 1997, as amended, provides that a value</w:t>
      </w:r>
      <w:r w:rsidRPr="00A04B37">
        <w:rPr>
          <w:rFonts w:ascii="Cambria Math" w:eastAsia="Calibri" w:hAnsi="Cambria Math" w:cs="Cambria Math"/>
          <w:color w:val="000000" w:themeColor="text1"/>
          <w:spacing w:val="1"/>
          <w:sz w:val="24"/>
          <w:szCs w:val="24"/>
        </w:rPr>
        <w:t>‑</w:t>
      </w:r>
      <w:r w:rsidRPr="00A04B37">
        <w:rPr>
          <w:rFonts w:ascii="Arial" w:eastAsia="Calibri" w:hAnsi="Arial" w:cs="Arial"/>
          <w:color w:val="000000" w:themeColor="text1"/>
          <w:spacing w:val="1"/>
          <w:sz w:val="24"/>
          <w:szCs w:val="24"/>
        </w:rPr>
        <w:t xml:space="preserve">added tax equivalent to twelve percent (12%) shall be levied, assessed, and collected on every importation of goods, to wit:  </w:t>
      </w:r>
    </w:p>
    <w:p w:rsidR="00A04B37" w:rsidRPr="00A04B37" w:rsidRDefault="00A04B37" w:rsidP="00A04B37">
      <w:pPr>
        <w:ind w:left="567"/>
        <w:contextualSpacing/>
        <w:jc w:val="both"/>
        <w:rPr>
          <w:rFonts w:ascii="Arial" w:eastAsia="Calibri" w:hAnsi="Arial" w:cs="Arial"/>
          <w:color w:val="000000" w:themeColor="text1"/>
          <w:spacing w:val="1"/>
          <w:sz w:val="24"/>
          <w:szCs w:val="24"/>
        </w:rPr>
      </w:pPr>
    </w:p>
    <w:p w:rsidR="00A04B37" w:rsidRPr="00A04B37" w:rsidRDefault="00A04B37" w:rsidP="00A04B37">
      <w:pPr>
        <w:ind w:left="851" w:right="238"/>
        <w:contextualSpacing/>
        <w:jc w:val="both"/>
        <w:rPr>
          <w:rFonts w:ascii="Arial" w:eastAsia="Calibri" w:hAnsi="Arial" w:cs="Arial"/>
          <w:i/>
          <w:color w:val="000000" w:themeColor="text1"/>
          <w:spacing w:val="1"/>
          <w:sz w:val="24"/>
          <w:szCs w:val="24"/>
        </w:rPr>
      </w:pPr>
      <w:r w:rsidRPr="00A04B37">
        <w:rPr>
          <w:rFonts w:ascii="Arial" w:eastAsia="Calibri" w:hAnsi="Arial" w:cs="Arial"/>
          <w:i/>
          <w:color w:val="000000" w:themeColor="text1"/>
          <w:spacing w:val="1"/>
          <w:sz w:val="24"/>
          <w:szCs w:val="24"/>
        </w:rPr>
        <w:t>“SEC. 107. Value-Added Tax on Importation of Goods. -</w:t>
      </w:r>
    </w:p>
    <w:p w:rsidR="00A04B37" w:rsidRPr="00A04B37" w:rsidRDefault="00A04B37" w:rsidP="00A04B37">
      <w:pPr>
        <w:ind w:left="851" w:right="238"/>
        <w:contextualSpacing/>
        <w:jc w:val="both"/>
        <w:rPr>
          <w:rFonts w:ascii="Arial" w:eastAsia="Calibri" w:hAnsi="Arial" w:cs="Arial"/>
          <w:i/>
          <w:color w:val="000000" w:themeColor="text1"/>
          <w:spacing w:val="1"/>
          <w:sz w:val="24"/>
          <w:szCs w:val="24"/>
        </w:rPr>
      </w:pPr>
    </w:p>
    <w:p w:rsidR="00A04B37" w:rsidRPr="00A04B37" w:rsidRDefault="00A04B37" w:rsidP="00A04B37">
      <w:pPr>
        <w:ind w:left="851" w:right="238"/>
        <w:contextualSpacing/>
        <w:jc w:val="both"/>
        <w:rPr>
          <w:rFonts w:ascii="Arial" w:eastAsia="Calibri" w:hAnsi="Arial" w:cs="Arial"/>
          <w:i/>
          <w:color w:val="000000" w:themeColor="text1"/>
          <w:spacing w:val="1"/>
          <w:sz w:val="24"/>
          <w:szCs w:val="24"/>
        </w:rPr>
      </w:pPr>
      <w:r w:rsidRPr="00A04B37">
        <w:rPr>
          <w:rFonts w:ascii="Arial" w:eastAsia="Calibri" w:hAnsi="Arial" w:cs="Arial"/>
          <w:i/>
          <w:color w:val="000000" w:themeColor="text1"/>
          <w:spacing w:val="1"/>
          <w:sz w:val="24"/>
          <w:szCs w:val="24"/>
        </w:rPr>
        <w:t>(A) In General. - There shall be levied, assessed and collected on every importation of goods a value-added tax equivalent to twelve percent (12%) based on the total value used by the Bureau of Customs in determining tariff and customs duties plus customs duties, excise taxes, if any, and other charges, such tax to be paid by the importer prior to the release of such goods from customs custody: Provided, That where the customs duties are determined on the basis of the quantity or volume of the goods, the value-added tax shall be based on the landed cost plus excise taxes, if any.”</w:t>
      </w:r>
    </w:p>
    <w:p w:rsidR="00A04B37" w:rsidRPr="00A04B37" w:rsidRDefault="00A04B37" w:rsidP="00A04B37">
      <w:pPr>
        <w:tabs>
          <w:tab w:val="left" w:pos="567"/>
        </w:tabs>
        <w:spacing w:after="0" w:line="240" w:lineRule="auto"/>
        <w:ind w:left="567"/>
        <w:contextualSpacing/>
        <w:jc w:val="both"/>
        <w:rPr>
          <w:rFonts w:ascii="Arial" w:eastAsia="Calibri" w:hAnsi="Arial" w:cs="Arial"/>
          <w:color w:val="000000" w:themeColor="text1"/>
          <w:spacing w:val="1"/>
          <w:sz w:val="24"/>
          <w:szCs w:val="24"/>
        </w:rPr>
      </w:pPr>
      <w:r w:rsidRPr="00A04B37">
        <w:rPr>
          <w:rFonts w:ascii="Arial" w:eastAsia="Calibri" w:hAnsi="Arial" w:cs="Arial"/>
          <w:color w:val="000000" w:themeColor="text1"/>
          <w:spacing w:val="1"/>
          <w:sz w:val="24"/>
          <w:szCs w:val="24"/>
        </w:rPr>
        <w:t>Medical devices and equipment, being classified as goods under this provision, are therefore subject to the twelve percent (12%) VAT upon importation, unless specifically exempted under Section 109 of the NIRC.</w:t>
      </w:r>
    </w:p>
    <w:p w:rsidR="00A04B37" w:rsidRPr="00A04B37" w:rsidRDefault="00A04B37" w:rsidP="00A04B37">
      <w:pPr>
        <w:tabs>
          <w:tab w:val="left" w:pos="567"/>
        </w:tabs>
        <w:spacing w:after="0" w:line="240" w:lineRule="auto"/>
        <w:ind w:left="567"/>
        <w:contextualSpacing/>
        <w:jc w:val="both"/>
        <w:rPr>
          <w:rFonts w:ascii="Arial" w:eastAsia="Calibri" w:hAnsi="Arial" w:cs="Arial"/>
          <w:color w:val="000000" w:themeColor="text1"/>
          <w:spacing w:val="1"/>
          <w:sz w:val="24"/>
          <w:szCs w:val="24"/>
        </w:rPr>
      </w:pPr>
    </w:p>
    <w:p w:rsidR="00A04B37" w:rsidRPr="00A04B37" w:rsidRDefault="00A04B37" w:rsidP="00A04B37">
      <w:pPr>
        <w:numPr>
          <w:ilvl w:val="0"/>
          <w:numId w:val="7"/>
        </w:numPr>
        <w:spacing w:after="0" w:line="240" w:lineRule="auto"/>
        <w:ind w:left="567" w:hanging="567"/>
        <w:contextualSpacing/>
        <w:jc w:val="both"/>
        <w:rPr>
          <w:rFonts w:ascii="Arial" w:eastAsia="Calibri" w:hAnsi="Arial" w:cs="Arial"/>
          <w:color w:val="000000" w:themeColor="text1"/>
          <w:spacing w:val="1"/>
          <w:sz w:val="24"/>
          <w:szCs w:val="24"/>
        </w:rPr>
      </w:pPr>
      <w:r w:rsidRPr="00A04B37">
        <w:rPr>
          <w:rFonts w:ascii="Arial" w:eastAsia="Calibri" w:hAnsi="Arial" w:cs="Arial"/>
          <w:b/>
          <w:i/>
          <w:color w:val="000000" w:themeColor="text1"/>
          <w:spacing w:val="1"/>
          <w:sz w:val="24"/>
          <w:szCs w:val="24"/>
        </w:rPr>
        <w:t>BIR Revenue Regulations No. 4-2021</w:t>
      </w:r>
      <w:r w:rsidRPr="00A04B37">
        <w:rPr>
          <w:rFonts w:ascii="Arial" w:eastAsia="Calibri" w:hAnsi="Arial" w:cs="Arial"/>
          <w:b/>
          <w:color w:val="000000" w:themeColor="text1"/>
          <w:spacing w:val="1"/>
          <w:sz w:val="24"/>
          <w:szCs w:val="24"/>
        </w:rPr>
        <w:t xml:space="preserve"> (April 8, 2021) – </w:t>
      </w:r>
      <w:r w:rsidRPr="00A04B37">
        <w:rPr>
          <w:rFonts w:ascii="Arial" w:eastAsia="Calibri" w:hAnsi="Arial" w:cs="Arial"/>
          <w:color w:val="000000" w:themeColor="text1"/>
          <w:spacing w:val="1"/>
          <w:sz w:val="24"/>
          <w:szCs w:val="24"/>
        </w:rPr>
        <w:t xml:space="preserve">Pursuant to the provisions of CREATE amending Sections 109 and 116 of the Tax Code, as amended, </w:t>
      </w:r>
      <w:r w:rsidRPr="00A04B37">
        <w:rPr>
          <w:rFonts w:ascii="Arial" w:eastAsia="Calibri" w:hAnsi="Arial" w:cs="Arial"/>
          <w:b/>
          <w:color w:val="000000" w:themeColor="text1"/>
          <w:spacing w:val="1"/>
          <w:sz w:val="24"/>
          <w:szCs w:val="24"/>
        </w:rPr>
        <w:t>Sections 4.109-1</w:t>
      </w:r>
      <w:r w:rsidRPr="00A04B37">
        <w:rPr>
          <w:rFonts w:ascii="Arial" w:eastAsia="Calibri" w:hAnsi="Arial" w:cs="Arial"/>
          <w:color w:val="000000" w:themeColor="text1"/>
          <w:spacing w:val="1"/>
          <w:sz w:val="24"/>
          <w:szCs w:val="24"/>
        </w:rPr>
        <w:t>, and 4.116-1 of RR No. 16-2005, as amended, shall now be read as follows:</w:t>
      </w:r>
    </w:p>
    <w:p w:rsidR="00A04B37" w:rsidRPr="00A04B37" w:rsidRDefault="00A04B37" w:rsidP="00A04B37">
      <w:pPr>
        <w:spacing w:after="0" w:line="240" w:lineRule="auto"/>
        <w:ind w:left="567"/>
        <w:contextualSpacing/>
        <w:rPr>
          <w:rFonts w:ascii="Arial" w:eastAsia="Calibri" w:hAnsi="Arial" w:cs="Arial"/>
          <w:color w:val="000000" w:themeColor="text1"/>
          <w:spacing w:val="1"/>
          <w:sz w:val="24"/>
          <w:szCs w:val="24"/>
        </w:rPr>
      </w:pPr>
    </w:p>
    <w:p w:rsidR="00A04B37" w:rsidRPr="00A04B37" w:rsidRDefault="00A04B37" w:rsidP="00A04B37">
      <w:pPr>
        <w:spacing w:after="0" w:line="240" w:lineRule="auto"/>
        <w:ind w:left="567"/>
        <w:contextualSpacing/>
        <w:rPr>
          <w:rFonts w:ascii="Arial" w:eastAsia="Calibri" w:hAnsi="Arial" w:cs="Arial"/>
          <w:color w:val="000000" w:themeColor="text1"/>
          <w:spacing w:val="1"/>
        </w:rPr>
      </w:pPr>
      <w:r w:rsidRPr="00A04B37">
        <w:rPr>
          <w:rFonts w:ascii="Arial" w:eastAsia="Calibri" w:hAnsi="Arial" w:cs="Arial"/>
          <w:color w:val="000000" w:themeColor="text1"/>
          <w:spacing w:val="1"/>
        </w:rPr>
        <w:t>"</w:t>
      </w:r>
      <w:r w:rsidRPr="00A04B37">
        <w:rPr>
          <w:rFonts w:ascii="Arial" w:eastAsia="Calibri" w:hAnsi="Arial" w:cs="Arial"/>
          <w:i/>
          <w:color w:val="000000" w:themeColor="text1"/>
          <w:spacing w:val="1"/>
        </w:rPr>
        <w:t>SEC. 4.109-1. VAT-Exempt Transactions. –</w:t>
      </w:r>
      <w:r w:rsidRPr="00A04B37">
        <w:rPr>
          <w:rFonts w:ascii="Arial" w:eastAsia="Calibri" w:hAnsi="Arial" w:cs="Arial"/>
          <w:color w:val="000000" w:themeColor="text1"/>
          <w:spacing w:val="1"/>
        </w:rPr>
        <w:t xml:space="preserve"> </w:t>
      </w:r>
    </w:p>
    <w:p w:rsidR="00A04B37" w:rsidRPr="00A04B37" w:rsidRDefault="00A04B37" w:rsidP="00A04B37">
      <w:pPr>
        <w:spacing w:after="0" w:line="240" w:lineRule="auto"/>
        <w:ind w:left="567"/>
        <w:contextualSpacing/>
        <w:rPr>
          <w:rFonts w:ascii="Arial" w:eastAsia="Calibri" w:hAnsi="Arial" w:cs="Arial"/>
          <w:color w:val="000000" w:themeColor="text1"/>
          <w:spacing w:val="1"/>
        </w:rPr>
      </w:pPr>
    </w:p>
    <w:p w:rsidR="00A04B37" w:rsidRPr="00A04B37" w:rsidRDefault="00A04B37" w:rsidP="00A04B37">
      <w:pPr>
        <w:spacing w:after="0" w:line="240" w:lineRule="auto"/>
        <w:ind w:left="567" w:right="522"/>
        <w:contextualSpacing/>
        <w:jc w:val="center"/>
        <w:rPr>
          <w:rFonts w:ascii="Arial" w:eastAsia="Calibri" w:hAnsi="Arial" w:cs="Arial"/>
          <w:color w:val="000000" w:themeColor="text1"/>
          <w:spacing w:val="1"/>
        </w:rPr>
      </w:pPr>
      <w:r w:rsidRPr="00A04B37">
        <w:rPr>
          <w:rFonts w:ascii="Arial" w:eastAsia="Calibri" w:hAnsi="Arial" w:cs="Arial"/>
          <w:color w:val="000000" w:themeColor="text1"/>
          <w:spacing w:val="1"/>
        </w:rPr>
        <w:t>xxx xxx xxx</w:t>
      </w:r>
    </w:p>
    <w:p w:rsidR="00A04B37" w:rsidRPr="00A04B37" w:rsidRDefault="00A04B37" w:rsidP="00A04B37">
      <w:pPr>
        <w:spacing w:after="0" w:line="240" w:lineRule="auto"/>
        <w:ind w:left="567" w:right="522"/>
        <w:contextualSpacing/>
        <w:rPr>
          <w:rFonts w:ascii="Arial" w:eastAsia="Calibri" w:hAnsi="Arial" w:cs="Arial"/>
          <w:color w:val="000000" w:themeColor="text1"/>
          <w:spacing w:val="1"/>
        </w:rPr>
      </w:pPr>
    </w:p>
    <w:p w:rsidR="00A04B37" w:rsidRPr="00A04B37" w:rsidRDefault="00A04B37" w:rsidP="00A04B37">
      <w:pPr>
        <w:spacing w:after="0" w:line="240" w:lineRule="auto"/>
        <w:ind w:left="567" w:right="522"/>
        <w:contextualSpacing/>
        <w:rPr>
          <w:rFonts w:ascii="Arial" w:eastAsia="Calibri" w:hAnsi="Arial" w:cs="Arial"/>
          <w:color w:val="000000" w:themeColor="text1"/>
          <w:spacing w:val="1"/>
        </w:rPr>
      </w:pPr>
      <w:r w:rsidRPr="00A04B37">
        <w:rPr>
          <w:rFonts w:ascii="Arial" w:eastAsia="Calibri" w:hAnsi="Arial" w:cs="Arial"/>
          <w:color w:val="000000" w:themeColor="text1"/>
          <w:spacing w:val="1"/>
        </w:rPr>
        <w:t>(B) Exempt transactions. -</w:t>
      </w:r>
    </w:p>
    <w:p w:rsidR="00A04B37" w:rsidRPr="00A04B37" w:rsidRDefault="00A04B37" w:rsidP="00A04B37">
      <w:pPr>
        <w:spacing w:after="0" w:line="240" w:lineRule="auto"/>
        <w:ind w:left="567" w:right="522"/>
        <w:contextualSpacing/>
        <w:rPr>
          <w:rFonts w:ascii="Arial" w:eastAsia="Calibri" w:hAnsi="Arial" w:cs="Arial"/>
          <w:color w:val="000000" w:themeColor="text1"/>
          <w:spacing w:val="1"/>
        </w:rPr>
      </w:pPr>
    </w:p>
    <w:p w:rsidR="00A04B37" w:rsidRPr="00A04B37" w:rsidRDefault="00A04B37" w:rsidP="00A04B37">
      <w:pPr>
        <w:spacing w:after="0" w:line="240" w:lineRule="auto"/>
        <w:ind w:left="567" w:right="522"/>
        <w:contextualSpacing/>
        <w:jc w:val="center"/>
        <w:rPr>
          <w:rFonts w:ascii="Arial" w:eastAsia="Calibri" w:hAnsi="Arial" w:cs="Arial"/>
          <w:color w:val="000000" w:themeColor="text1"/>
          <w:spacing w:val="1"/>
        </w:rPr>
      </w:pPr>
      <w:r w:rsidRPr="00A04B37">
        <w:rPr>
          <w:rFonts w:ascii="Arial" w:eastAsia="Calibri" w:hAnsi="Arial" w:cs="Arial"/>
          <w:color w:val="000000" w:themeColor="text1"/>
          <w:spacing w:val="1"/>
        </w:rPr>
        <w:t>xxx xxx xxx</w:t>
      </w:r>
    </w:p>
    <w:p w:rsidR="00A04B37" w:rsidRPr="00A04B37" w:rsidRDefault="00A04B37" w:rsidP="00A04B37">
      <w:pPr>
        <w:spacing w:after="0" w:line="240" w:lineRule="auto"/>
        <w:ind w:left="567" w:right="522"/>
        <w:contextualSpacing/>
        <w:rPr>
          <w:rFonts w:ascii="Arial" w:eastAsia="Calibri" w:hAnsi="Arial" w:cs="Arial"/>
          <w:color w:val="000000" w:themeColor="text1"/>
          <w:spacing w:val="1"/>
        </w:rPr>
      </w:pPr>
    </w:p>
    <w:p w:rsidR="00A04B37" w:rsidRPr="00A04B37" w:rsidRDefault="00A04B37" w:rsidP="00A04B37">
      <w:pPr>
        <w:spacing w:after="0" w:line="240" w:lineRule="auto"/>
        <w:ind w:left="851" w:right="522"/>
        <w:contextualSpacing/>
        <w:jc w:val="both"/>
        <w:rPr>
          <w:rFonts w:ascii="Arial" w:eastAsia="Calibri" w:hAnsi="Arial" w:cs="Arial"/>
          <w:color w:val="000000" w:themeColor="text1"/>
        </w:rPr>
      </w:pPr>
      <w:r w:rsidRPr="00A04B37">
        <w:rPr>
          <w:rFonts w:ascii="Arial" w:eastAsia="Calibri" w:hAnsi="Arial" w:cs="Arial"/>
          <w:color w:val="000000" w:themeColor="text1"/>
        </w:rPr>
        <w:t xml:space="preserve">(bb) Sale or importation of the following beginning January 1, 2021 to December 31, 2023: </w:t>
      </w:r>
    </w:p>
    <w:p w:rsidR="00A04B37" w:rsidRPr="00A04B37" w:rsidRDefault="00A04B37" w:rsidP="00A04B37">
      <w:pPr>
        <w:spacing w:after="0" w:line="240" w:lineRule="auto"/>
        <w:ind w:left="1134" w:right="522"/>
        <w:contextualSpacing/>
        <w:jc w:val="both"/>
        <w:rPr>
          <w:rFonts w:ascii="Arial" w:eastAsia="Calibri" w:hAnsi="Arial" w:cs="Arial"/>
          <w:color w:val="000000" w:themeColor="text1"/>
        </w:rPr>
      </w:pPr>
    </w:p>
    <w:p w:rsidR="00A04B37" w:rsidRPr="00A04B37" w:rsidRDefault="00A04B37" w:rsidP="00A04B37">
      <w:pPr>
        <w:tabs>
          <w:tab w:val="left" w:pos="1134"/>
        </w:tabs>
        <w:spacing w:after="0" w:line="240" w:lineRule="auto"/>
        <w:ind w:left="1134" w:right="522" w:hanging="284"/>
        <w:contextualSpacing/>
        <w:jc w:val="both"/>
        <w:rPr>
          <w:rFonts w:ascii="Arial" w:eastAsia="Calibri" w:hAnsi="Arial" w:cs="Arial"/>
          <w:color w:val="000000" w:themeColor="text1"/>
        </w:rPr>
      </w:pPr>
      <w:r w:rsidRPr="00A04B37">
        <w:rPr>
          <w:rFonts w:ascii="Arial" w:eastAsia="Calibri" w:hAnsi="Arial" w:cs="Arial"/>
          <w:color w:val="000000" w:themeColor="text1"/>
        </w:rPr>
        <w:t xml:space="preserve">(i) Capital equipment, its spare parts and raw materials, necessary for the production of personal protective equipment (PPE) components such as coveralls, gown, surgical cap, surgical mask, n-95 mask, scrub suits, goggles and face shield, double or surgical gloves, dedicated shoes, and shoe covers, for COVID-19 prevention; </w:t>
      </w:r>
    </w:p>
    <w:p w:rsidR="00A04B37" w:rsidRPr="00A04B37" w:rsidRDefault="00A04B37" w:rsidP="00A04B37">
      <w:pPr>
        <w:tabs>
          <w:tab w:val="left" w:pos="1134"/>
          <w:tab w:val="left" w:pos="1418"/>
        </w:tabs>
        <w:spacing w:after="0" w:line="240" w:lineRule="auto"/>
        <w:ind w:left="1134" w:right="522" w:hanging="284"/>
        <w:contextualSpacing/>
        <w:jc w:val="both"/>
        <w:rPr>
          <w:rFonts w:ascii="Arial" w:eastAsia="Calibri" w:hAnsi="Arial" w:cs="Arial"/>
          <w:color w:val="000000" w:themeColor="text1"/>
        </w:rPr>
      </w:pPr>
      <w:r w:rsidRPr="00A04B37">
        <w:rPr>
          <w:rFonts w:ascii="Arial" w:eastAsia="Calibri" w:hAnsi="Arial" w:cs="Arial"/>
          <w:color w:val="000000" w:themeColor="text1"/>
        </w:rPr>
        <w:t xml:space="preserve">(ii) All drugs, vaccines and medical devices specifically prescribed and directly used for the treatment of COVID-19; and </w:t>
      </w:r>
    </w:p>
    <w:p w:rsidR="00A04B37" w:rsidRPr="00A04B37" w:rsidRDefault="00A04B37" w:rsidP="00A04B37">
      <w:pPr>
        <w:tabs>
          <w:tab w:val="left" w:pos="1134"/>
          <w:tab w:val="left" w:pos="1418"/>
        </w:tabs>
        <w:spacing w:after="0" w:line="240" w:lineRule="auto"/>
        <w:ind w:left="1134" w:right="522" w:hanging="284"/>
        <w:contextualSpacing/>
        <w:jc w:val="both"/>
        <w:rPr>
          <w:rFonts w:ascii="Arial" w:eastAsia="Calibri" w:hAnsi="Arial" w:cs="Arial"/>
          <w:color w:val="000000" w:themeColor="text1"/>
        </w:rPr>
      </w:pPr>
      <w:r w:rsidRPr="00A04B37">
        <w:rPr>
          <w:rFonts w:ascii="Arial" w:eastAsia="Calibri" w:hAnsi="Arial" w:cs="Arial"/>
          <w:color w:val="000000" w:themeColor="text1"/>
        </w:rPr>
        <w:t>(iii) Drugs for the treatment of COVID-19 approved by the Food and Drug Administration (FDA) for use in clinical trials, including raw materials directly necessary for the production of such drugs.</w:t>
      </w:r>
    </w:p>
    <w:p w:rsidR="00A04B37" w:rsidRPr="00A04B37" w:rsidRDefault="00A04B37" w:rsidP="00A04B37">
      <w:pPr>
        <w:spacing w:after="0" w:line="240" w:lineRule="auto"/>
        <w:ind w:left="1134" w:right="522"/>
        <w:contextualSpacing/>
        <w:jc w:val="both"/>
        <w:rPr>
          <w:rFonts w:ascii="Arial" w:eastAsia="Calibri" w:hAnsi="Arial" w:cs="Arial"/>
          <w:color w:val="000000" w:themeColor="text1"/>
        </w:rPr>
      </w:pPr>
    </w:p>
    <w:p w:rsidR="00A04B37" w:rsidRPr="00A04B37" w:rsidRDefault="00A04B37" w:rsidP="00A04B37">
      <w:pPr>
        <w:spacing w:after="0" w:line="240" w:lineRule="auto"/>
        <w:ind w:left="567" w:right="522"/>
        <w:contextualSpacing/>
        <w:jc w:val="both"/>
        <w:rPr>
          <w:rFonts w:ascii="Arial" w:eastAsia="Calibri" w:hAnsi="Arial" w:cs="Arial"/>
          <w:color w:val="000000" w:themeColor="text1"/>
        </w:rPr>
      </w:pPr>
      <w:r w:rsidRPr="00A04B37">
        <w:rPr>
          <w:rFonts w:ascii="Arial" w:eastAsia="Calibri" w:hAnsi="Arial" w:cs="Arial"/>
          <w:i/>
          <w:color w:val="000000" w:themeColor="text1"/>
        </w:rPr>
        <w:t>Provided,</w:t>
      </w:r>
      <w:r w:rsidRPr="00A04B37">
        <w:rPr>
          <w:rFonts w:ascii="Arial" w:eastAsia="Calibri" w:hAnsi="Arial" w:cs="Arial"/>
          <w:color w:val="000000" w:themeColor="text1"/>
        </w:rPr>
        <w:t xml:space="preserve"> That the Department of Trade and Industry (DTI) shall certify that such equipment, spare parts or raw materials for importation are not locally available or insufficient in quantity, or not in accordance with the quality or specification required. </w:t>
      </w:r>
    </w:p>
    <w:p w:rsidR="00A04B37" w:rsidRPr="00A04B37" w:rsidRDefault="00A04B37" w:rsidP="00A04B37">
      <w:pPr>
        <w:spacing w:after="0" w:line="240" w:lineRule="auto"/>
        <w:ind w:left="567" w:right="522"/>
        <w:contextualSpacing/>
        <w:jc w:val="both"/>
        <w:rPr>
          <w:rFonts w:ascii="Arial" w:eastAsia="Calibri" w:hAnsi="Arial" w:cs="Arial"/>
          <w:color w:val="000000" w:themeColor="text1"/>
        </w:rPr>
      </w:pPr>
    </w:p>
    <w:p w:rsidR="00A04B37" w:rsidRPr="00A04B37" w:rsidRDefault="00A04B37" w:rsidP="00A04B37">
      <w:pPr>
        <w:spacing w:after="0" w:line="240" w:lineRule="auto"/>
        <w:ind w:left="567" w:right="522"/>
        <w:contextualSpacing/>
        <w:jc w:val="both"/>
        <w:rPr>
          <w:rFonts w:ascii="Arial" w:eastAsia="Calibri" w:hAnsi="Arial" w:cs="Arial"/>
          <w:color w:val="000000" w:themeColor="text1"/>
        </w:rPr>
      </w:pPr>
      <w:r w:rsidRPr="00A04B37">
        <w:rPr>
          <w:rFonts w:ascii="Arial" w:eastAsia="Calibri" w:hAnsi="Arial" w:cs="Arial"/>
          <w:i/>
          <w:color w:val="000000" w:themeColor="text1"/>
        </w:rPr>
        <w:lastRenderedPageBreak/>
        <w:t>Provided further,</w:t>
      </w:r>
      <w:r w:rsidRPr="00A04B37">
        <w:rPr>
          <w:rFonts w:ascii="Arial" w:eastAsia="Calibri" w:hAnsi="Arial" w:cs="Arial"/>
          <w:color w:val="000000" w:themeColor="text1"/>
        </w:rPr>
        <w:t xml:space="preserve"> That for item (ii), within sixty (60) days from the effectivity of the CREATE, and every three (3) months thereafter, the Department of Health (DOH) shall issue a list of prescription drugs and medical devices covered by this provision. </w:t>
      </w:r>
    </w:p>
    <w:p w:rsidR="00A04B37" w:rsidRPr="00A04B37" w:rsidRDefault="00A04B37" w:rsidP="00A04B37">
      <w:pPr>
        <w:spacing w:after="0" w:line="240" w:lineRule="auto"/>
        <w:ind w:left="567" w:right="522"/>
        <w:contextualSpacing/>
        <w:jc w:val="both"/>
        <w:rPr>
          <w:rFonts w:ascii="Arial" w:eastAsia="Calibri" w:hAnsi="Arial" w:cs="Arial"/>
          <w:color w:val="000000" w:themeColor="text1"/>
        </w:rPr>
      </w:pPr>
    </w:p>
    <w:p w:rsidR="00A04B37" w:rsidRPr="00A04B37" w:rsidRDefault="00A04B37" w:rsidP="00A04B37">
      <w:pPr>
        <w:spacing w:after="0" w:line="240" w:lineRule="auto"/>
        <w:ind w:left="567" w:right="522"/>
        <w:contextualSpacing/>
        <w:jc w:val="both"/>
        <w:rPr>
          <w:rFonts w:ascii="Arial" w:eastAsia="Calibri" w:hAnsi="Arial" w:cs="Arial"/>
          <w:color w:val="000000" w:themeColor="text1"/>
        </w:rPr>
      </w:pPr>
      <w:r w:rsidRPr="00A04B37">
        <w:rPr>
          <w:rFonts w:ascii="Arial" w:eastAsia="Calibri" w:hAnsi="Arial" w:cs="Arial"/>
          <w:i/>
          <w:color w:val="000000" w:themeColor="text1"/>
        </w:rPr>
        <w:t>Provided finally,</w:t>
      </w:r>
      <w:r w:rsidRPr="00A04B37">
        <w:rPr>
          <w:rFonts w:ascii="Arial" w:eastAsia="Calibri" w:hAnsi="Arial" w:cs="Arial"/>
          <w:color w:val="000000" w:themeColor="text1"/>
        </w:rPr>
        <w:t xml:space="preserve"> That for items (i) and (iii) hereof, on the sale or importation of equipment, spare parts and raw materials for the production of PPE components as well as the sale or importation of raw materials directly necessary for the production of drugs for the treatment of COVID-19, the supplier/s or importer shall submit, for the purpose of availing the exemption, the following: </w:t>
      </w:r>
    </w:p>
    <w:p w:rsidR="00A04B37" w:rsidRPr="00A04B37" w:rsidRDefault="00A04B37" w:rsidP="00A04B37">
      <w:pPr>
        <w:spacing w:after="0" w:line="240" w:lineRule="auto"/>
        <w:ind w:left="1134" w:right="522"/>
        <w:contextualSpacing/>
        <w:jc w:val="both"/>
        <w:rPr>
          <w:rFonts w:ascii="Arial" w:eastAsia="Calibri" w:hAnsi="Arial" w:cs="Arial"/>
          <w:color w:val="000000" w:themeColor="text1"/>
        </w:rPr>
      </w:pPr>
    </w:p>
    <w:p w:rsidR="00A04B37" w:rsidRPr="00A04B37" w:rsidRDefault="00A04B37" w:rsidP="00A04B37">
      <w:pPr>
        <w:tabs>
          <w:tab w:val="left" w:pos="993"/>
        </w:tabs>
        <w:spacing w:after="0" w:line="240" w:lineRule="auto"/>
        <w:ind w:left="993" w:right="522" w:hanging="426"/>
        <w:contextualSpacing/>
        <w:jc w:val="both"/>
        <w:rPr>
          <w:rFonts w:ascii="Arial" w:eastAsia="Calibri" w:hAnsi="Arial" w:cs="Arial"/>
          <w:color w:val="000000" w:themeColor="text1"/>
        </w:rPr>
      </w:pPr>
      <w:r w:rsidRPr="00A04B37">
        <w:rPr>
          <w:rFonts w:ascii="Arial" w:eastAsia="Calibri" w:hAnsi="Arial" w:cs="Arial"/>
          <w:color w:val="000000" w:themeColor="text1"/>
        </w:rPr>
        <w:t xml:space="preserve">(1) </w:t>
      </w:r>
      <w:r w:rsidRPr="00A04B37">
        <w:rPr>
          <w:rFonts w:ascii="Arial" w:eastAsia="Calibri" w:hAnsi="Arial" w:cs="Arial"/>
          <w:color w:val="000000" w:themeColor="text1"/>
        </w:rPr>
        <w:tab/>
        <w:t xml:space="preserve">Certified true copy of “License to Operate”, issued to the manufacturer-buyer by the DOH-FDA authorizing the manufacture of medical grade PPE components and drugs for the treatment of COVID-19; and </w:t>
      </w:r>
    </w:p>
    <w:p w:rsidR="00A04B37" w:rsidRPr="00A04B37" w:rsidRDefault="00A04B37" w:rsidP="00A04B37">
      <w:pPr>
        <w:tabs>
          <w:tab w:val="left" w:pos="993"/>
        </w:tabs>
        <w:spacing w:after="0" w:line="240" w:lineRule="auto"/>
        <w:ind w:left="993" w:right="522" w:hanging="426"/>
        <w:contextualSpacing/>
        <w:jc w:val="both"/>
        <w:rPr>
          <w:rFonts w:ascii="Arial" w:eastAsia="Calibri" w:hAnsi="Arial" w:cs="Arial"/>
          <w:color w:val="000000" w:themeColor="text1"/>
        </w:rPr>
      </w:pPr>
    </w:p>
    <w:p w:rsidR="00A04B37" w:rsidRPr="00A04B37" w:rsidRDefault="00A04B37" w:rsidP="00A04B37">
      <w:pPr>
        <w:tabs>
          <w:tab w:val="left" w:pos="993"/>
        </w:tabs>
        <w:spacing w:after="0" w:line="240" w:lineRule="auto"/>
        <w:ind w:left="993" w:right="522" w:hanging="426"/>
        <w:contextualSpacing/>
        <w:jc w:val="both"/>
        <w:rPr>
          <w:rFonts w:ascii="Arial" w:eastAsia="Calibri" w:hAnsi="Arial" w:cs="Arial"/>
          <w:color w:val="000000" w:themeColor="text1"/>
        </w:rPr>
      </w:pPr>
      <w:r w:rsidRPr="00A04B37">
        <w:rPr>
          <w:rFonts w:ascii="Arial" w:eastAsia="Calibri" w:hAnsi="Arial" w:cs="Arial"/>
          <w:color w:val="000000" w:themeColor="text1"/>
        </w:rPr>
        <w:t xml:space="preserve">(2) </w:t>
      </w:r>
      <w:r w:rsidRPr="00A04B37">
        <w:rPr>
          <w:rFonts w:ascii="Arial" w:eastAsia="Calibri" w:hAnsi="Arial" w:cs="Arial"/>
          <w:color w:val="000000" w:themeColor="text1"/>
        </w:rPr>
        <w:tab/>
        <w:t xml:space="preserve">"Sworn Declaration” from the manufacturer-buyer that the items shall be used for the manufacture of the PPE components and drugs for the treatment of COVID19. </w:t>
      </w:r>
    </w:p>
    <w:p w:rsidR="00A04B37" w:rsidRPr="00A04B37" w:rsidRDefault="00A04B37" w:rsidP="00A04B37">
      <w:pPr>
        <w:spacing w:after="0" w:line="240" w:lineRule="auto"/>
        <w:ind w:left="1134" w:right="522"/>
        <w:contextualSpacing/>
        <w:jc w:val="both"/>
        <w:rPr>
          <w:rFonts w:ascii="Arial" w:eastAsia="Calibri" w:hAnsi="Arial" w:cs="Arial"/>
          <w:color w:val="000000" w:themeColor="text1"/>
        </w:rPr>
      </w:pPr>
    </w:p>
    <w:p w:rsidR="00A04B37" w:rsidRPr="00A04B37" w:rsidRDefault="00A04B37" w:rsidP="00A04B37">
      <w:pPr>
        <w:spacing w:after="0" w:line="240" w:lineRule="auto"/>
        <w:ind w:left="567" w:right="522"/>
        <w:contextualSpacing/>
        <w:jc w:val="both"/>
        <w:rPr>
          <w:rFonts w:ascii="Arial" w:eastAsia="Calibri" w:hAnsi="Arial" w:cs="Arial"/>
          <w:color w:val="000000" w:themeColor="text1"/>
          <w:spacing w:val="1"/>
        </w:rPr>
      </w:pPr>
      <w:r w:rsidRPr="00A04B37">
        <w:rPr>
          <w:rFonts w:ascii="Arial" w:eastAsia="Calibri" w:hAnsi="Arial" w:cs="Arial"/>
          <w:color w:val="000000" w:themeColor="text1"/>
        </w:rPr>
        <w:t>The exemption claimed under this subsection shall be subject to post audit by the</w:t>
      </w:r>
      <w:r w:rsidRPr="00A04B37">
        <w:rPr>
          <w:rFonts w:ascii="Calibri" w:eastAsia="Calibri" w:hAnsi="Calibri" w:cs="Times New Roman"/>
          <w:color w:val="000000" w:themeColor="text1"/>
        </w:rPr>
        <w:t xml:space="preserve"> </w:t>
      </w:r>
      <w:r w:rsidRPr="00A04B37">
        <w:rPr>
          <w:rFonts w:ascii="Arial" w:eastAsia="Calibri" w:hAnsi="Arial" w:cs="Arial"/>
          <w:color w:val="000000" w:themeColor="text1"/>
        </w:rPr>
        <w:t>Bureau of Internal Revenue (BIR) or the Bureau of Customs (BOC), as may be applicable.</w:t>
      </w:r>
    </w:p>
    <w:p w:rsidR="00A04B37" w:rsidRPr="00A04B37" w:rsidRDefault="00A04B37" w:rsidP="00A04B37">
      <w:pPr>
        <w:spacing w:after="0" w:line="240" w:lineRule="auto"/>
        <w:ind w:left="567"/>
        <w:contextualSpacing/>
        <w:rPr>
          <w:rFonts w:ascii="Arial" w:eastAsia="Calibri" w:hAnsi="Arial" w:cs="Arial"/>
          <w:color w:val="000000" w:themeColor="text1"/>
          <w:spacing w:val="1"/>
          <w:sz w:val="24"/>
          <w:szCs w:val="24"/>
        </w:rPr>
      </w:pPr>
    </w:p>
    <w:p w:rsidR="00A04B37" w:rsidRPr="00A04B37" w:rsidRDefault="00A04B37" w:rsidP="00A04B37">
      <w:pPr>
        <w:numPr>
          <w:ilvl w:val="0"/>
          <w:numId w:val="7"/>
        </w:numPr>
        <w:tabs>
          <w:tab w:val="left" w:pos="567"/>
        </w:tabs>
        <w:spacing w:after="0" w:line="240" w:lineRule="auto"/>
        <w:ind w:left="567" w:hanging="567"/>
        <w:contextualSpacing/>
        <w:jc w:val="both"/>
        <w:rPr>
          <w:rFonts w:ascii="Arial" w:eastAsia="Calibri" w:hAnsi="Arial" w:cs="Arial"/>
          <w:color w:val="000000" w:themeColor="text1"/>
          <w:sz w:val="24"/>
          <w:szCs w:val="24"/>
          <w:lang w:val="en-US"/>
        </w:rPr>
      </w:pPr>
      <w:r w:rsidRPr="00A04B37">
        <w:rPr>
          <w:rFonts w:ascii="Arial" w:eastAsia="Calibri" w:hAnsi="Arial" w:cs="Arial"/>
          <w:b/>
          <w:i/>
          <w:color w:val="000000" w:themeColor="text1"/>
          <w:sz w:val="24"/>
          <w:szCs w:val="24"/>
        </w:rPr>
        <w:t xml:space="preserve">Sustainable Development Goals. </w:t>
      </w:r>
      <w:r w:rsidRPr="00A04B37">
        <w:rPr>
          <w:rFonts w:ascii="Arial" w:eastAsia="Calibri" w:hAnsi="Arial" w:cs="Arial"/>
          <w:color w:val="000000" w:themeColor="text1"/>
          <w:sz w:val="24"/>
          <w:szCs w:val="24"/>
        </w:rPr>
        <w:t>Goal 3 of the Sustainable Development Goals (SDGs) aimed to “ensure healthy lives and promote well-being for all at all ages”. SDG 3</w:t>
      </w:r>
      <w:r w:rsidRPr="00A04B37">
        <w:rPr>
          <w:rFonts w:ascii="Arial" w:eastAsia="Calibri" w:hAnsi="Arial" w:cs="Arial"/>
          <w:color w:val="000000" w:themeColor="text1"/>
          <w:sz w:val="24"/>
          <w:szCs w:val="24"/>
          <w:vertAlign w:val="superscript"/>
        </w:rPr>
        <w:footnoteReference w:id="1"/>
      </w:r>
      <w:r w:rsidRPr="00A04B37">
        <w:rPr>
          <w:rFonts w:ascii="Arial" w:eastAsia="Calibri" w:hAnsi="Arial" w:cs="Arial"/>
          <w:color w:val="000000" w:themeColor="text1"/>
          <w:sz w:val="24"/>
          <w:szCs w:val="24"/>
        </w:rPr>
        <w:t xml:space="preserve"> </w:t>
      </w:r>
      <w:r w:rsidRPr="00A04B37">
        <w:rPr>
          <w:rFonts w:ascii="Arial" w:eastAsia="Calibri" w:hAnsi="Arial" w:cs="Arial"/>
          <w:color w:val="000000" w:themeColor="text1"/>
          <w:sz w:val="24"/>
          <w:szCs w:val="24"/>
          <w:lang w:val="en-US"/>
        </w:rPr>
        <w:t xml:space="preserve">aims to eradicate a wide range of diseases, address emerging health crises, and provide universal access to quality healthcare. </w:t>
      </w:r>
    </w:p>
    <w:p w:rsidR="00A04B37" w:rsidRPr="00A04B37" w:rsidRDefault="00A04B37" w:rsidP="00A04B37">
      <w:pPr>
        <w:spacing w:after="0" w:line="240" w:lineRule="auto"/>
        <w:ind w:left="720"/>
        <w:contextualSpacing/>
        <w:jc w:val="both"/>
        <w:rPr>
          <w:rFonts w:ascii="Arial" w:eastAsia="Calibri" w:hAnsi="Arial" w:cs="Arial"/>
          <w:color w:val="000000" w:themeColor="text1"/>
          <w:sz w:val="24"/>
          <w:szCs w:val="24"/>
          <w:lang w:val="en-US"/>
        </w:rPr>
      </w:pPr>
    </w:p>
    <w:p w:rsidR="00A04B37" w:rsidRPr="00A04B37" w:rsidRDefault="00A04B37" w:rsidP="00A04B37">
      <w:pPr>
        <w:spacing w:after="0" w:line="240" w:lineRule="auto"/>
        <w:ind w:left="567"/>
        <w:contextualSpacing/>
        <w:jc w:val="both"/>
        <w:rPr>
          <w:rFonts w:ascii="Arial" w:eastAsia="Calibri" w:hAnsi="Arial" w:cs="Arial"/>
          <w:color w:val="000000" w:themeColor="text1"/>
          <w:sz w:val="24"/>
          <w:szCs w:val="24"/>
          <w:lang w:val="en-US"/>
        </w:rPr>
      </w:pPr>
      <w:r w:rsidRPr="00A04B37">
        <w:rPr>
          <w:rFonts w:ascii="Arial" w:eastAsia="Calibri" w:hAnsi="Arial" w:cs="Arial"/>
          <w:color w:val="000000" w:themeColor="text1"/>
          <w:sz w:val="24"/>
          <w:szCs w:val="24"/>
          <w:lang w:val="en-US"/>
        </w:rPr>
        <w:t>Key targets of the goal include:</w:t>
      </w:r>
    </w:p>
    <w:p w:rsidR="00A04B37" w:rsidRPr="00A04B37" w:rsidRDefault="00A04B37" w:rsidP="00A04B37">
      <w:pPr>
        <w:spacing w:after="0" w:line="240" w:lineRule="auto"/>
        <w:ind w:left="567"/>
        <w:contextualSpacing/>
        <w:jc w:val="both"/>
        <w:rPr>
          <w:rFonts w:ascii="Arial" w:eastAsia="Calibri" w:hAnsi="Arial" w:cs="Arial"/>
          <w:color w:val="000000" w:themeColor="text1"/>
          <w:sz w:val="24"/>
          <w:szCs w:val="24"/>
          <w:lang w:val="en-US"/>
        </w:rPr>
      </w:pPr>
    </w:p>
    <w:p w:rsidR="00A04B37" w:rsidRPr="00A04B37" w:rsidRDefault="00A04B37" w:rsidP="00A04B37">
      <w:pPr>
        <w:numPr>
          <w:ilvl w:val="0"/>
          <w:numId w:val="24"/>
        </w:numPr>
        <w:tabs>
          <w:tab w:val="left" w:pos="851"/>
        </w:tabs>
        <w:spacing w:after="0" w:line="240" w:lineRule="auto"/>
        <w:ind w:left="851" w:right="522" w:hanging="284"/>
        <w:contextualSpacing/>
        <w:jc w:val="both"/>
        <w:rPr>
          <w:rFonts w:ascii="Arial" w:eastAsia="Calibri" w:hAnsi="Arial" w:cs="Arial"/>
          <w:color w:val="000000" w:themeColor="text1"/>
          <w:sz w:val="24"/>
          <w:szCs w:val="24"/>
          <w:lang w:val="en-US"/>
        </w:rPr>
      </w:pPr>
      <w:r w:rsidRPr="00A04B37">
        <w:rPr>
          <w:rFonts w:ascii="Arial" w:eastAsia="Calibri" w:hAnsi="Arial" w:cs="Arial"/>
          <w:i/>
          <w:color w:val="000000" w:themeColor="text1"/>
          <w:sz w:val="24"/>
          <w:szCs w:val="24"/>
          <w:lang w:val="en-US"/>
        </w:rPr>
        <w:t>Maternal and Child Health:</w:t>
      </w:r>
      <w:r w:rsidRPr="00A04B37">
        <w:rPr>
          <w:rFonts w:ascii="Arial" w:eastAsia="Calibri" w:hAnsi="Arial" w:cs="Arial"/>
          <w:color w:val="000000" w:themeColor="text1"/>
          <w:sz w:val="24"/>
          <w:szCs w:val="24"/>
          <w:lang w:val="en-US"/>
        </w:rPr>
        <w:t xml:space="preserve"> Ending preventable deaths of newborns and children under 5, and reducing the global maternal mortality ratio.</w:t>
      </w:r>
    </w:p>
    <w:p w:rsidR="00A04B37" w:rsidRPr="00A04B37" w:rsidRDefault="00A04B37" w:rsidP="00A04B37">
      <w:pPr>
        <w:numPr>
          <w:ilvl w:val="0"/>
          <w:numId w:val="24"/>
        </w:numPr>
        <w:tabs>
          <w:tab w:val="left" w:pos="851"/>
        </w:tabs>
        <w:spacing w:after="0" w:line="240" w:lineRule="auto"/>
        <w:ind w:left="851" w:right="522" w:hanging="284"/>
        <w:contextualSpacing/>
        <w:jc w:val="both"/>
        <w:rPr>
          <w:rFonts w:ascii="Arial" w:eastAsia="Calibri" w:hAnsi="Arial" w:cs="Arial"/>
          <w:color w:val="000000" w:themeColor="text1"/>
          <w:sz w:val="24"/>
          <w:szCs w:val="24"/>
          <w:lang w:val="en-US"/>
        </w:rPr>
      </w:pPr>
      <w:r w:rsidRPr="00A04B37">
        <w:rPr>
          <w:rFonts w:ascii="Arial" w:eastAsia="Calibri" w:hAnsi="Arial" w:cs="Arial"/>
          <w:i/>
          <w:color w:val="000000" w:themeColor="text1"/>
          <w:sz w:val="24"/>
          <w:szCs w:val="24"/>
          <w:lang w:val="en-US"/>
        </w:rPr>
        <w:t>Disease Eradication:</w:t>
      </w:r>
      <w:r w:rsidRPr="00A04B37">
        <w:rPr>
          <w:rFonts w:ascii="Arial" w:eastAsia="Calibri" w:hAnsi="Arial" w:cs="Arial"/>
          <w:color w:val="000000" w:themeColor="text1"/>
          <w:sz w:val="24"/>
          <w:szCs w:val="24"/>
          <w:lang w:val="en-US"/>
        </w:rPr>
        <w:t xml:space="preserve"> Ending epidemics of AIDS, tuberculosis, malaria, and other communicable diseases, while combating non-communicable diseases like cancer and heart disease.</w:t>
      </w:r>
    </w:p>
    <w:p w:rsidR="00A04B37" w:rsidRPr="00A04B37" w:rsidRDefault="00A04B37" w:rsidP="00A04B37">
      <w:pPr>
        <w:numPr>
          <w:ilvl w:val="0"/>
          <w:numId w:val="24"/>
        </w:numPr>
        <w:tabs>
          <w:tab w:val="left" w:pos="851"/>
        </w:tabs>
        <w:spacing w:after="0" w:line="240" w:lineRule="auto"/>
        <w:ind w:left="851" w:right="522" w:hanging="284"/>
        <w:contextualSpacing/>
        <w:jc w:val="both"/>
        <w:rPr>
          <w:rFonts w:ascii="Arial" w:eastAsia="Calibri" w:hAnsi="Arial" w:cs="Arial"/>
          <w:color w:val="000000" w:themeColor="text1"/>
          <w:sz w:val="24"/>
          <w:szCs w:val="24"/>
          <w:lang w:val="en-US"/>
        </w:rPr>
      </w:pPr>
      <w:r w:rsidRPr="00A04B37">
        <w:rPr>
          <w:rFonts w:ascii="Arial" w:eastAsia="Calibri" w:hAnsi="Arial" w:cs="Arial"/>
          <w:i/>
          <w:color w:val="000000" w:themeColor="text1"/>
          <w:sz w:val="24"/>
          <w:szCs w:val="24"/>
          <w:lang w:val="en-US"/>
        </w:rPr>
        <w:t>Universal Healthcare:</w:t>
      </w:r>
      <w:r w:rsidRPr="00A04B37">
        <w:rPr>
          <w:rFonts w:ascii="Arial" w:eastAsia="Calibri" w:hAnsi="Arial" w:cs="Arial"/>
          <w:color w:val="000000" w:themeColor="text1"/>
          <w:sz w:val="24"/>
          <w:szCs w:val="24"/>
          <w:lang w:val="en-US"/>
        </w:rPr>
        <w:t xml:space="preserve"> Achieving universal health coverage, including access to safe, effective, and affordable medicines and vaccines for all.</w:t>
      </w:r>
    </w:p>
    <w:p w:rsidR="00A04B37" w:rsidRPr="00A04B37" w:rsidRDefault="00A04B37" w:rsidP="00A04B37">
      <w:pPr>
        <w:numPr>
          <w:ilvl w:val="0"/>
          <w:numId w:val="24"/>
        </w:numPr>
        <w:tabs>
          <w:tab w:val="left" w:pos="851"/>
        </w:tabs>
        <w:spacing w:after="0" w:line="240" w:lineRule="auto"/>
        <w:ind w:left="851" w:right="522" w:hanging="284"/>
        <w:contextualSpacing/>
        <w:jc w:val="both"/>
        <w:rPr>
          <w:rFonts w:ascii="Arial" w:eastAsia="Calibri" w:hAnsi="Arial" w:cs="Arial"/>
          <w:color w:val="000000" w:themeColor="text1"/>
          <w:sz w:val="24"/>
          <w:szCs w:val="24"/>
          <w:lang w:val="en-US"/>
        </w:rPr>
      </w:pPr>
      <w:r w:rsidRPr="00A04B37">
        <w:rPr>
          <w:rFonts w:ascii="Arial" w:eastAsia="Calibri" w:hAnsi="Arial" w:cs="Arial"/>
          <w:i/>
          <w:color w:val="000000" w:themeColor="text1"/>
          <w:sz w:val="24"/>
          <w:szCs w:val="24"/>
          <w:lang w:val="en-US"/>
        </w:rPr>
        <w:t>Emerging Crises:</w:t>
      </w:r>
      <w:r w:rsidRPr="00A04B37">
        <w:rPr>
          <w:rFonts w:ascii="Arial" w:eastAsia="Calibri" w:hAnsi="Arial" w:cs="Arial"/>
          <w:color w:val="000000" w:themeColor="text1"/>
          <w:sz w:val="24"/>
          <w:szCs w:val="24"/>
          <w:lang w:val="en-US"/>
        </w:rPr>
        <w:t xml:space="preserve"> Significantly reducing deaths and illnesses from hazardous chemicals, environmental pollution, and substance abuse (including narcotic drug abuse and the harmful use of alcohol).</w:t>
      </w:r>
    </w:p>
    <w:p w:rsidR="00A04B37" w:rsidRPr="00A04B37" w:rsidRDefault="00A04B37" w:rsidP="00A04B37">
      <w:pPr>
        <w:numPr>
          <w:ilvl w:val="0"/>
          <w:numId w:val="24"/>
        </w:numPr>
        <w:tabs>
          <w:tab w:val="left" w:pos="851"/>
        </w:tabs>
        <w:spacing w:after="0" w:line="240" w:lineRule="auto"/>
        <w:ind w:left="851" w:right="522" w:hanging="284"/>
        <w:contextualSpacing/>
        <w:jc w:val="both"/>
        <w:rPr>
          <w:rFonts w:ascii="Arial" w:eastAsia="Calibri" w:hAnsi="Arial" w:cs="Arial"/>
          <w:color w:val="000000" w:themeColor="text1"/>
          <w:sz w:val="24"/>
          <w:szCs w:val="24"/>
          <w:lang w:val="en-US"/>
        </w:rPr>
      </w:pPr>
      <w:r w:rsidRPr="00A04B37">
        <w:rPr>
          <w:rFonts w:ascii="Arial" w:eastAsia="Calibri" w:hAnsi="Arial" w:cs="Arial"/>
          <w:i/>
          <w:color w:val="000000" w:themeColor="text1"/>
          <w:sz w:val="24"/>
          <w:szCs w:val="24"/>
          <w:lang w:val="en-US"/>
        </w:rPr>
        <w:t>Reproductive Health:</w:t>
      </w:r>
      <w:r w:rsidRPr="00A04B37">
        <w:rPr>
          <w:rFonts w:ascii="Arial" w:eastAsia="Calibri" w:hAnsi="Arial" w:cs="Arial"/>
          <w:color w:val="000000" w:themeColor="text1"/>
          <w:sz w:val="24"/>
          <w:szCs w:val="24"/>
          <w:lang w:val="en-US"/>
        </w:rPr>
        <w:t xml:space="preserve"> Ensuring universal access to sexual and reproductive health-care services, family planning, and education. </w:t>
      </w:r>
    </w:p>
    <w:p w:rsidR="00A04B37" w:rsidRPr="00A04B37" w:rsidRDefault="00A04B37" w:rsidP="00A04B37">
      <w:pPr>
        <w:spacing w:after="0" w:line="240" w:lineRule="auto"/>
        <w:contextualSpacing/>
        <w:jc w:val="both"/>
        <w:rPr>
          <w:rFonts w:ascii="Arial" w:eastAsia="Calibri" w:hAnsi="Arial" w:cs="Arial"/>
          <w:color w:val="000000" w:themeColor="text1"/>
          <w:sz w:val="24"/>
          <w:szCs w:val="24"/>
          <w:lang w:val="en-US"/>
        </w:rPr>
      </w:pPr>
    </w:p>
    <w:p w:rsidR="00A04B37" w:rsidRPr="00A04B37" w:rsidRDefault="00A04B37" w:rsidP="00A04B37">
      <w:pPr>
        <w:spacing w:after="0" w:line="240" w:lineRule="auto"/>
        <w:contextualSpacing/>
        <w:jc w:val="both"/>
        <w:rPr>
          <w:rFonts w:ascii="Arial" w:eastAsia="Calibri" w:hAnsi="Arial" w:cs="Arial"/>
          <w:color w:val="000000" w:themeColor="text1"/>
          <w:sz w:val="24"/>
          <w:szCs w:val="24"/>
          <w:lang w:val="en-US"/>
        </w:rPr>
      </w:pPr>
    </w:p>
    <w:p w:rsidR="00A04B37" w:rsidRPr="00A04B37" w:rsidRDefault="00A04B37" w:rsidP="00A04B37">
      <w:pPr>
        <w:numPr>
          <w:ilvl w:val="0"/>
          <w:numId w:val="8"/>
        </w:numPr>
        <w:tabs>
          <w:tab w:val="left" w:pos="567"/>
        </w:tabs>
        <w:spacing w:after="0" w:line="240" w:lineRule="auto"/>
        <w:jc w:val="both"/>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BACKGROUNDER</w:t>
      </w:r>
    </w:p>
    <w:p w:rsidR="00A04B37" w:rsidRPr="00A04B37" w:rsidRDefault="00A04B37" w:rsidP="00A04B37">
      <w:pPr>
        <w:tabs>
          <w:tab w:val="left" w:pos="426"/>
        </w:tabs>
        <w:spacing w:after="0" w:line="240" w:lineRule="auto"/>
        <w:jc w:val="both"/>
        <w:rPr>
          <w:rFonts w:ascii="Arial" w:eastAsia="Calibri" w:hAnsi="Arial" w:cs="Arial"/>
          <w:b/>
          <w:color w:val="000000" w:themeColor="text1"/>
          <w:sz w:val="24"/>
          <w:szCs w:val="24"/>
        </w:rPr>
      </w:pPr>
    </w:p>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 xml:space="preserve">As of 2025 in the Philippines, the importation of medical devices and equipment is subject to a 12% VAT under Sections 106 - 107 of the NIRC applied on the landed cost (customs value plus duty, freight, and insurance). This rate is uniform across </w:t>
      </w:r>
      <w:r w:rsidRPr="00A04B37">
        <w:rPr>
          <w:rFonts w:ascii="Arial" w:eastAsia="Calibri" w:hAnsi="Arial" w:cs="Arial"/>
          <w:color w:val="000000" w:themeColor="text1"/>
          <w:sz w:val="24"/>
          <w:szCs w:val="24"/>
        </w:rPr>
        <w:lastRenderedPageBreak/>
        <w:t>categories such as diagnostic instruments, surgical equipment, therapeutic devices, and personal protective equipment (PPE).</w:t>
      </w:r>
    </w:p>
    <w:p w:rsidR="00A04B37" w:rsidRPr="00A04B37" w:rsidRDefault="00A04B37" w:rsidP="00A04B37">
      <w:pPr>
        <w:tabs>
          <w:tab w:val="left" w:pos="426"/>
        </w:tabs>
        <w:spacing w:after="0" w:line="240" w:lineRule="auto"/>
        <w:jc w:val="both"/>
        <w:rPr>
          <w:rFonts w:ascii="Arial" w:eastAsia="Calibri" w:hAnsi="Arial" w:cs="Arial"/>
          <w:b/>
          <w:color w:val="000000" w:themeColor="text1"/>
          <w:sz w:val="24"/>
          <w:szCs w:val="24"/>
        </w:rPr>
      </w:pPr>
    </w:p>
    <w:p w:rsidR="00A04B37" w:rsidRPr="00A04B37" w:rsidRDefault="00A04B37" w:rsidP="00A04B37">
      <w:pPr>
        <w:numPr>
          <w:ilvl w:val="0"/>
          <w:numId w:val="10"/>
        </w:numPr>
        <w:tabs>
          <w:tab w:val="left" w:pos="426"/>
        </w:tabs>
        <w:spacing w:after="0" w:line="240" w:lineRule="auto"/>
        <w:jc w:val="both"/>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Current Rates on the Importation of Medical Devices and Equipment</w:t>
      </w:r>
    </w:p>
    <w:tbl>
      <w:tblPr>
        <w:tblW w:w="964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134"/>
        <w:gridCol w:w="709"/>
        <w:gridCol w:w="710"/>
        <w:gridCol w:w="708"/>
        <w:gridCol w:w="708"/>
        <w:gridCol w:w="710"/>
        <w:gridCol w:w="708"/>
        <w:gridCol w:w="1276"/>
        <w:gridCol w:w="1560"/>
      </w:tblGrid>
      <w:tr w:rsidR="00A04B37" w:rsidRPr="00A04B37" w:rsidTr="004A2F66">
        <w:trPr>
          <w:tblHeader/>
        </w:trPr>
        <w:tc>
          <w:tcPr>
            <w:tcW w:w="1418"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Tax/Charge Type</w:t>
            </w:r>
          </w:p>
        </w:tc>
        <w:tc>
          <w:tcPr>
            <w:tcW w:w="1134"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Legal Basis</w:t>
            </w:r>
          </w:p>
        </w:tc>
        <w:tc>
          <w:tcPr>
            <w:tcW w:w="709"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2025</w:t>
            </w:r>
          </w:p>
        </w:tc>
        <w:tc>
          <w:tcPr>
            <w:tcW w:w="710"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2026</w:t>
            </w:r>
          </w:p>
        </w:tc>
        <w:tc>
          <w:tcPr>
            <w:tcW w:w="708"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2027</w:t>
            </w:r>
          </w:p>
        </w:tc>
        <w:tc>
          <w:tcPr>
            <w:tcW w:w="708"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2028</w:t>
            </w:r>
          </w:p>
        </w:tc>
        <w:tc>
          <w:tcPr>
            <w:tcW w:w="710"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2029</w:t>
            </w:r>
          </w:p>
        </w:tc>
        <w:tc>
          <w:tcPr>
            <w:tcW w:w="708"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2030</w:t>
            </w:r>
          </w:p>
        </w:tc>
        <w:tc>
          <w:tcPr>
            <w:tcW w:w="1276"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Tax Base</w:t>
            </w:r>
          </w:p>
        </w:tc>
        <w:tc>
          <w:tcPr>
            <w:tcW w:w="1560" w:type="dxa"/>
            <w:shd w:val="clear" w:color="auto" w:fill="000000"/>
            <w:vAlign w:val="center"/>
          </w:tcPr>
          <w:p w:rsidR="00A04B37" w:rsidRPr="00A04B37" w:rsidRDefault="00A04B37" w:rsidP="00A04B37">
            <w:pPr>
              <w:spacing w:after="0" w:line="240" w:lineRule="auto"/>
              <w:jc w:val="center"/>
              <w:rPr>
                <w:rFonts w:ascii="Arial Narrow" w:eastAsia="Times New Roman" w:hAnsi="Arial Narrow" w:cs="Arial"/>
                <w:b/>
                <w:bCs/>
                <w:color w:val="FFFFFF" w:themeColor="background1"/>
                <w:lang w:eastAsia="en-PH"/>
              </w:rPr>
            </w:pPr>
            <w:r w:rsidRPr="00A04B37">
              <w:rPr>
                <w:rFonts w:ascii="Arial Narrow" w:eastAsia="Times New Roman" w:hAnsi="Arial Narrow" w:cs="Arial"/>
                <w:b/>
                <w:bCs/>
                <w:color w:val="FFFFFF" w:themeColor="background1"/>
                <w:lang w:eastAsia="en-PH"/>
              </w:rPr>
              <w:t>Exemptions / Notes</w:t>
            </w:r>
          </w:p>
        </w:tc>
      </w:tr>
      <w:tr w:rsidR="00A04B37" w:rsidRPr="00A04B37" w:rsidTr="004A2F66">
        <w:tc>
          <w:tcPr>
            <w:tcW w:w="141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b/>
                <w:bCs/>
                <w:color w:val="000000" w:themeColor="text1"/>
                <w:lang w:eastAsia="en-PH"/>
              </w:rPr>
            </w:pPr>
            <w:r w:rsidRPr="00A04B37">
              <w:rPr>
                <w:rFonts w:ascii="Arial Narrow" w:eastAsia="Times New Roman" w:hAnsi="Arial Narrow" w:cs="Arial"/>
                <w:b/>
                <w:bCs/>
                <w:color w:val="000000" w:themeColor="text1"/>
                <w:lang w:eastAsia="en-PH"/>
              </w:rPr>
              <w:t>Customs Duty</w:t>
            </w:r>
          </w:p>
        </w:tc>
        <w:tc>
          <w:tcPr>
            <w:tcW w:w="1134"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CMTA (RA 10863); EO 20</w:t>
            </w:r>
            <w:r w:rsidRPr="00A04B37">
              <w:rPr>
                <w:rFonts w:ascii="Arial Narrow" w:eastAsia="Times New Roman" w:hAnsi="Arial Narrow" w:cs="Arial"/>
                <w:color w:val="000000" w:themeColor="text1"/>
                <w:vertAlign w:val="superscript"/>
                <w:lang w:eastAsia="en-PH"/>
              </w:rPr>
              <w:footnoteReference w:id="2"/>
            </w:r>
            <w:r w:rsidRPr="00A04B37">
              <w:rPr>
                <w:rFonts w:ascii="Arial Narrow" w:eastAsia="Times New Roman" w:hAnsi="Arial Narrow" w:cs="Arial"/>
                <w:color w:val="000000" w:themeColor="text1"/>
                <w:lang w:eastAsia="en-PH"/>
              </w:rPr>
              <w:t>; 2023, ATIGA schedule</w:t>
            </w:r>
          </w:p>
        </w:tc>
        <w:tc>
          <w:tcPr>
            <w:tcW w:w="709"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0–5%</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0–5%</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0–5%</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0–5%</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0–5%</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0–5%</w:t>
            </w:r>
          </w:p>
        </w:tc>
        <w:tc>
          <w:tcPr>
            <w:tcW w:w="1276" w:type="dxa"/>
            <w:shd w:val="clear" w:color="auto" w:fill="auto"/>
            <w:vAlign w:val="center"/>
          </w:tcPr>
          <w:p w:rsidR="00A04B37" w:rsidRPr="00A04B37" w:rsidRDefault="00A04B37" w:rsidP="00A04B37">
            <w:pPr>
              <w:spacing w:after="0" w:line="240" w:lineRule="auto"/>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Declared customs value</w:t>
            </w:r>
          </w:p>
        </w:tc>
        <w:tc>
          <w:tcPr>
            <w:tcW w:w="1560" w:type="dxa"/>
            <w:shd w:val="clear" w:color="auto" w:fill="auto"/>
            <w:vAlign w:val="center"/>
          </w:tcPr>
          <w:p w:rsidR="00A04B37" w:rsidRPr="00A04B37" w:rsidRDefault="00A04B37" w:rsidP="00A04B37">
            <w:pPr>
              <w:spacing w:after="0" w:line="240" w:lineRule="auto"/>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Lower rates or zero duty under ASEAN Trade in Goods Agreement (ATIGA), RCEP, and bilateral FTAs; some devices duty</w:t>
            </w:r>
            <w:r w:rsidRPr="00A04B37">
              <w:rPr>
                <w:rFonts w:ascii="Arial Narrow" w:eastAsia="Times New Roman" w:hAnsi="Arial Narrow" w:cs="Arial"/>
                <w:color w:val="000000" w:themeColor="text1"/>
                <w:lang w:eastAsia="en-PH"/>
              </w:rPr>
              <w:noBreakHyphen/>
              <w:t>free</w:t>
            </w:r>
          </w:p>
        </w:tc>
      </w:tr>
      <w:tr w:rsidR="00A04B37" w:rsidRPr="00A04B37" w:rsidTr="004A2F66">
        <w:tc>
          <w:tcPr>
            <w:tcW w:w="141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b/>
                <w:bCs/>
                <w:color w:val="000000" w:themeColor="text1"/>
                <w:lang w:eastAsia="en-PH"/>
              </w:rPr>
            </w:pPr>
            <w:r w:rsidRPr="00A04B37">
              <w:rPr>
                <w:rFonts w:ascii="Arial Narrow" w:eastAsia="Times New Roman" w:hAnsi="Arial Narrow" w:cs="Arial"/>
                <w:b/>
                <w:bCs/>
                <w:color w:val="000000" w:themeColor="text1"/>
                <w:lang w:eastAsia="en-PH"/>
              </w:rPr>
              <w:t>Value</w:t>
            </w:r>
            <w:r w:rsidRPr="00A04B37">
              <w:rPr>
                <w:rFonts w:ascii="Arial Narrow" w:eastAsia="Times New Roman" w:hAnsi="Arial Narrow" w:cs="Arial"/>
                <w:b/>
                <w:bCs/>
                <w:color w:val="000000" w:themeColor="text1"/>
                <w:lang w:eastAsia="en-PH"/>
              </w:rPr>
              <w:noBreakHyphen/>
              <w:t>Added Tax (VAT)</w:t>
            </w:r>
          </w:p>
        </w:tc>
        <w:tc>
          <w:tcPr>
            <w:tcW w:w="1134"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NIRC Sec. 106–107</w:t>
            </w:r>
          </w:p>
        </w:tc>
        <w:tc>
          <w:tcPr>
            <w:tcW w:w="709"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12%</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12%</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12%</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12%</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12%</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12%</w:t>
            </w:r>
          </w:p>
        </w:tc>
        <w:tc>
          <w:tcPr>
            <w:tcW w:w="1276" w:type="dxa"/>
            <w:shd w:val="clear" w:color="auto" w:fill="auto"/>
            <w:vAlign w:val="center"/>
          </w:tcPr>
          <w:p w:rsidR="00A04B37" w:rsidRPr="00A04B37" w:rsidRDefault="00A04B37" w:rsidP="00A04B37">
            <w:pPr>
              <w:spacing w:after="0" w:line="240" w:lineRule="auto"/>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Landed cost (customs value + duty + freight + insurance)</w:t>
            </w:r>
          </w:p>
        </w:tc>
        <w:tc>
          <w:tcPr>
            <w:tcW w:w="1560" w:type="dxa"/>
            <w:shd w:val="clear" w:color="auto" w:fill="auto"/>
            <w:vAlign w:val="center"/>
          </w:tcPr>
          <w:p w:rsidR="00A04B37" w:rsidRPr="00A04B37" w:rsidRDefault="00A04B37" w:rsidP="00A04B37">
            <w:pPr>
              <w:spacing w:after="0" w:line="240" w:lineRule="auto"/>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Exemptions for COVID-19 supplies under RA 11469 (Bayanihan Act) and RR No. 6-2020 expired Dec 31, 2023.</w:t>
            </w:r>
          </w:p>
        </w:tc>
      </w:tr>
      <w:tr w:rsidR="00A04B37" w:rsidRPr="00A04B37" w:rsidTr="004A2F66">
        <w:tc>
          <w:tcPr>
            <w:tcW w:w="141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b/>
                <w:bCs/>
                <w:color w:val="000000" w:themeColor="text1"/>
                <w:lang w:eastAsia="en-PH"/>
              </w:rPr>
            </w:pPr>
            <w:r w:rsidRPr="00A04B37">
              <w:rPr>
                <w:rFonts w:ascii="Arial Narrow" w:eastAsia="Times New Roman" w:hAnsi="Arial Narrow" w:cs="Arial"/>
                <w:b/>
                <w:bCs/>
                <w:color w:val="000000" w:themeColor="text1"/>
                <w:lang w:eastAsia="en-PH"/>
              </w:rPr>
              <w:t>Excise Tax</w:t>
            </w:r>
          </w:p>
        </w:tc>
        <w:tc>
          <w:tcPr>
            <w:tcW w:w="1134"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NIRC</w:t>
            </w:r>
          </w:p>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Title IV</w:t>
            </w:r>
          </w:p>
        </w:tc>
        <w:tc>
          <w:tcPr>
            <w:tcW w:w="709"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1276"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N/A</w:t>
            </w:r>
          </w:p>
        </w:tc>
        <w:tc>
          <w:tcPr>
            <w:tcW w:w="1560" w:type="dxa"/>
            <w:shd w:val="clear" w:color="auto" w:fill="auto"/>
            <w:vAlign w:val="center"/>
          </w:tcPr>
          <w:p w:rsidR="00A04B37" w:rsidRPr="00A04B37" w:rsidRDefault="00A04B37" w:rsidP="00A04B37">
            <w:pPr>
              <w:spacing w:after="0" w:line="240" w:lineRule="auto"/>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Medical devices/ equipment are not excisable</w:t>
            </w:r>
          </w:p>
        </w:tc>
      </w:tr>
      <w:tr w:rsidR="00A04B37" w:rsidRPr="00A04B37" w:rsidTr="004A2F66">
        <w:tc>
          <w:tcPr>
            <w:tcW w:w="141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b/>
                <w:bCs/>
                <w:color w:val="000000" w:themeColor="text1"/>
                <w:lang w:eastAsia="en-PH"/>
              </w:rPr>
            </w:pPr>
            <w:r w:rsidRPr="00A04B37">
              <w:rPr>
                <w:rFonts w:ascii="Arial Narrow" w:eastAsia="Times New Roman" w:hAnsi="Arial Narrow" w:cs="Arial"/>
                <w:b/>
                <w:bCs/>
                <w:color w:val="000000" w:themeColor="text1"/>
                <w:lang w:eastAsia="en-PH"/>
              </w:rPr>
              <w:t>Other Fees</w:t>
            </w:r>
          </w:p>
        </w:tc>
        <w:tc>
          <w:tcPr>
            <w:tcW w:w="1134"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BOC/BIR issuances</w:t>
            </w:r>
          </w:p>
        </w:tc>
        <w:tc>
          <w:tcPr>
            <w:tcW w:w="709"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sz w:val="16"/>
                <w:szCs w:val="16"/>
                <w:lang w:eastAsia="en-PH"/>
              </w:rPr>
            </w:pPr>
            <w:r w:rsidRPr="00A04B37">
              <w:rPr>
                <w:rFonts w:ascii="Arial Narrow" w:eastAsia="Times New Roman" w:hAnsi="Arial Narrow" w:cs="Arial"/>
                <w:color w:val="000000" w:themeColor="text1"/>
                <w:sz w:val="16"/>
                <w:szCs w:val="16"/>
                <w:lang w:eastAsia="en-PH"/>
              </w:rPr>
              <w:t>Variable</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sz w:val="16"/>
                <w:szCs w:val="16"/>
                <w:lang w:eastAsia="en-PH"/>
              </w:rPr>
            </w:pPr>
            <w:r w:rsidRPr="00A04B37">
              <w:rPr>
                <w:rFonts w:ascii="Arial Narrow" w:eastAsia="Times New Roman" w:hAnsi="Arial Narrow" w:cs="Arial"/>
                <w:color w:val="000000" w:themeColor="text1"/>
                <w:sz w:val="16"/>
                <w:szCs w:val="16"/>
                <w:lang w:eastAsia="en-PH"/>
              </w:rPr>
              <w:t>Variable</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sz w:val="16"/>
                <w:szCs w:val="16"/>
                <w:lang w:eastAsia="en-PH"/>
              </w:rPr>
            </w:pPr>
            <w:r w:rsidRPr="00A04B37">
              <w:rPr>
                <w:rFonts w:ascii="Arial Narrow" w:eastAsia="Times New Roman" w:hAnsi="Arial Narrow" w:cs="Arial"/>
                <w:color w:val="000000" w:themeColor="text1"/>
                <w:sz w:val="16"/>
                <w:szCs w:val="16"/>
                <w:lang w:eastAsia="en-PH"/>
              </w:rPr>
              <w:t>Variable</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sz w:val="16"/>
                <w:szCs w:val="16"/>
                <w:lang w:eastAsia="en-PH"/>
              </w:rPr>
            </w:pPr>
            <w:r w:rsidRPr="00A04B37">
              <w:rPr>
                <w:rFonts w:ascii="Arial Narrow" w:eastAsia="Times New Roman" w:hAnsi="Arial Narrow" w:cs="Arial"/>
                <w:color w:val="000000" w:themeColor="text1"/>
                <w:sz w:val="16"/>
                <w:szCs w:val="16"/>
                <w:lang w:eastAsia="en-PH"/>
              </w:rPr>
              <w:t>Variable</w:t>
            </w:r>
          </w:p>
        </w:tc>
        <w:tc>
          <w:tcPr>
            <w:tcW w:w="710"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sz w:val="16"/>
                <w:szCs w:val="16"/>
                <w:lang w:eastAsia="en-PH"/>
              </w:rPr>
            </w:pPr>
            <w:r w:rsidRPr="00A04B37">
              <w:rPr>
                <w:rFonts w:ascii="Arial Narrow" w:eastAsia="Times New Roman" w:hAnsi="Arial Narrow" w:cs="Arial"/>
                <w:color w:val="000000" w:themeColor="text1"/>
                <w:sz w:val="16"/>
                <w:szCs w:val="16"/>
                <w:lang w:eastAsia="en-PH"/>
              </w:rPr>
              <w:t>Variable</w:t>
            </w:r>
          </w:p>
        </w:tc>
        <w:tc>
          <w:tcPr>
            <w:tcW w:w="708"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sz w:val="16"/>
                <w:szCs w:val="16"/>
                <w:lang w:eastAsia="en-PH"/>
              </w:rPr>
            </w:pPr>
            <w:r w:rsidRPr="00A04B37">
              <w:rPr>
                <w:rFonts w:ascii="Arial Narrow" w:eastAsia="Times New Roman" w:hAnsi="Arial Narrow" w:cs="Arial"/>
                <w:color w:val="000000" w:themeColor="text1"/>
                <w:sz w:val="16"/>
                <w:szCs w:val="16"/>
                <w:lang w:eastAsia="en-PH"/>
              </w:rPr>
              <w:t>Variable</w:t>
            </w:r>
          </w:p>
        </w:tc>
        <w:tc>
          <w:tcPr>
            <w:tcW w:w="1276" w:type="dxa"/>
            <w:shd w:val="clear" w:color="auto" w:fill="auto"/>
            <w:vAlign w:val="center"/>
          </w:tcPr>
          <w:p w:rsidR="00A04B37" w:rsidRPr="00A04B37" w:rsidRDefault="00A04B37" w:rsidP="00A04B37">
            <w:pPr>
              <w:spacing w:after="0" w:line="240" w:lineRule="auto"/>
              <w:jc w:val="center"/>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Transaction</w:t>
            </w:r>
            <w:r w:rsidRPr="00A04B37">
              <w:rPr>
                <w:rFonts w:ascii="Arial Narrow" w:eastAsia="Times New Roman" w:hAnsi="Arial Narrow" w:cs="Arial"/>
                <w:color w:val="000000" w:themeColor="text1"/>
                <w:lang w:eastAsia="en-PH"/>
              </w:rPr>
              <w:noBreakHyphen/>
              <w:t>based</w:t>
            </w:r>
          </w:p>
        </w:tc>
        <w:tc>
          <w:tcPr>
            <w:tcW w:w="1560" w:type="dxa"/>
            <w:shd w:val="clear" w:color="auto" w:fill="auto"/>
            <w:vAlign w:val="center"/>
          </w:tcPr>
          <w:p w:rsidR="00A04B37" w:rsidRPr="00A04B37" w:rsidRDefault="00A04B37" w:rsidP="00A04B37">
            <w:pPr>
              <w:spacing w:after="0" w:line="240" w:lineRule="auto"/>
              <w:rPr>
                <w:rFonts w:ascii="Arial Narrow" w:eastAsia="Times New Roman" w:hAnsi="Arial Narrow" w:cs="Arial"/>
                <w:color w:val="000000" w:themeColor="text1"/>
                <w:lang w:eastAsia="en-PH"/>
              </w:rPr>
            </w:pPr>
            <w:r w:rsidRPr="00A04B37">
              <w:rPr>
                <w:rFonts w:ascii="Arial Narrow" w:eastAsia="Times New Roman" w:hAnsi="Arial Narrow" w:cs="Arial"/>
                <w:color w:val="000000" w:themeColor="text1"/>
                <w:lang w:eastAsia="en-PH"/>
              </w:rPr>
              <w:t>ATRIG required except for exempted goods under Bayanihan Act</w:t>
            </w:r>
          </w:p>
        </w:tc>
      </w:tr>
    </w:tbl>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p>
    <w:p w:rsidR="00A04B37" w:rsidRPr="00A04B37" w:rsidRDefault="00A04B37" w:rsidP="00A04B37">
      <w:pPr>
        <w:numPr>
          <w:ilvl w:val="0"/>
          <w:numId w:val="10"/>
        </w:numPr>
        <w:tabs>
          <w:tab w:val="left" w:pos="426"/>
        </w:tabs>
        <w:spacing w:after="0" w:line="240" w:lineRule="auto"/>
        <w:ind w:left="426" w:hanging="426"/>
        <w:contextualSpacing/>
        <w:jc w:val="both"/>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List of Medical Devices and Equipment as Provided by the Department of Health (DOH)</w:t>
      </w:r>
      <w:r w:rsidRPr="00A04B37">
        <w:rPr>
          <w:rFonts w:ascii="Arial" w:eastAsia="Calibri" w:hAnsi="Arial" w:cs="Arial"/>
          <w:b/>
          <w:color w:val="000000" w:themeColor="text1"/>
          <w:sz w:val="24"/>
          <w:szCs w:val="24"/>
          <w:vertAlign w:val="superscript"/>
        </w:rPr>
        <w:footnoteReference w:id="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1347"/>
        <w:gridCol w:w="4519"/>
      </w:tblGrid>
      <w:tr w:rsidR="00A04B37" w:rsidRPr="00A04B37" w:rsidTr="004A2F66">
        <w:trPr>
          <w:tblHeader/>
        </w:trPr>
        <w:tc>
          <w:tcPr>
            <w:tcW w:w="4621" w:type="dxa"/>
            <w:gridSpan w:val="2"/>
            <w:shd w:val="clear" w:color="auto" w:fill="1F3864"/>
            <w:vAlign w:val="center"/>
          </w:tcPr>
          <w:p w:rsidR="00A04B37" w:rsidRPr="00A04B37" w:rsidRDefault="00A04B37" w:rsidP="00A04B37">
            <w:pPr>
              <w:tabs>
                <w:tab w:val="left" w:pos="426"/>
              </w:tabs>
              <w:spacing w:before="120" w:after="120" w:line="240" w:lineRule="auto"/>
              <w:ind w:left="426"/>
              <w:contextualSpacing/>
              <w:jc w:val="center"/>
              <w:rPr>
                <w:rFonts w:ascii="Arial" w:eastAsia="Calibri" w:hAnsi="Arial" w:cs="Arial"/>
                <w:b/>
                <w:color w:val="FFFFFF" w:themeColor="background1"/>
                <w:sz w:val="24"/>
                <w:szCs w:val="24"/>
                <w:u w:val="single"/>
              </w:rPr>
            </w:pPr>
            <w:r w:rsidRPr="00A04B37">
              <w:rPr>
                <w:rFonts w:ascii="Arial" w:eastAsia="Calibri" w:hAnsi="Arial" w:cs="Arial"/>
                <w:b/>
                <w:color w:val="FFFFFF" w:themeColor="background1"/>
                <w:sz w:val="24"/>
                <w:szCs w:val="24"/>
                <w:u w:val="single"/>
              </w:rPr>
              <w:t>Category</w:t>
            </w:r>
          </w:p>
        </w:tc>
        <w:tc>
          <w:tcPr>
            <w:tcW w:w="4622" w:type="dxa"/>
            <w:shd w:val="clear" w:color="auto" w:fill="1F3864"/>
            <w:vAlign w:val="center"/>
          </w:tcPr>
          <w:p w:rsidR="00A04B37" w:rsidRPr="00A04B37" w:rsidRDefault="00A04B37" w:rsidP="00A04B37">
            <w:pPr>
              <w:tabs>
                <w:tab w:val="left" w:pos="426"/>
              </w:tabs>
              <w:spacing w:before="120" w:after="120" w:line="240" w:lineRule="auto"/>
              <w:contextualSpacing/>
              <w:jc w:val="center"/>
              <w:rPr>
                <w:rFonts w:ascii="Arial" w:eastAsia="Calibri" w:hAnsi="Arial" w:cs="Arial"/>
                <w:b/>
                <w:color w:val="FFFFFF" w:themeColor="background1"/>
                <w:sz w:val="24"/>
                <w:szCs w:val="24"/>
              </w:rPr>
            </w:pPr>
            <w:r w:rsidRPr="00A04B37">
              <w:rPr>
                <w:rFonts w:ascii="Arial" w:eastAsia="Calibri" w:hAnsi="Arial" w:cs="Arial"/>
                <w:b/>
                <w:color w:val="FFFFFF" w:themeColor="background1"/>
                <w:sz w:val="24"/>
                <w:szCs w:val="24"/>
              </w:rPr>
              <w:t>Equipment</w:t>
            </w:r>
          </w:p>
        </w:tc>
      </w:tr>
      <w:tr w:rsidR="00A04B37" w:rsidRPr="00A04B37" w:rsidTr="004A2F66">
        <w:tc>
          <w:tcPr>
            <w:tcW w:w="3227" w:type="dxa"/>
            <w:vMerge w:val="restart"/>
            <w:shd w:val="clear" w:color="auto" w:fill="FFFFFF"/>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24"/>
                <w:szCs w:val="24"/>
                <w:u w:val="single"/>
              </w:rPr>
            </w:pPr>
            <w:r w:rsidRPr="00A04B37">
              <w:rPr>
                <w:rFonts w:ascii="Arial" w:eastAsia="Calibri" w:hAnsi="Arial" w:cs="Arial"/>
                <w:b/>
                <w:color w:val="000000" w:themeColor="text1"/>
                <w:sz w:val="24"/>
                <w:szCs w:val="24"/>
                <w:u w:val="single"/>
              </w:rPr>
              <w:t>Diagnostic Equipment</w:t>
            </w:r>
          </w:p>
          <w:p w:rsidR="00A04B37" w:rsidRPr="00A04B37" w:rsidRDefault="00A04B37" w:rsidP="00A04B37">
            <w:pPr>
              <w:tabs>
                <w:tab w:val="left" w:pos="426"/>
              </w:tabs>
              <w:spacing w:after="0" w:line="240" w:lineRule="auto"/>
              <w:ind w:left="426"/>
              <w:contextualSpacing/>
              <w:jc w:val="center"/>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Ultrasound Machine with color Doppler imaging system and accessories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Two (2) Dimension Echocardiography (2D Echo)</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Digital X-Ray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C-Arm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auto"/>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Digital Mammography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Digital Fluoroscopy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Computed Tomography (CT) Scan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Magnetic Resonance Imaging (MRI)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Hybrid SPECT/CT System- Variable Angle Dual Detector Gamma Camera</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Central Dual Energy X Ray Absorptiometry (DEXA) Bone Densitometer</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Medical Cyclotrons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Positron Emission Tomography and Computed Tomography (PET CT)</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Power Injectors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Dental Periapical X-ray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Endoscopy Systems (all types and kinds)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Patient Monitors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Body Composition Analyzers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Slit Lamps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Blood Pressure Measuring and Monitoring Devices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Electrocardiograph Machines (ECG)</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Electroencephalograph (EEG)</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Electromyography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Blood Glucose Meters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Body Thermometers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Fetal Doppler and Monitors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Pulse Oximeters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Operating Room Lights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Examination Tables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Otoscopes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Ophthalmoscopes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color w:val="000000" w:themeColor="text1"/>
                <w:sz w:val="24"/>
                <w:szCs w:val="24"/>
                <w:u w:val="single"/>
              </w:rPr>
            </w:pPr>
          </w:p>
        </w:tc>
        <w:tc>
          <w:tcPr>
            <w:tcW w:w="6016" w:type="dxa"/>
            <w:gridSpan w:val="2"/>
            <w:shd w:val="clear" w:color="auto" w:fill="FFFFFF"/>
          </w:tcPr>
          <w:p w:rsidR="00A04B37" w:rsidRPr="00A04B37" w:rsidRDefault="00A04B37" w:rsidP="00A04B37">
            <w:pPr>
              <w:numPr>
                <w:ilvl w:val="0"/>
                <w:numId w:val="11"/>
              </w:num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Laryngoscope (all types)</w:t>
            </w:r>
          </w:p>
        </w:tc>
      </w:tr>
      <w:tr w:rsidR="00A04B37" w:rsidRPr="00A04B37" w:rsidTr="004A2F66">
        <w:tc>
          <w:tcPr>
            <w:tcW w:w="3227" w:type="dxa"/>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8"/>
                <w:szCs w:val="8"/>
              </w:rPr>
            </w:pPr>
            <w:bookmarkStart w:id="1" w:name="_Hlk213771342"/>
          </w:p>
        </w:tc>
        <w:tc>
          <w:tcPr>
            <w:tcW w:w="6016" w:type="dxa"/>
            <w:gridSpan w:val="2"/>
            <w:shd w:val="clear" w:color="auto" w:fill="000000"/>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sz w:val="8"/>
                <w:szCs w:val="8"/>
              </w:rPr>
            </w:pPr>
          </w:p>
        </w:tc>
      </w:tr>
      <w:bookmarkEnd w:id="1"/>
      <w:tr w:rsidR="00A04B37" w:rsidRPr="00A04B37" w:rsidTr="004A2F66">
        <w:tc>
          <w:tcPr>
            <w:tcW w:w="3227" w:type="dxa"/>
            <w:vMerge w:val="restart"/>
            <w:shd w:val="clear" w:color="auto" w:fill="FFFFFF"/>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Laboratory Diagnostic Equipment</w:t>
            </w: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w:t>
            </w:r>
            <w:r w:rsidRPr="00A04B37">
              <w:rPr>
                <w:rFonts w:ascii="Arial" w:eastAsia="Calibri" w:hAnsi="Arial" w:cs="Arial"/>
                <w:color w:val="000000" w:themeColor="text1"/>
              </w:rPr>
              <w:tab/>
              <w:t>Hematology Analyzers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w:t>
            </w:r>
            <w:r w:rsidRPr="00A04B37">
              <w:rPr>
                <w:rFonts w:ascii="Arial" w:eastAsia="Calibri" w:hAnsi="Arial" w:cs="Arial"/>
                <w:color w:val="000000" w:themeColor="text1"/>
              </w:rPr>
              <w:tab/>
              <w:t>Clinical Chemistry Analyzers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3.</w:t>
            </w:r>
            <w:r w:rsidRPr="00A04B37">
              <w:rPr>
                <w:rFonts w:ascii="Arial" w:eastAsia="Calibri" w:hAnsi="Arial" w:cs="Arial"/>
                <w:color w:val="000000" w:themeColor="text1"/>
              </w:rPr>
              <w:tab/>
              <w:t>Blood Gas Analyzers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4.</w:t>
            </w:r>
            <w:r w:rsidRPr="00A04B37">
              <w:rPr>
                <w:rFonts w:ascii="Arial" w:eastAsia="Calibri" w:hAnsi="Arial" w:cs="Arial"/>
                <w:color w:val="000000" w:themeColor="text1"/>
              </w:rPr>
              <w:tab/>
              <w:t>Clinical Microscopes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5.</w:t>
            </w:r>
            <w:r w:rsidRPr="00A04B37">
              <w:rPr>
                <w:rFonts w:ascii="Arial" w:eastAsia="Calibri" w:hAnsi="Arial" w:cs="Arial"/>
                <w:color w:val="000000" w:themeColor="text1"/>
              </w:rPr>
              <w:tab/>
              <w:t>Clinical Centrifuges (all types and kinds)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6.</w:t>
            </w:r>
            <w:r w:rsidRPr="00A04B37">
              <w:rPr>
                <w:rFonts w:ascii="Arial" w:eastAsia="Calibri" w:hAnsi="Arial" w:cs="Arial"/>
                <w:color w:val="000000" w:themeColor="text1"/>
              </w:rPr>
              <w:tab/>
              <w:t>Automated Blood Culture Systems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7.</w:t>
            </w:r>
            <w:r w:rsidRPr="00A04B37">
              <w:rPr>
                <w:rFonts w:ascii="Arial" w:eastAsia="Calibri" w:hAnsi="Arial" w:cs="Arial"/>
                <w:color w:val="000000" w:themeColor="text1"/>
              </w:rPr>
              <w:tab/>
              <w:t>Automated Erythrocyte Sedimentation Rate Analyzers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8.</w:t>
            </w:r>
            <w:r w:rsidRPr="00A04B37">
              <w:rPr>
                <w:rFonts w:ascii="Arial" w:eastAsia="Calibri" w:hAnsi="Arial" w:cs="Arial"/>
                <w:color w:val="000000" w:themeColor="text1"/>
              </w:rPr>
              <w:tab/>
              <w:t>Automated Immunoassay Analyzers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ind w:left="426"/>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9.</w:t>
            </w:r>
            <w:r w:rsidRPr="00A04B37">
              <w:rPr>
                <w:rFonts w:ascii="Arial" w:eastAsia="Calibri" w:hAnsi="Arial" w:cs="Arial"/>
                <w:color w:val="000000" w:themeColor="text1"/>
              </w:rPr>
              <w:tab/>
              <w:t>Automated Microbiological Identification Susceptibility Systems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10.</w:t>
            </w:r>
            <w:r w:rsidRPr="00A04B37">
              <w:rPr>
                <w:rFonts w:ascii="Arial" w:eastAsia="Calibri" w:hAnsi="Arial" w:cs="Arial"/>
                <w:color w:val="000000" w:themeColor="text1"/>
              </w:rPr>
              <w:tab/>
              <w:t>Automated Nucleic Acid Extractors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11.</w:t>
            </w:r>
            <w:r w:rsidRPr="00A04B37">
              <w:rPr>
                <w:rFonts w:ascii="Arial" w:eastAsia="Calibri" w:hAnsi="Arial" w:cs="Arial"/>
                <w:color w:val="000000" w:themeColor="text1"/>
              </w:rPr>
              <w:tab/>
              <w:t>Reverse Transcription Polymerase Chain Reaction (RT-PCR)</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12.</w:t>
            </w:r>
            <w:r w:rsidRPr="00A04B37">
              <w:rPr>
                <w:rFonts w:ascii="Arial" w:eastAsia="Calibri" w:hAnsi="Arial" w:cs="Arial"/>
                <w:color w:val="000000" w:themeColor="text1"/>
              </w:rPr>
              <w:tab/>
              <w:t>Automated Immunohistochemistry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13.</w:t>
            </w:r>
            <w:r w:rsidRPr="00A04B37">
              <w:rPr>
                <w:rFonts w:ascii="Arial" w:eastAsia="Calibri" w:hAnsi="Arial" w:cs="Arial"/>
                <w:color w:val="000000" w:themeColor="text1"/>
              </w:rPr>
              <w:tab/>
              <w:t>Electron Microscopes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14.</w:t>
            </w:r>
            <w:r w:rsidRPr="00A04B37">
              <w:rPr>
                <w:rFonts w:ascii="Arial" w:eastAsia="Calibri" w:hAnsi="Arial" w:cs="Arial"/>
                <w:color w:val="000000" w:themeColor="text1"/>
              </w:rPr>
              <w:tab/>
              <w:t>Urine Analyzers</w:t>
            </w:r>
          </w:p>
        </w:tc>
      </w:tr>
      <w:tr w:rsidR="00A04B37" w:rsidRPr="00A04B37" w:rsidTr="004A2F66">
        <w:tc>
          <w:tcPr>
            <w:tcW w:w="3227" w:type="dxa"/>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8"/>
                <w:szCs w:val="8"/>
              </w:rPr>
            </w:pPr>
            <w:bookmarkStart w:id="2" w:name="_Hlk213771964"/>
          </w:p>
        </w:tc>
        <w:tc>
          <w:tcPr>
            <w:tcW w:w="6016" w:type="dxa"/>
            <w:gridSpan w:val="2"/>
            <w:shd w:val="clear" w:color="auto" w:fill="000000"/>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sz w:val="8"/>
                <w:szCs w:val="8"/>
              </w:rPr>
            </w:pPr>
          </w:p>
        </w:tc>
      </w:tr>
      <w:bookmarkEnd w:id="2"/>
      <w:tr w:rsidR="00A04B37" w:rsidRPr="00A04B37" w:rsidTr="004A2F66">
        <w:tc>
          <w:tcPr>
            <w:tcW w:w="3227" w:type="dxa"/>
            <w:vMerge w:val="restart"/>
            <w:shd w:val="clear" w:color="auto" w:fill="FFFFFF"/>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Equipment for Treatment of Diseases</w:t>
            </w: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w:t>
            </w:r>
            <w:r w:rsidRPr="00A04B37">
              <w:rPr>
                <w:rFonts w:ascii="Arial" w:eastAsia="Calibri" w:hAnsi="Arial" w:cs="Arial"/>
                <w:color w:val="000000" w:themeColor="text1"/>
              </w:rPr>
              <w:tab/>
              <w:t>Digital Linear Accelerators (LINAC) with CT Simulators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w:t>
            </w:r>
            <w:r w:rsidRPr="00A04B37">
              <w:rPr>
                <w:rFonts w:ascii="Arial" w:eastAsia="Calibri" w:hAnsi="Arial" w:cs="Arial"/>
                <w:color w:val="000000" w:themeColor="text1"/>
              </w:rPr>
              <w:tab/>
              <w:t>Brachytherapy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3.</w:t>
            </w:r>
            <w:r w:rsidRPr="00A04B37">
              <w:rPr>
                <w:rFonts w:ascii="Arial" w:eastAsia="Calibri" w:hAnsi="Arial" w:cs="Arial"/>
                <w:color w:val="000000" w:themeColor="text1"/>
              </w:rPr>
              <w:tab/>
              <w:t>Cardiac Catheterization Equipment</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4.</w:t>
            </w:r>
            <w:r w:rsidRPr="00A04B37">
              <w:rPr>
                <w:rFonts w:ascii="Arial" w:eastAsia="Calibri" w:hAnsi="Arial" w:cs="Arial"/>
                <w:color w:val="000000" w:themeColor="text1"/>
              </w:rPr>
              <w:tab/>
              <w:t>Laparoscopy Towers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5.</w:t>
            </w:r>
            <w:r w:rsidRPr="00A04B37">
              <w:rPr>
                <w:rFonts w:ascii="Arial" w:eastAsia="Calibri" w:hAnsi="Arial" w:cs="Arial"/>
                <w:color w:val="000000" w:themeColor="text1"/>
              </w:rPr>
              <w:tab/>
              <w:t>Hemodialysis Equipment</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6.</w:t>
            </w:r>
            <w:r w:rsidRPr="00A04B37">
              <w:rPr>
                <w:rFonts w:ascii="Arial" w:eastAsia="Calibri" w:hAnsi="Arial" w:cs="Arial"/>
                <w:color w:val="000000" w:themeColor="text1"/>
              </w:rPr>
              <w:tab/>
              <w:t>Dialyzers (all types)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7.</w:t>
            </w:r>
            <w:r w:rsidRPr="00A04B37">
              <w:rPr>
                <w:rFonts w:ascii="Arial" w:eastAsia="Calibri" w:hAnsi="Arial" w:cs="Arial"/>
                <w:color w:val="000000" w:themeColor="text1"/>
              </w:rPr>
              <w:tab/>
              <w:t>Orthopedic Rehabilitation Equipment (all types and kinds)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8.</w:t>
            </w:r>
            <w:r w:rsidRPr="00A04B37">
              <w:rPr>
                <w:rFonts w:ascii="Arial" w:eastAsia="Calibri" w:hAnsi="Arial" w:cs="Arial"/>
                <w:color w:val="000000" w:themeColor="text1"/>
              </w:rPr>
              <w:tab/>
              <w:t>Anesthesia Machines (all types and kinds)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9.</w:t>
            </w:r>
            <w:r w:rsidRPr="00A04B37">
              <w:rPr>
                <w:rFonts w:ascii="Arial" w:eastAsia="Calibri" w:hAnsi="Arial" w:cs="Arial"/>
                <w:color w:val="000000" w:themeColor="text1"/>
              </w:rPr>
              <w:tab/>
              <w:t>Electrosurgical Equipment (all types and kinds)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10.</w:t>
            </w:r>
            <w:r w:rsidRPr="00A04B37">
              <w:rPr>
                <w:rFonts w:ascii="Arial" w:eastAsia="Calibri" w:hAnsi="Arial" w:cs="Arial"/>
                <w:color w:val="000000" w:themeColor="text1"/>
              </w:rPr>
              <w:tab/>
              <w:t>Infusion Pumps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11.</w:t>
            </w:r>
            <w:r w:rsidRPr="00A04B37">
              <w:rPr>
                <w:rFonts w:ascii="Arial" w:eastAsia="Calibri" w:hAnsi="Arial" w:cs="Arial"/>
                <w:color w:val="000000" w:themeColor="text1"/>
              </w:rPr>
              <w:tab/>
              <w:t>Syringe Pumps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12.</w:t>
            </w:r>
            <w:r w:rsidRPr="00A04B37">
              <w:rPr>
                <w:rFonts w:ascii="Arial" w:eastAsia="Calibri" w:hAnsi="Arial" w:cs="Arial"/>
                <w:color w:val="000000" w:themeColor="text1"/>
              </w:rPr>
              <w:tab/>
              <w:t>Lung Ventilators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13.</w:t>
            </w:r>
            <w:r w:rsidRPr="00A04B37">
              <w:rPr>
                <w:rFonts w:ascii="Arial" w:eastAsia="Calibri" w:hAnsi="Arial" w:cs="Arial"/>
                <w:color w:val="000000" w:themeColor="text1"/>
              </w:rPr>
              <w:tab/>
              <w:t>High Flow Nasal Cannula Equipment</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14.</w:t>
            </w:r>
            <w:r w:rsidRPr="00A04B37">
              <w:rPr>
                <w:rFonts w:ascii="Arial" w:eastAsia="Calibri" w:hAnsi="Arial" w:cs="Arial"/>
                <w:color w:val="000000" w:themeColor="text1"/>
              </w:rPr>
              <w:tab/>
              <w:t>Continues Positive Airway Pressure (CPAP)</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15.</w:t>
            </w:r>
            <w:r w:rsidRPr="00A04B37">
              <w:rPr>
                <w:rFonts w:ascii="Arial" w:eastAsia="Calibri" w:hAnsi="Arial" w:cs="Arial"/>
                <w:color w:val="000000" w:themeColor="text1"/>
              </w:rPr>
              <w:tab/>
              <w:t>Bi-Level Positive Airway Pressure (BiPAP)</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16.</w:t>
            </w:r>
            <w:r w:rsidRPr="00A04B37">
              <w:rPr>
                <w:rFonts w:ascii="Arial" w:eastAsia="Calibri" w:hAnsi="Arial" w:cs="Arial"/>
                <w:color w:val="000000" w:themeColor="text1"/>
              </w:rPr>
              <w:tab/>
              <w:t>Defibrillators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17.</w:t>
            </w:r>
            <w:r w:rsidRPr="00A04B37">
              <w:rPr>
                <w:rFonts w:ascii="Arial" w:eastAsia="Calibri" w:hAnsi="Arial" w:cs="Arial"/>
                <w:color w:val="000000" w:themeColor="text1"/>
              </w:rPr>
              <w:tab/>
              <w:t>Automatic External Defibrillators (AED)</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18.</w:t>
            </w:r>
            <w:r w:rsidRPr="00A04B37">
              <w:rPr>
                <w:rFonts w:ascii="Arial" w:eastAsia="Calibri" w:hAnsi="Arial" w:cs="Arial"/>
                <w:color w:val="000000" w:themeColor="text1"/>
              </w:rPr>
              <w:tab/>
              <w:t>Infant Incubators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19.</w:t>
            </w:r>
            <w:r w:rsidRPr="00A04B37">
              <w:rPr>
                <w:rFonts w:ascii="Arial" w:eastAsia="Calibri" w:hAnsi="Arial" w:cs="Arial"/>
                <w:color w:val="000000" w:themeColor="text1"/>
              </w:rPr>
              <w:tab/>
              <w:t>Transport Incubators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20.</w:t>
            </w:r>
            <w:r w:rsidRPr="00A04B37">
              <w:rPr>
                <w:rFonts w:ascii="Arial" w:eastAsia="Calibri" w:hAnsi="Arial" w:cs="Arial"/>
                <w:color w:val="000000" w:themeColor="text1"/>
              </w:rPr>
              <w:tab/>
              <w:t>Phototherapy Equipment</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21.</w:t>
            </w:r>
            <w:r w:rsidRPr="00A04B37">
              <w:rPr>
                <w:rFonts w:ascii="Arial" w:eastAsia="Calibri" w:hAnsi="Arial" w:cs="Arial"/>
                <w:color w:val="000000" w:themeColor="text1"/>
              </w:rPr>
              <w:tab/>
              <w:t>Suction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22.</w:t>
            </w:r>
            <w:r w:rsidRPr="00A04B37">
              <w:rPr>
                <w:rFonts w:ascii="Arial" w:eastAsia="Calibri" w:hAnsi="Arial" w:cs="Arial"/>
                <w:color w:val="000000" w:themeColor="text1"/>
              </w:rPr>
              <w:tab/>
              <w:t>Nebulizers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23.</w:t>
            </w:r>
            <w:r w:rsidRPr="00A04B37">
              <w:rPr>
                <w:rFonts w:ascii="Arial" w:eastAsia="Calibri" w:hAnsi="Arial" w:cs="Arial"/>
                <w:color w:val="000000" w:themeColor="text1"/>
              </w:rPr>
              <w:tab/>
              <w:t>Dental Equipment</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24.</w:t>
            </w:r>
            <w:r w:rsidRPr="00A04B37">
              <w:rPr>
                <w:rFonts w:ascii="Arial" w:eastAsia="Calibri" w:hAnsi="Arial" w:cs="Arial"/>
                <w:color w:val="000000" w:themeColor="text1"/>
              </w:rPr>
              <w:tab/>
              <w:t>Phacoemulsification Machines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25.</w:t>
            </w:r>
            <w:r w:rsidRPr="00A04B37">
              <w:rPr>
                <w:rFonts w:ascii="Arial" w:eastAsia="Calibri" w:hAnsi="Arial" w:cs="Arial"/>
                <w:color w:val="000000" w:themeColor="text1"/>
              </w:rPr>
              <w:tab/>
              <w:t>Surgical Operating Microscopes</w:t>
            </w:r>
          </w:p>
        </w:tc>
      </w:tr>
      <w:tr w:rsidR="00A04B37" w:rsidRPr="00A04B37" w:rsidTr="004A2F66">
        <w:tc>
          <w:tcPr>
            <w:tcW w:w="3227" w:type="dxa"/>
            <w:vMerge/>
            <w:shd w:val="clear" w:color="auto" w:fill="FFFFFF"/>
          </w:tcPr>
          <w:p w:rsidR="00A04B37" w:rsidRPr="00A04B37" w:rsidRDefault="00A04B37" w:rsidP="00A04B37">
            <w:pPr>
              <w:tabs>
                <w:tab w:val="left" w:pos="426"/>
              </w:tabs>
              <w:spacing w:after="0" w:line="240" w:lineRule="auto"/>
              <w:contextualSpacing/>
              <w:jc w:val="both"/>
              <w:rPr>
                <w:rFonts w:ascii="Arial" w:eastAsia="Calibri" w:hAnsi="Arial" w:cs="Arial"/>
                <w:b/>
                <w:color w:val="000000" w:themeColor="text1"/>
                <w:sz w:val="24"/>
                <w:szCs w:val="24"/>
                <w:u w:val="single"/>
              </w:rPr>
            </w:pPr>
          </w:p>
        </w:tc>
        <w:tc>
          <w:tcPr>
            <w:tcW w:w="6016" w:type="dxa"/>
            <w:gridSpan w:val="2"/>
            <w:shd w:val="clear" w:color="auto" w:fill="FFFFFF"/>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rPr>
            </w:pPr>
            <w:r w:rsidRPr="00A04B37">
              <w:rPr>
                <w:rFonts w:ascii="Arial" w:eastAsia="Calibri" w:hAnsi="Arial" w:cs="Arial"/>
                <w:color w:val="000000" w:themeColor="text1"/>
              </w:rPr>
              <w:t>26.</w:t>
            </w:r>
            <w:r w:rsidRPr="00A04B37">
              <w:rPr>
                <w:rFonts w:ascii="Arial" w:eastAsia="Calibri" w:hAnsi="Arial" w:cs="Arial"/>
                <w:color w:val="000000" w:themeColor="text1"/>
              </w:rPr>
              <w:tab/>
              <w:t>Oxygen Concentrators</w:t>
            </w:r>
          </w:p>
        </w:tc>
      </w:tr>
    </w:tbl>
    <w:p w:rsidR="00A04B37" w:rsidRPr="00A04B37" w:rsidRDefault="00A04B37" w:rsidP="00A04B37">
      <w:pPr>
        <w:tabs>
          <w:tab w:val="left" w:pos="426"/>
        </w:tabs>
        <w:spacing w:after="0" w:line="240" w:lineRule="auto"/>
        <w:contextualSpacing/>
        <w:jc w:val="both"/>
        <w:rPr>
          <w:rFonts w:ascii="Arial" w:eastAsia="Calibri" w:hAnsi="Arial" w:cs="Arial"/>
          <w:color w:val="000000" w:themeColor="text1"/>
          <w:sz w:val="24"/>
          <w:szCs w:val="24"/>
          <w:u w:val="single"/>
        </w:rPr>
      </w:pPr>
    </w:p>
    <w:p w:rsidR="00A04B37" w:rsidRPr="00A04B37" w:rsidRDefault="00A04B37" w:rsidP="00A04B37">
      <w:pPr>
        <w:numPr>
          <w:ilvl w:val="0"/>
          <w:numId w:val="10"/>
        </w:numPr>
        <w:tabs>
          <w:tab w:val="left" w:pos="426"/>
        </w:tabs>
        <w:spacing w:after="0" w:line="240" w:lineRule="auto"/>
        <w:ind w:left="426" w:hanging="426"/>
        <w:contextualSpacing/>
        <w:jc w:val="both"/>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 xml:space="preserve">BIR Issuances and List of VAT-Exempt, Deleted and Corrected Medical Devices and Equipment </w:t>
      </w:r>
    </w:p>
    <w:tbl>
      <w:tblPr>
        <w:tblW w:w="5000" w:type="pct"/>
        <w:tblBorders>
          <w:top w:val="single" w:sz="4" w:space="0" w:color="AEAAAA"/>
          <w:left w:val="single" w:sz="4" w:space="0" w:color="AEAAAA"/>
          <w:bottom w:val="single" w:sz="4" w:space="0" w:color="AEAAAA"/>
          <w:right w:val="single" w:sz="4" w:space="0" w:color="AEAAAA"/>
          <w:insideH w:val="single" w:sz="4" w:space="0" w:color="AEAAAA"/>
          <w:insideV w:val="single" w:sz="4" w:space="0" w:color="AEAAAA"/>
        </w:tblBorders>
        <w:tblLook w:val="04A0" w:firstRow="1" w:lastRow="0" w:firstColumn="1" w:lastColumn="0" w:noHBand="0" w:noVBand="1"/>
      </w:tblPr>
      <w:tblGrid>
        <w:gridCol w:w="3148"/>
        <w:gridCol w:w="5868"/>
      </w:tblGrid>
      <w:tr w:rsidR="00A04B37" w:rsidRPr="00A04B37" w:rsidTr="004A2F66">
        <w:trPr>
          <w:tblHeader/>
        </w:trPr>
        <w:tc>
          <w:tcPr>
            <w:tcW w:w="1746" w:type="pct"/>
            <w:shd w:val="clear" w:color="auto" w:fill="1F3864"/>
          </w:tcPr>
          <w:p w:rsidR="00A04B37" w:rsidRPr="00A04B37" w:rsidRDefault="00A04B37" w:rsidP="00A04B37">
            <w:pPr>
              <w:spacing w:before="120" w:after="120" w:line="240" w:lineRule="auto"/>
              <w:contextualSpacing/>
              <w:jc w:val="center"/>
              <w:rPr>
                <w:rFonts w:ascii="Arial" w:eastAsia="Calibri" w:hAnsi="Arial" w:cs="Arial"/>
                <w:color w:val="FFFFFF" w:themeColor="background1"/>
              </w:rPr>
            </w:pPr>
            <w:r w:rsidRPr="00A04B37">
              <w:rPr>
                <w:rFonts w:ascii="Arial" w:eastAsia="Calibri" w:hAnsi="Arial" w:cs="Arial"/>
                <w:b/>
                <w:color w:val="FFFFFF" w:themeColor="background1"/>
                <w:sz w:val="24"/>
                <w:szCs w:val="24"/>
                <w:u w:val="single"/>
              </w:rPr>
              <w:t>Category</w:t>
            </w:r>
          </w:p>
        </w:tc>
        <w:tc>
          <w:tcPr>
            <w:tcW w:w="3254" w:type="pct"/>
            <w:shd w:val="clear" w:color="auto" w:fill="1F3864"/>
          </w:tcPr>
          <w:p w:rsidR="00A04B37" w:rsidRPr="00A04B37" w:rsidRDefault="00A04B37" w:rsidP="00A04B37">
            <w:pPr>
              <w:tabs>
                <w:tab w:val="left" w:pos="311"/>
              </w:tabs>
              <w:spacing w:before="120" w:after="120" w:line="240" w:lineRule="auto"/>
              <w:contextualSpacing/>
              <w:jc w:val="center"/>
              <w:rPr>
                <w:rFonts w:ascii="Arial" w:eastAsia="Calibri" w:hAnsi="Arial" w:cs="Arial"/>
                <w:color w:val="FFFFFF" w:themeColor="background1"/>
              </w:rPr>
            </w:pPr>
            <w:r w:rsidRPr="00A04B37">
              <w:rPr>
                <w:rFonts w:ascii="Arial" w:eastAsia="Calibri" w:hAnsi="Arial" w:cs="Arial"/>
                <w:b/>
                <w:color w:val="FFFFFF" w:themeColor="background1"/>
                <w:sz w:val="24"/>
                <w:szCs w:val="24"/>
                <w:u w:val="single"/>
              </w:rPr>
              <w:t>Medical Devices</w:t>
            </w:r>
          </w:p>
        </w:tc>
      </w:tr>
      <w:tr w:rsidR="00A04B37" w:rsidRPr="00A04B37" w:rsidTr="004A2F66">
        <w:tc>
          <w:tcPr>
            <w:tcW w:w="1746" w:type="pct"/>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4"/>
                <w:szCs w:val="4"/>
              </w:rPr>
            </w:pPr>
            <w:bookmarkStart w:id="3" w:name="_Hlk213771525"/>
          </w:p>
        </w:tc>
        <w:tc>
          <w:tcPr>
            <w:tcW w:w="3254" w:type="pct"/>
            <w:shd w:val="clear" w:color="auto" w:fill="000000"/>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sz w:val="4"/>
                <w:szCs w:val="4"/>
              </w:rPr>
            </w:pPr>
          </w:p>
        </w:tc>
      </w:tr>
      <w:tr w:rsidR="00A04B37" w:rsidRPr="00A04B37" w:rsidTr="004A2F66">
        <w:tc>
          <w:tcPr>
            <w:tcW w:w="5000" w:type="pct"/>
            <w:gridSpan w:val="2"/>
            <w:shd w:val="clear" w:color="auto" w:fill="D9E2F3"/>
          </w:tcPr>
          <w:p w:rsidR="00A04B37" w:rsidRPr="00A04B37" w:rsidRDefault="00A04B37" w:rsidP="00A04B37">
            <w:pPr>
              <w:spacing w:after="0" w:line="240" w:lineRule="auto"/>
              <w:contextualSpacing/>
              <w:rPr>
                <w:rFonts w:ascii="Arial" w:eastAsia="Calibri" w:hAnsi="Arial" w:cs="Arial"/>
                <w:b/>
                <w:color w:val="000000" w:themeColor="text1"/>
                <w:sz w:val="24"/>
                <w:szCs w:val="24"/>
                <w:u w:val="single"/>
              </w:rPr>
            </w:pPr>
            <w:r w:rsidRPr="00A04B37">
              <w:rPr>
                <w:rFonts w:ascii="Arial" w:eastAsia="Calibri" w:hAnsi="Arial" w:cs="Arial"/>
                <w:b/>
                <w:color w:val="000000" w:themeColor="text1"/>
                <w:sz w:val="24"/>
                <w:szCs w:val="24"/>
              </w:rPr>
              <w:t>RMC 7-2024 (January 11, 2024)</w:t>
            </w:r>
            <w:r w:rsidRPr="00A04B37">
              <w:rPr>
                <w:rFonts w:ascii="Arial" w:eastAsia="Calibri" w:hAnsi="Arial" w:cs="Arial"/>
                <w:b/>
                <w:color w:val="000000" w:themeColor="text1"/>
                <w:vertAlign w:val="superscript"/>
              </w:rPr>
              <w:footnoteReference w:id="4"/>
            </w:r>
          </w:p>
        </w:tc>
      </w:tr>
      <w:tr w:rsidR="00A04B37" w:rsidRPr="00A04B37" w:rsidTr="004A2F66">
        <w:tc>
          <w:tcPr>
            <w:tcW w:w="1746" w:type="pct"/>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4"/>
                <w:szCs w:val="4"/>
              </w:rPr>
            </w:pPr>
          </w:p>
        </w:tc>
        <w:tc>
          <w:tcPr>
            <w:tcW w:w="3254" w:type="pct"/>
            <w:shd w:val="clear" w:color="auto" w:fill="000000"/>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sz w:val="4"/>
                <w:szCs w:val="4"/>
              </w:rPr>
            </w:pPr>
          </w:p>
        </w:tc>
      </w:tr>
      <w:tr w:rsidR="00A04B37" w:rsidRPr="00A04B37" w:rsidTr="004A2F66">
        <w:tc>
          <w:tcPr>
            <w:tcW w:w="5000" w:type="pct"/>
            <w:gridSpan w:val="2"/>
            <w:shd w:val="clear" w:color="auto" w:fill="FFFFFF"/>
          </w:tcPr>
          <w:p w:rsidR="00A04B37" w:rsidRPr="00A04B37" w:rsidRDefault="00A04B37" w:rsidP="00A04B37">
            <w:pPr>
              <w:spacing w:after="0" w:line="240" w:lineRule="auto"/>
              <w:contextualSpacing/>
              <w:jc w:val="center"/>
              <w:rPr>
                <w:rFonts w:ascii="Arial" w:eastAsia="Calibri" w:hAnsi="Arial" w:cs="Arial"/>
                <w:color w:val="000000" w:themeColor="text1"/>
              </w:rPr>
            </w:pPr>
            <w:r w:rsidRPr="00A04B37">
              <w:rPr>
                <w:rFonts w:ascii="Arial" w:eastAsia="Calibri" w:hAnsi="Arial" w:cs="Arial"/>
                <w:b/>
                <w:color w:val="000000" w:themeColor="text1"/>
                <w:sz w:val="24"/>
                <w:szCs w:val="24"/>
                <w:u w:val="single"/>
              </w:rPr>
              <w:t>For Deletion</w:t>
            </w:r>
          </w:p>
        </w:tc>
      </w:tr>
      <w:tr w:rsidR="00A04B37" w:rsidRPr="00A04B37" w:rsidTr="004A2F66">
        <w:tc>
          <w:tcPr>
            <w:tcW w:w="1746" w:type="pct"/>
            <w:shd w:val="clear" w:color="auto" w:fill="FFFFFF"/>
          </w:tcPr>
          <w:p w:rsidR="00A04B37" w:rsidRPr="00A04B37" w:rsidRDefault="00A04B37" w:rsidP="00A04B37">
            <w:pPr>
              <w:spacing w:after="0" w:line="240" w:lineRule="auto"/>
              <w:contextualSpacing/>
              <w:jc w:val="center"/>
              <w:rPr>
                <w:rFonts w:ascii="Arial" w:eastAsia="Calibri" w:hAnsi="Arial" w:cs="Arial"/>
                <w:b/>
                <w:color w:val="000000" w:themeColor="text1"/>
                <w:u w:val="single"/>
              </w:rPr>
            </w:pPr>
            <w:bookmarkStart w:id="4" w:name="_Hlk213771572"/>
            <w:bookmarkEnd w:id="3"/>
            <w:r w:rsidRPr="00A04B37">
              <w:rPr>
                <w:rFonts w:ascii="Arial" w:eastAsia="Calibri" w:hAnsi="Arial" w:cs="Arial"/>
                <w:b/>
                <w:color w:val="000000" w:themeColor="text1"/>
              </w:rPr>
              <w:t>Personal Protective Equipment (PPEs)</w:t>
            </w:r>
          </w:p>
        </w:tc>
        <w:tc>
          <w:tcPr>
            <w:tcW w:w="3254" w:type="pct"/>
            <w:shd w:val="clear" w:color="auto" w:fill="FFFFFF"/>
          </w:tcPr>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Gloves</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Gowns including Aprons</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Coveralls</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Body Suits</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Goggles</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Face masks including N95 Masks, KN95 Masks, Cloth/Fabric Masks</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 xml:space="preserve">Shoe Cover </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Head Cap/Cover</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Face Shield for Medical Use</w:t>
            </w:r>
          </w:p>
          <w:p w:rsidR="00A04B37" w:rsidRPr="00A04B37" w:rsidRDefault="00A04B37" w:rsidP="00A04B37">
            <w:pPr>
              <w:numPr>
                <w:ilvl w:val="0"/>
                <w:numId w:val="13"/>
              </w:numPr>
              <w:tabs>
                <w:tab w:val="left" w:pos="320"/>
              </w:tabs>
              <w:spacing w:after="0" w:line="240" w:lineRule="auto"/>
              <w:ind w:left="320" w:hanging="320"/>
              <w:contextualSpacing/>
              <w:jc w:val="both"/>
              <w:rPr>
                <w:rFonts w:ascii="Arial" w:eastAsia="Calibri" w:hAnsi="Arial" w:cs="Arial"/>
                <w:color w:val="000000" w:themeColor="text1"/>
              </w:rPr>
            </w:pPr>
            <w:r w:rsidRPr="00A04B37">
              <w:rPr>
                <w:rFonts w:ascii="Arial" w:eastAsia="Calibri" w:hAnsi="Arial" w:cs="Arial"/>
                <w:color w:val="000000" w:themeColor="text1"/>
              </w:rPr>
              <w:t>PPE Set (Coverall, Shoe Cover, Goggles or Faceshield, Facemask, Head Cap)</w:t>
            </w:r>
          </w:p>
        </w:tc>
      </w:tr>
      <w:tr w:rsidR="00A04B37" w:rsidRPr="00A04B37" w:rsidTr="004A2F66">
        <w:tc>
          <w:tcPr>
            <w:tcW w:w="1746" w:type="pct"/>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COVID-19 Diagnostic Test Kits</w:t>
            </w:r>
          </w:p>
        </w:tc>
        <w:tc>
          <w:tcPr>
            <w:tcW w:w="3254" w:type="pct"/>
            <w:shd w:val="clear" w:color="auto" w:fill="auto"/>
          </w:tcPr>
          <w:p w:rsidR="00A04B37" w:rsidRPr="00A04B37" w:rsidRDefault="00A04B37" w:rsidP="00A04B37">
            <w:pPr>
              <w:numPr>
                <w:ilvl w:val="0"/>
                <w:numId w:val="14"/>
              </w:numPr>
              <w:tabs>
                <w:tab w:val="left" w:pos="259"/>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Test kits including transport collection, preservation medium/tube with or without swab</w:t>
            </w:r>
          </w:p>
        </w:tc>
      </w:tr>
      <w:tr w:rsidR="00A04B37" w:rsidRPr="00A04B37" w:rsidTr="004A2F66">
        <w:tc>
          <w:tcPr>
            <w:tcW w:w="1746" w:type="pct"/>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Respiratory Devices and its Accessories</w:t>
            </w:r>
          </w:p>
        </w:tc>
        <w:tc>
          <w:tcPr>
            <w:tcW w:w="3254" w:type="pct"/>
            <w:shd w:val="clear" w:color="auto" w:fill="auto"/>
          </w:tcPr>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Ventilator including Portable Ventilator</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Resuscitator</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Ventilator Breathing Circuit</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Oxygen Concentrator</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Bacterial Filter for Breathing Circuit</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Tubing and Support Set for Ventilator</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Positive Pressure Breathing Device</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Oxygen Mask</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Heated Breathing Circuit</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Tracheal Tube</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Oxygen Tanks</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lastRenderedPageBreak/>
              <w:t>Attachment, Breathing, Positive End Expiratory pressure</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Airway Monitoring System and Airway Clearing System</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Accessory to Continuous Ventilator (Respirator)</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Humidifier, Respiratory Gas (Direct Pain Interface)</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Extracorporeal Membrane Oxygenation (ECMO) Machine</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Nasal Cannula</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Medical Gas Cylinder for Oxygen</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High-Flow Respiratory Device/System</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Nebulizing Kit and Nebulizer</w:t>
            </w:r>
          </w:p>
          <w:p w:rsidR="00A04B37" w:rsidRPr="00A04B37" w:rsidRDefault="00A04B37" w:rsidP="00A04B37">
            <w:pPr>
              <w:numPr>
                <w:ilvl w:val="0"/>
                <w:numId w:val="15"/>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High Efficiency Particulate Air (HEPA) Filter</w:t>
            </w:r>
          </w:p>
        </w:tc>
      </w:tr>
      <w:bookmarkEnd w:id="4"/>
      <w:tr w:rsidR="00A04B37" w:rsidRPr="00A04B37" w:rsidTr="004A2F66">
        <w:tc>
          <w:tcPr>
            <w:tcW w:w="1746" w:type="pct"/>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lastRenderedPageBreak/>
              <w:t>Other Specific Medical Devices</w:t>
            </w:r>
          </w:p>
        </w:tc>
        <w:tc>
          <w:tcPr>
            <w:tcW w:w="3254" w:type="pct"/>
            <w:shd w:val="clear" w:color="auto" w:fill="auto"/>
          </w:tcPr>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Anchor, preformed</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Bandage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Cannula, Reusable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Syringe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Tape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Cap (Disinfection, Seal, Taper, Dead End)</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Clinical Thermometer (Except mercurial type)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Cotton (Medical/hospital use)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Dressing/Gauze</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Tubings</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Luer Lock</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Flowmeter (All types)</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Gloves</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Nasopharyngeal Airway</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Non-contact Infrared Thermometer</w:t>
            </w:r>
          </w:p>
          <w:p w:rsidR="00A04B37" w:rsidRPr="00A04B37" w:rsidRDefault="00A04B37" w:rsidP="00A04B37">
            <w:pPr>
              <w:numPr>
                <w:ilvl w:val="0"/>
                <w:numId w:val="16"/>
              </w:numPr>
              <w:tabs>
                <w:tab w:val="left" w:pos="320"/>
              </w:tabs>
              <w:spacing w:after="0" w:line="240" w:lineRule="auto"/>
              <w:ind w:left="320" w:hanging="320"/>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Pulse Oximeter including portable and fingertip</w:t>
            </w:r>
          </w:p>
        </w:tc>
      </w:tr>
      <w:tr w:rsidR="00A04B37" w:rsidRPr="00A04B37" w:rsidTr="004A2F66">
        <w:tc>
          <w:tcPr>
            <w:tcW w:w="1746" w:type="pct"/>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4"/>
                <w:szCs w:val="4"/>
              </w:rPr>
            </w:pPr>
          </w:p>
        </w:tc>
        <w:tc>
          <w:tcPr>
            <w:tcW w:w="3254" w:type="pct"/>
            <w:shd w:val="clear" w:color="auto" w:fill="000000"/>
          </w:tcPr>
          <w:p w:rsidR="00A04B37" w:rsidRPr="00A04B37" w:rsidRDefault="00A04B37" w:rsidP="00A04B37">
            <w:pPr>
              <w:tabs>
                <w:tab w:val="left" w:pos="462"/>
              </w:tabs>
              <w:spacing w:after="0" w:line="240" w:lineRule="auto"/>
              <w:ind w:left="462" w:hanging="462"/>
              <w:contextualSpacing/>
              <w:jc w:val="both"/>
              <w:rPr>
                <w:rFonts w:ascii="Arial" w:eastAsia="Calibri" w:hAnsi="Arial" w:cs="Arial"/>
                <w:color w:val="000000" w:themeColor="text1"/>
                <w:sz w:val="4"/>
                <w:szCs w:val="4"/>
              </w:rPr>
            </w:pPr>
          </w:p>
        </w:tc>
      </w:tr>
      <w:tr w:rsidR="00A04B37" w:rsidRPr="00A04B37" w:rsidTr="004A2F66">
        <w:tc>
          <w:tcPr>
            <w:tcW w:w="5000" w:type="pct"/>
            <w:gridSpan w:val="2"/>
            <w:shd w:val="clear" w:color="auto" w:fill="D9E2F3"/>
          </w:tcPr>
          <w:p w:rsidR="00A04B37" w:rsidRPr="00A04B37" w:rsidRDefault="00A04B37" w:rsidP="00A04B37">
            <w:pPr>
              <w:spacing w:after="0" w:line="240" w:lineRule="auto"/>
              <w:contextualSpacing/>
              <w:rPr>
                <w:rFonts w:ascii="Arial" w:eastAsia="Calibri" w:hAnsi="Arial" w:cs="Arial"/>
                <w:b/>
                <w:color w:val="000000" w:themeColor="text1"/>
                <w:sz w:val="24"/>
                <w:szCs w:val="24"/>
                <w:u w:val="single"/>
              </w:rPr>
            </w:pPr>
            <w:bookmarkStart w:id="5" w:name="_Hlk213774257"/>
            <w:bookmarkStart w:id="6" w:name="_Hlk213774304"/>
            <w:bookmarkStart w:id="7" w:name="_Hlk213833305"/>
            <w:r w:rsidRPr="00A04B37">
              <w:rPr>
                <w:rFonts w:ascii="Arial" w:eastAsia="Calibri" w:hAnsi="Arial" w:cs="Arial"/>
                <w:b/>
                <w:color w:val="000000" w:themeColor="text1"/>
                <w:sz w:val="24"/>
                <w:szCs w:val="24"/>
              </w:rPr>
              <w:t>RMC 66-2022 (April 8, 2022)</w:t>
            </w:r>
            <w:r w:rsidRPr="00A04B37">
              <w:rPr>
                <w:rFonts w:ascii="Arial" w:eastAsia="Calibri" w:hAnsi="Arial" w:cs="Arial"/>
                <w:b/>
                <w:color w:val="000000" w:themeColor="text1"/>
                <w:sz w:val="24"/>
                <w:szCs w:val="24"/>
                <w:vertAlign w:val="superscript"/>
              </w:rPr>
              <w:footnoteReference w:id="5"/>
            </w:r>
          </w:p>
        </w:tc>
      </w:tr>
      <w:tr w:rsidR="00A04B37" w:rsidRPr="00A04B37" w:rsidTr="004A2F66">
        <w:tc>
          <w:tcPr>
            <w:tcW w:w="1746" w:type="pct"/>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4"/>
                <w:szCs w:val="4"/>
              </w:rPr>
            </w:pPr>
          </w:p>
        </w:tc>
        <w:tc>
          <w:tcPr>
            <w:tcW w:w="3254" w:type="pct"/>
            <w:shd w:val="clear" w:color="auto" w:fill="000000"/>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sz w:val="4"/>
                <w:szCs w:val="4"/>
              </w:rPr>
            </w:pPr>
          </w:p>
        </w:tc>
      </w:tr>
      <w:tr w:rsidR="00A04B37" w:rsidRPr="00A04B37" w:rsidTr="004A2F66">
        <w:tc>
          <w:tcPr>
            <w:tcW w:w="5000" w:type="pct"/>
            <w:gridSpan w:val="2"/>
            <w:shd w:val="clear" w:color="auto" w:fill="FFFFFF"/>
          </w:tcPr>
          <w:p w:rsidR="00A04B37" w:rsidRPr="00A04B37" w:rsidRDefault="00A04B37" w:rsidP="00A04B37">
            <w:pPr>
              <w:spacing w:after="0" w:line="240" w:lineRule="auto"/>
              <w:contextualSpacing/>
              <w:jc w:val="center"/>
              <w:rPr>
                <w:rFonts w:ascii="Arial" w:eastAsia="Calibri" w:hAnsi="Arial" w:cs="Arial"/>
                <w:color w:val="000000" w:themeColor="text1"/>
              </w:rPr>
            </w:pPr>
            <w:r w:rsidRPr="00A04B37">
              <w:rPr>
                <w:rFonts w:ascii="Arial" w:eastAsia="Calibri" w:hAnsi="Arial" w:cs="Arial"/>
                <w:b/>
                <w:color w:val="000000" w:themeColor="text1"/>
                <w:sz w:val="24"/>
                <w:szCs w:val="24"/>
                <w:u w:val="single"/>
              </w:rPr>
              <w:t>For Inclusion</w:t>
            </w:r>
          </w:p>
        </w:tc>
      </w:tr>
      <w:tr w:rsidR="00A04B37" w:rsidRPr="00A04B37" w:rsidTr="004A2F66">
        <w:tc>
          <w:tcPr>
            <w:tcW w:w="1746" w:type="pct"/>
            <w:shd w:val="clear" w:color="auto" w:fill="FFFFFF"/>
          </w:tcPr>
          <w:p w:rsidR="00A04B37" w:rsidRPr="00A04B37" w:rsidRDefault="00A04B37" w:rsidP="00A04B37">
            <w:pPr>
              <w:spacing w:after="0" w:line="240" w:lineRule="auto"/>
              <w:contextualSpacing/>
              <w:jc w:val="center"/>
              <w:rPr>
                <w:rFonts w:ascii="Arial" w:eastAsia="Calibri" w:hAnsi="Arial" w:cs="Arial"/>
                <w:b/>
                <w:color w:val="000000" w:themeColor="text1"/>
                <w:u w:val="single"/>
              </w:rPr>
            </w:pPr>
            <w:r w:rsidRPr="00A04B37">
              <w:rPr>
                <w:rFonts w:ascii="Arial" w:eastAsia="Calibri" w:hAnsi="Arial" w:cs="Arial"/>
                <w:b/>
                <w:color w:val="000000" w:themeColor="text1"/>
              </w:rPr>
              <w:t>Personal Protective Equipment (PPEs)</w:t>
            </w:r>
          </w:p>
        </w:tc>
        <w:tc>
          <w:tcPr>
            <w:tcW w:w="3254" w:type="pct"/>
            <w:shd w:val="clear" w:color="auto" w:fill="FFFFFF"/>
          </w:tcPr>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1.  Air Purifying Respirators (for use in healthcare settings during response to the COVID-19 public health emergency</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   Negative-Pressure SteriDome (NPS)</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3.  Individual Biocontainment Unit (IBU)</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4.  Airway Dome</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5.  Negative-Pressure Respiratory System</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6.  Patient Isolation Transport Unit (PITU) Device</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7.  Airborne Isolation Hood Device</w:t>
            </w:r>
          </w:p>
        </w:tc>
      </w:tr>
      <w:bookmarkEnd w:id="6"/>
      <w:tr w:rsidR="00A04B37" w:rsidRPr="00A04B37" w:rsidTr="004A2F66">
        <w:tc>
          <w:tcPr>
            <w:tcW w:w="1746" w:type="pct"/>
            <w:shd w:val="clear" w:color="auto" w:fill="FFFFFF"/>
          </w:tcPr>
          <w:p w:rsidR="00A04B37" w:rsidRPr="00A04B37" w:rsidRDefault="00A04B37" w:rsidP="00A04B37">
            <w:pPr>
              <w:spacing w:after="0" w:line="240" w:lineRule="auto"/>
              <w:contextualSpacing/>
              <w:jc w:val="both"/>
              <w:rPr>
                <w:rFonts w:ascii="Arial" w:eastAsia="Calibri" w:hAnsi="Arial" w:cs="Arial"/>
                <w:b/>
                <w:color w:val="000000" w:themeColor="text1"/>
                <w:u w:val="single"/>
              </w:rPr>
            </w:pPr>
            <w:r w:rsidRPr="00A04B37">
              <w:rPr>
                <w:rFonts w:ascii="Arial" w:eastAsia="Times New Roman" w:hAnsi="Arial" w:cs="Arial"/>
                <w:b/>
                <w:color w:val="000000" w:themeColor="text1"/>
                <w:lang w:eastAsia="en-PH"/>
              </w:rPr>
              <w:t>Other Specific Medical Device</w:t>
            </w:r>
          </w:p>
        </w:tc>
        <w:tc>
          <w:tcPr>
            <w:tcW w:w="3254" w:type="pct"/>
            <w:shd w:val="clear" w:color="auto" w:fill="FFFFFF"/>
          </w:tcPr>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1.  Remote or Wearable Patient Monitoring Devices</w:t>
            </w:r>
          </w:p>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  Patient Isolation Transport Unit (PITU)</w:t>
            </w:r>
          </w:p>
          <w:p w:rsidR="00A04B37" w:rsidRPr="00A04B37" w:rsidRDefault="00A04B37" w:rsidP="00A04B37">
            <w:pPr>
              <w:tabs>
                <w:tab w:val="left" w:pos="215"/>
              </w:tabs>
              <w:spacing w:after="0" w:line="240" w:lineRule="auto"/>
              <w:ind w:left="215" w:hanging="215"/>
              <w:contextualSpacing/>
              <w:rPr>
                <w:rFonts w:ascii="Arial" w:eastAsia="Calibri" w:hAnsi="Arial" w:cs="Arial"/>
                <w:b/>
                <w:color w:val="000000" w:themeColor="text1"/>
                <w:u w:val="single"/>
              </w:rPr>
            </w:pPr>
            <w:r w:rsidRPr="00A04B37">
              <w:rPr>
                <w:rFonts w:ascii="Arial" w:eastAsia="Times New Roman" w:hAnsi="Arial" w:cs="Arial"/>
                <w:color w:val="000000" w:themeColor="text1"/>
                <w:lang w:eastAsia="en-PH"/>
              </w:rPr>
              <w:t>3.  System Screening Tool</w:t>
            </w:r>
          </w:p>
        </w:tc>
      </w:tr>
      <w:tr w:rsidR="00A04B37" w:rsidRPr="00A04B37" w:rsidTr="004A2F66">
        <w:tc>
          <w:tcPr>
            <w:tcW w:w="1746" w:type="pct"/>
            <w:vMerge w:val="restart"/>
            <w:shd w:val="clear" w:color="auto" w:fill="auto"/>
            <w:vAlign w:val="center"/>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Respiratory Devices and its Accessories</w:t>
            </w:r>
          </w:p>
        </w:tc>
        <w:tc>
          <w:tcPr>
            <w:tcW w:w="3254" w:type="pct"/>
            <w:shd w:val="clear" w:color="auto" w:fill="auto"/>
          </w:tcPr>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1.  Continuous Positive Airway Pressure Circuit</w:t>
            </w:r>
          </w:p>
          <w:p w:rsidR="00A04B37" w:rsidRPr="00A04B37" w:rsidRDefault="00A04B37" w:rsidP="00A04B37">
            <w:pPr>
              <w:tabs>
                <w:tab w:val="left" w:pos="320"/>
              </w:tabs>
              <w:spacing w:after="0" w:line="240" w:lineRule="auto"/>
              <w:contextualSpacing/>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  Intermittent Positive Pressure Breathing Devices</w:t>
            </w:r>
          </w:p>
        </w:tc>
      </w:tr>
      <w:tr w:rsidR="00A04B37" w:rsidRPr="00A04B37" w:rsidTr="004A2F66">
        <w:tc>
          <w:tcPr>
            <w:tcW w:w="1746" w:type="pct"/>
            <w:vMerge/>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bookmarkStart w:id="8" w:name="_Hlk213773000"/>
          </w:p>
        </w:tc>
        <w:tc>
          <w:tcPr>
            <w:tcW w:w="3254" w:type="pct"/>
            <w:shd w:val="clear" w:color="auto" w:fill="auto"/>
          </w:tcPr>
          <w:p w:rsidR="00A04B37" w:rsidRPr="00A04B37" w:rsidRDefault="00A04B37" w:rsidP="00A04B37">
            <w:pPr>
              <w:spacing w:after="0" w:line="240" w:lineRule="auto"/>
              <w:textAlignment w:val="baseline"/>
              <w:rPr>
                <w:rFonts w:ascii="Arial" w:eastAsia="Times New Roman" w:hAnsi="Arial" w:cs="Arial"/>
                <w:color w:val="000000" w:themeColor="text1"/>
                <w:sz w:val="20"/>
                <w:szCs w:val="20"/>
                <w:lang w:eastAsia="en-PH"/>
              </w:rPr>
            </w:pPr>
            <w:r w:rsidRPr="00A04B37">
              <w:rPr>
                <w:rFonts w:ascii="Arial" w:eastAsia="Calibri" w:hAnsi="Arial" w:cs="Arial"/>
                <w:b/>
                <w:color w:val="000000" w:themeColor="text1"/>
                <w:sz w:val="24"/>
                <w:szCs w:val="24"/>
                <w:u w:val="single"/>
              </w:rPr>
              <w:t>For Deletion</w:t>
            </w:r>
          </w:p>
        </w:tc>
      </w:tr>
      <w:bookmarkEnd w:id="8"/>
      <w:tr w:rsidR="00A04B37" w:rsidRPr="00A04B37" w:rsidTr="004A2F66">
        <w:tc>
          <w:tcPr>
            <w:tcW w:w="1746" w:type="pct"/>
            <w:vMerge/>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p>
        </w:tc>
        <w:tc>
          <w:tcPr>
            <w:tcW w:w="3254" w:type="pct"/>
            <w:shd w:val="clear" w:color="auto" w:fill="auto"/>
          </w:tcPr>
          <w:p w:rsidR="00A04B37" w:rsidRPr="00A04B37" w:rsidRDefault="00A04B37" w:rsidP="00A04B37">
            <w:pPr>
              <w:spacing w:after="0" w:line="240" w:lineRule="auto"/>
              <w:textAlignment w:val="baseline"/>
              <w:rPr>
                <w:rFonts w:ascii="Arial" w:eastAsia="Times New Roman" w:hAnsi="Arial" w:cs="Arial"/>
                <w:color w:val="000000" w:themeColor="text1"/>
                <w:sz w:val="20"/>
                <w:szCs w:val="20"/>
                <w:lang w:eastAsia="en-PH"/>
              </w:rPr>
            </w:pPr>
            <w:r w:rsidRPr="00A04B37">
              <w:rPr>
                <w:rFonts w:ascii="Arial" w:eastAsia="Times New Roman" w:hAnsi="Arial" w:cs="Arial"/>
                <w:color w:val="000000" w:themeColor="text1"/>
                <w:sz w:val="20"/>
                <w:szCs w:val="20"/>
                <w:lang w:eastAsia="en-PH"/>
              </w:rPr>
              <w:t>1.     Medical Gas Cylinder, for Oxygen</w:t>
            </w:r>
          </w:p>
          <w:p w:rsidR="00A04B37" w:rsidRPr="00A04B37" w:rsidRDefault="00A04B37" w:rsidP="00A04B37">
            <w:pPr>
              <w:spacing w:after="0" w:line="240" w:lineRule="auto"/>
              <w:contextualSpacing/>
              <w:jc w:val="both"/>
              <w:rPr>
                <w:rFonts w:ascii="Arial" w:eastAsia="Times New Roman" w:hAnsi="Arial" w:cs="Arial"/>
                <w:color w:val="000000" w:themeColor="text1"/>
                <w:sz w:val="20"/>
                <w:szCs w:val="20"/>
                <w:lang w:eastAsia="en-PH"/>
              </w:rPr>
            </w:pPr>
            <w:r w:rsidRPr="00A04B37">
              <w:rPr>
                <w:rFonts w:ascii="Arial" w:eastAsia="Times New Roman" w:hAnsi="Arial" w:cs="Arial"/>
                <w:color w:val="000000" w:themeColor="text1"/>
                <w:sz w:val="20"/>
                <w:szCs w:val="20"/>
                <w:lang w:eastAsia="en-PH"/>
              </w:rPr>
              <w:t>2.     Oxygen Tanks</w:t>
            </w:r>
          </w:p>
        </w:tc>
      </w:tr>
      <w:tr w:rsidR="00A04B37" w:rsidRPr="00A04B37" w:rsidTr="004A2F66">
        <w:tc>
          <w:tcPr>
            <w:tcW w:w="1746" w:type="pct"/>
            <w:vMerge/>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bookmarkStart w:id="9" w:name="_Hlk213772450"/>
          </w:p>
        </w:tc>
        <w:tc>
          <w:tcPr>
            <w:tcW w:w="3254" w:type="pct"/>
            <w:shd w:val="clear" w:color="auto" w:fill="auto"/>
          </w:tcPr>
          <w:p w:rsidR="00A04B37" w:rsidRPr="00A04B37" w:rsidRDefault="00A04B37" w:rsidP="00A04B37">
            <w:pPr>
              <w:tabs>
                <w:tab w:val="left" w:pos="215"/>
              </w:tabs>
              <w:spacing w:after="0" w:line="240" w:lineRule="auto"/>
              <w:ind w:left="215" w:hanging="215"/>
              <w:textAlignment w:val="baseline"/>
              <w:rPr>
                <w:rFonts w:ascii="Arial" w:eastAsia="Times New Roman" w:hAnsi="Arial" w:cs="Arial"/>
                <w:i/>
                <w:color w:val="000000" w:themeColor="text1"/>
                <w:sz w:val="20"/>
                <w:szCs w:val="20"/>
                <w:lang w:eastAsia="en-PH"/>
              </w:rPr>
            </w:pPr>
            <w:r w:rsidRPr="00A04B37">
              <w:rPr>
                <w:rFonts w:ascii="Arial" w:eastAsia="Calibri" w:hAnsi="Arial" w:cs="Arial"/>
                <w:b/>
                <w:color w:val="000000" w:themeColor="text1"/>
                <w:sz w:val="24"/>
                <w:szCs w:val="24"/>
                <w:u w:val="single"/>
              </w:rPr>
              <w:t>For Correction</w:t>
            </w:r>
          </w:p>
        </w:tc>
      </w:tr>
      <w:bookmarkEnd w:id="9"/>
      <w:tr w:rsidR="00A04B37" w:rsidRPr="00A04B37" w:rsidTr="004A2F66">
        <w:tc>
          <w:tcPr>
            <w:tcW w:w="1746" w:type="pct"/>
            <w:vMerge/>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p>
        </w:tc>
        <w:tc>
          <w:tcPr>
            <w:tcW w:w="3254" w:type="pct"/>
            <w:shd w:val="clear" w:color="auto" w:fill="auto"/>
          </w:tcPr>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i/>
                <w:color w:val="000000" w:themeColor="text1"/>
                <w:sz w:val="20"/>
                <w:szCs w:val="20"/>
                <w:lang w:eastAsia="en-PH"/>
              </w:rPr>
              <w:t>From:</w:t>
            </w:r>
            <w:r w:rsidRPr="00A04B37">
              <w:rPr>
                <w:rFonts w:ascii="Arial" w:eastAsia="Times New Roman" w:hAnsi="Arial" w:cs="Arial"/>
                <w:color w:val="000000" w:themeColor="text1"/>
                <w:sz w:val="20"/>
                <w:szCs w:val="20"/>
                <w:lang w:eastAsia="en-PH"/>
              </w:rPr>
              <w:t xml:space="preserve"> Ventilator including Portable Ventilator</w:t>
            </w:r>
          </w:p>
        </w:tc>
      </w:tr>
      <w:tr w:rsidR="00A04B37" w:rsidRPr="00A04B37" w:rsidTr="004A2F66">
        <w:tc>
          <w:tcPr>
            <w:tcW w:w="1746" w:type="pct"/>
            <w:vMerge/>
            <w:shd w:val="clear" w:color="auto" w:fill="auto"/>
          </w:tcPr>
          <w:p w:rsidR="00A04B37" w:rsidRPr="00A04B37" w:rsidRDefault="00A04B37" w:rsidP="00A04B37">
            <w:pPr>
              <w:spacing w:after="0" w:line="240" w:lineRule="auto"/>
              <w:ind w:right="-141"/>
              <w:jc w:val="center"/>
              <w:textAlignment w:val="baseline"/>
              <w:rPr>
                <w:rFonts w:ascii="Arial" w:eastAsia="Times New Roman" w:hAnsi="Arial" w:cs="Arial"/>
                <w:b/>
                <w:color w:val="000000" w:themeColor="text1"/>
                <w:lang w:eastAsia="en-PH"/>
              </w:rPr>
            </w:pPr>
          </w:p>
        </w:tc>
        <w:tc>
          <w:tcPr>
            <w:tcW w:w="3254" w:type="pct"/>
            <w:shd w:val="clear" w:color="auto" w:fill="auto"/>
          </w:tcPr>
          <w:p w:rsidR="00A04B37" w:rsidRPr="00A04B37" w:rsidRDefault="00A04B37" w:rsidP="00A04B37">
            <w:pPr>
              <w:tabs>
                <w:tab w:val="left" w:pos="215"/>
              </w:tabs>
              <w:spacing w:after="0" w:line="240" w:lineRule="auto"/>
              <w:ind w:left="215" w:hanging="215"/>
              <w:textAlignment w:val="baseline"/>
              <w:rPr>
                <w:rFonts w:ascii="Arial" w:eastAsia="Times New Roman" w:hAnsi="Arial" w:cs="Arial"/>
                <w:color w:val="000000" w:themeColor="text1"/>
                <w:lang w:eastAsia="en-PH"/>
              </w:rPr>
            </w:pPr>
            <w:r w:rsidRPr="00A04B37">
              <w:rPr>
                <w:rFonts w:ascii="Arial" w:eastAsia="Times New Roman" w:hAnsi="Arial" w:cs="Arial"/>
                <w:i/>
                <w:color w:val="000000" w:themeColor="text1"/>
                <w:sz w:val="20"/>
                <w:szCs w:val="20"/>
                <w:lang w:eastAsia="en-PH"/>
              </w:rPr>
              <w:t>To:</w:t>
            </w:r>
            <w:r w:rsidRPr="00A04B37">
              <w:rPr>
                <w:rFonts w:ascii="Arial" w:eastAsia="Times New Roman" w:hAnsi="Arial" w:cs="Arial"/>
                <w:color w:val="000000" w:themeColor="text1"/>
                <w:sz w:val="20"/>
                <w:szCs w:val="20"/>
                <w:lang w:eastAsia="en-PH"/>
              </w:rPr>
              <w:t xml:space="preserve"> Ventilator (All types)</w:t>
            </w:r>
          </w:p>
        </w:tc>
      </w:tr>
      <w:bookmarkEnd w:id="7"/>
      <w:tr w:rsidR="00A04B37" w:rsidRPr="00A04B37" w:rsidTr="004A2F66">
        <w:tc>
          <w:tcPr>
            <w:tcW w:w="5000" w:type="pct"/>
            <w:gridSpan w:val="2"/>
            <w:shd w:val="clear" w:color="auto" w:fill="000000"/>
          </w:tcPr>
          <w:p w:rsidR="00A04B37" w:rsidRPr="00A04B37" w:rsidRDefault="00A04B37" w:rsidP="00A04B37">
            <w:pPr>
              <w:spacing w:after="0" w:line="240" w:lineRule="auto"/>
              <w:contextualSpacing/>
              <w:rPr>
                <w:rFonts w:ascii="Arial" w:eastAsia="Calibri" w:hAnsi="Arial" w:cs="Arial"/>
                <w:b/>
                <w:color w:val="000000" w:themeColor="text1"/>
                <w:sz w:val="4"/>
                <w:szCs w:val="4"/>
              </w:rPr>
            </w:pPr>
          </w:p>
        </w:tc>
      </w:tr>
      <w:tr w:rsidR="00A04B37" w:rsidRPr="00A04B37" w:rsidTr="004A2F66">
        <w:tc>
          <w:tcPr>
            <w:tcW w:w="5000" w:type="pct"/>
            <w:gridSpan w:val="2"/>
            <w:shd w:val="clear" w:color="auto" w:fill="D9E2F3"/>
          </w:tcPr>
          <w:p w:rsidR="00A04B37" w:rsidRPr="00A04B37" w:rsidRDefault="00A04B37" w:rsidP="00A04B37">
            <w:pPr>
              <w:spacing w:after="0" w:line="240" w:lineRule="auto"/>
              <w:contextualSpacing/>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RMC 115-2021 (November 19, 2021)</w:t>
            </w:r>
            <w:r w:rsidRPr="00A04B37">
              <w:rPr>
                <w:rFonts w:ascii="Arial" w:eastAsia="Calibri" w:hAnsi="Arial" w:cs="Arial"/>
                <w:b/>
                <w:color w:val="000000" w:themeColor="text1"/>
                <w:sz w:val="24"/>
                <w:szCs w:val="24"/>
                <w:vertAlign w:val="superscript"/>
              </w:rPr>
              <w:footnoteReference w:id="6"/>
            </w:r>
          </w:p>
        </w:tc>
      </w:tr>
      <w:tr w:rsidR="00A04B37" w:rsidRPr="00A04B37" w:rsidTr="004A2F66">
        <w:tc>
          <w:tcPr>
            <w:tcW w:w="1746" w:type="pct"/>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4"/>
                <w:szCs w:val="4"/>
              </w:rPr>
            </w:pPr>
          </w:p>
        </w:tc>
        <w:tc>
          <w:tcPr>
            <w:tcW w:w="3254" w:type="pct"/>
            <w:shd w:val="clear" w:color="auto" w:fill="000000"/>
          </w:tcPr>
          <w:p w:rsidR="00A04B37" w:rsidRPr="00A04B37" w:rsidRDefault="00A04B37" w:rsidP="00A04B37">
            <w:pPr>
              <w:numPr>
                <w:ilvl w:val="0"/>
                <w:numId w:val="17"/>
              </w:numPr>
              <w:tabs>
                <w:tab w:val="left" w:pos="462"/>
              </w:tabs>
              <w:spacing w:after="0" w:line="240" w:lineRule="auto"/>
              <w:ind w:left="462" w:hanging="462"/>
              <w:jc w:val="both"/>
              <w:textAlignment w:val="baseline"/>
              <w:rPr>
                <w:rFonts w:ascii="Arial" w:eastAsia="Times New Roman" w:hAnsi="Arial" w:cs="Arial"/>
                <w:color w:val="000000" w:themeColor="text1"/>
                <w:sz w:val="4"/>
                <w:szCs w:val="4"/>
                <w:lang w:eastAsia="en-PH"/>
              </w:rPr>
            </w:pPr>
          </w:p>
        </w:tc>
      </w:tr>
      <w:tr w:rsidR="00A04B37" w:rsidRPr="00A04B37" w:rsidTr="004A2F66">
        <w:tc>
          <w:tcPr>
            <w:tcW w:w="1746" w:type="pct"/>
            <w:vMerge w:val="restart"/>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r w:rsidRPr="00A04B37">
              <w:rPr>
                <w:rFonts w:ascii="Arial" w:eastAsia="Calibri" w:hAnsi="Arial" w:cs="Arial"/>
                <w:b/>
                <w:color w:val="000000" w:themeColor="text1"/>
              </w:rPr>
              <w:t>Respiratory Devices and its Accessories</w:t>
            </w:r>
          </w:p>
        </w:tc>
        <w:tc>
          <w:tcPr>
            <w:tcW w:w="3254" w:type="pct"/>
            <w:shd w:val="clear" w:color="auto" w:fill="auto"/>
          </w:tcPr>
          <w:p w:rsidR="00A04B37" w:rsidRPr="00A04B37" w:rsidRDefault="00A04B37" w:rsidP="00A04B37">
            <w:pPr>
              <w:numPr>
                <w:ilvl w:val="0"/>
                <w:numId w:val="21"/>
              </w:numPr>
              <w:tabs>
                <w:tab w:val="left" w:pos="462"/>
              </w:tabs>
              <w:spacing w:after="0" w:line="240" w:lineRule="auto"/>
              <w:ind w:left="462" w:hanging="462"/>
              <w:jc w:val="both"/>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Medical Oxygen Cylinder Tanks – with or without content</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1"/>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Medical Oxygen Gas – in Cylinders and as Refill</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1"/>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Oxygen Mask, Anesthesia Mask, Laryngeol Mask</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1"/>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Tracheal Tube and Tracheostomy Tube Neck Band</w:t>
            </w:r>
          </w:p>
        </w:tc>
      </w:tr>
      <w:tr w:rsidR="00A04B37" w:rsidRPr="00A04B37" w:rsidTr="004A2F66">
        <w:tc>
          <w:tcPr>
            <w:tcW w:w="1746" w:type="pct"/>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r w:rsidRPr="00A04B37">
              <w:rPr>
                <w:rFonts w:ascii="Arial" w:eastAsia="Calibri" w:hAnsi="Arial" w:cs="Arial"/>
                <w:b/>
                <w:color w:val="000000" w:themeColor="text1"/>
              </w:rPr>
              <w:t>COVID-19 Diagnostic Test Kits including transport collection, preservation medium/ tube with or without swab</w:t>
            </w:r>
          </w:p>
        </w:tc>
        <w:tc>
          <w:tcPr>
            <w:tcW w:w="3254" w:type="pct"/>
            <w:shd w:val="clear" w:color="auto" w:fill="auto"/>
          </w:tcPr>
          <w:p w:rsidR="00A04B37" w:rsidRPr="00A04B37" w:rsidRDefault="00A04B37" w:rsidP="00A04B37">
            <w:pPr>
              <w:numPr>
                <w:ilvl w:val="0"/>
                <w:numId w:val="22"/>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COVID-19 Diagnostic Test Kits including transport collection, preservation medium/ tube with or without swab</w:t>
            </w:r>
          </w:p>
        </w:tc>
      </w:tr>
      <w:tr w:rsidR="00A04B37" w:rsidRPr="00A04B37" w:rsidTr="004A2F66">
        <w:tc>
          <w:tcPr>
            <w:tcW w:w="1746" w:type="pct"/>
            <w:vMerge w:val="restart"/>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r w:rsidRPr="00A04B37">
              <w:rPr>
                <w:rFonts w:ascii="Arial" w:eastAsia="Calibri" w:hAnsi="Arial" w:cs="Arial"/>
                <w:b/>
                <w:color w:val="000000" w:themeColor="text1"/>
              </w:rPr>
              <w:t>Other Specific Medical Devices</w:t>
            </w: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Nasopharyngeal Airway, Oral Airway</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Rubber Tube/Straight Catheter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Suction Machine and Suction Catheter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Syringe including Insulin Syringe</w:t>
            </w:r>
          </w:p>
          <w:p w:rsidR="00A04B37" w:rsidRPr="00A04B37" w:rsidRDefault="00A04B37" w:rsidP="00A04B37">
            <w:pPr>
              <w:tabs>
                <w:tab w:val="left" w:pos="462"/>
              </w:tabs>
              <w:spacing w:after="0" w:line="240" w:lineRule="auto"/>
              <w:jc w:val="both"/>
              <w:rPr>
                <w:rFonts w:ascii="Arial" w:eastAsia="Calibri" w:hAnsi="Arial" w:cs="Arial"/>
                <w:color w:val="000000" w:themeColor="text1"/>
              </w:rPr>
            </w:pPr>
          </w:p>
        </w:tc>
      </w:tr>
      <w:tr w:rsidR="00A04B37" w:rsidRPr="00A04B37" w:rsidTr="004A2F66">
        <w:tc>
          <w:tcPr>
            <w:tcW w:w="5000" w:type="pct"/>
            <w:gridSpan w:val="2"/>
            <w:shd w:val="clear" w:color="auto" w:fill="000000"/>
          </w:tcPr>
          <w:p w:rsidR="00A04B37" w:rsidRPr="00A04B37" w:rsidRDefault="00A04B37" w:rsidP="00A04B37">
            <w:pPr>
              <w:spacing w:after="0" w:line="240" w:lineRule="auto"/>
              <w:contextualSpacing/>
              <w:rPr>
                <w:rFonts w:ascii="Arial" w:eastAsia="Calibri" w:hAnsi="Arial" w:cs="Arial"/>
                <w:b/>
                <w:color w:val="000000" w:themeColor="text1"/>
                <w:sz w:val="4"/>
                <w:szCs w:val="4"/>
              </w:rPr>
            </w:pPr>
          </w:p>
        </w:tc>
      </w:tr>
      <w:tr w:rsidR="00A04B37" w:rsidRPr="00A04B37" w:rsidTr="004A2F66">
        <w:tc>
          <w:tcPr>
            <w:tcW w:w="5000" w:type="pct"/>
            <w:gridSpan w:val="2"/>
            <w:shd w:val="clear" w:color="auto" w:fill="D9E2F3"/>
          </w:tcPr>
          <w:p w:rsidR="00A04B37" w:rsidRPr="00A04B37" w:rsidRDefault="00A04B37" w:rsidP="00A04B37">
            <w:pPr>
              <w:spacing w:after="0" w:line="240" w:lineRule="auto"/>
              <w:contextualSpacing/>
              <w:rPr>
                <w:rFonts w:ascii="Arial" w:eastAsia="Calibri" w:hAnsi="Arial" w:cs="Arial"/>
                <w:b/>
                <w:color w:val="000000" w:themeColor="text1"/>
                <w:sz w:val="24"/>
                <w:szCs w:val="24"/>
                <w:u w:val="single"/>
              </w:rPr>
            </w:pPr>
            <w:r w:rsidRPr="00A04B37">
              <w:rPr>
                <w:rFonts w:ascii="Arial" w:eastAsia="Calibri" w:hAnsi="Arial" w:cs="Arial"/>
                <w:b/>
                <w:color w:val="000000" w:themeColor="text1"/>
                <w:sz w:val="24"/>
                <w:szCs w:val="24"/>
              </w:rPr>
              <w:t>RMC 81-2021 (July 6, 2021)</w:t>
            </w:r>
            <w:r w:rsidRPr="00A04B37">
              <w:rPr>
                <w:rFonts w:ascii="Arial" w:eastAsia="Calibri" w:hAnsi="Arial" w:cs="Arial"/>
                <w:b/>
                <w:color w:val="000000" w:themeColor="text1"/>
                <w:sz w:val="24"/>
                <w:szCs w:val="24"/>
                <w:vertAlign w:val="superscript"/>
              </w:rPr>
              <w:footnoteReference w:id="7"/>
            </w:r>
          </w:p>
        </w:tc>
      </w:tr>
      <w:tr w:rsidR="00A04B37" w:rsidRPr="00A04B37" w:rsidTr="004A2F66">
        <w:tc>
          <w:tcPr>
            <w:tcW w:w="1746" w:type="pct"/>
            <w:shd w:val="clear" w:color="auto" w:fill="000000"/>
            <w:vAlign w:val="center"/>
          </w:tcPr>
          <w:p w:rsidR="00A04B37" w:rsidRPr="00A04B37" w:rsidRDefault="00A04B37" w:rsidP="00A04B37">
            <w:pPr>
              <w:spacing w:after="0" w:line="240" w:lineRule="auto"/>
              <w:contextualSpacing/>
              <w:jc w:val="center"/>
              <w:rPr>
                <w:rFonts w:ascii="Arial" w:eastAsia="Calibri" w:hAnsi="Arial" w:cs="Arial"/>
                <w:b/>
                <w:color w:val="000000" w:themeColor="text1"/>
                <w:sz w:val="4"/>
                <w:szCs w:val="4"/>
              </w:rPr>
            </w:pPr>
          </w:p>
        </w:tc>
        <w:tc>
          <w:tcPr>
            <w:tcW w:w="3254" w:type="pct"/>
            <w:shd w:val="clear" w:color="auto" w:fill="000000"/>
          </w:tcPr>
          <w:p w:rsidR="00A04B37" w:rsidRPr="00A04B37" w:rsidRDefault="00A04B37" w:rsidP="00A04B37">
            <w:pPr>
              <w:tabs>
                <w:tab w:val="left" w:pos="426"/>
              </w:tabs>
              <w:spacing w:after="0" w:line="240" w:lineRule="auto"/>
              <w:ind w:left="462" w:hanging="462"/>
              <w:contextualSpacing/>
              <w:jc w:val="both"/>
              <w:rPr>
                <w:rFonts w:ascii="Arial" w:eastAsia="Calibri" w:hAnsi="Arial" w:cs="Arial"/>
                <w:color w:val="000000" w:themeColor="text1"/>
                <w:sz w:val="4"/>
                <w:szCs w:val="4"/>
              </w:rPr>
            </w:pPr>
          </w:p>
        </w:tc>
      </w:tr>
      <w:tr w:rsidR="00A04B37" w:rsidRPr="00A04B37" w:rsidTr="004A2F66">
        <w:tc>
          <w:tcPr>
            <w:tcW w:w="5000" w:type="pct"/>
            <w:gridSpan w:val="2"/>
            <w:shd w:val="clear" w:color="auto" w:fill="FFFFFF"/>
          </w:tcPr>
          <w:p w:rsidR="00A04B37" w:rsidRPr="00A04B37" w:rsidRDefault="00A04B37" w:rsidP="00A04B37">
            <w:pPr>
              <w:spacing w:after="0" w:line="240" w:lineRule="auto"/>
              <w:contextualSpacing/>
              <w:jc w:val="center"/>
              <w:rPr>
                <w:rFonts w:ascii="Arial" w:eastAsia="Calibri" w:hAnsi="Arial" w:cs="Arial"/>
                <w:color w:val="000000" w:themeColor="text1"/>
              </w:rPr>
            </w:pPr>
            <w:r w:rsidRPr="00A04B37">
              <w:rPr>
                <w:rFonts w:ascii="Arial" w:eastAsia="Calibri" w:hAnsi="Arial" w:cs="Arial"/>
                <w:b/>
                <w:color w:val="000000" w:themeColor="text1"/>
                <w:sz w:val="24"/>
                <w:szCs w:val="24"/>
                <w:u w:val="single"/>
              </w:rPr>
              <w:t>For Inclusion</w:t>
            </w:r>
          </w:p>
        </w:tc>
      </w:tr>
      <w:tr w:rsidR="00A04B37" w:rsidRPr="00A04B37" w:rsidTr="004A2F66">
        <w:tc>
          <w:tcPr>
            <w:tcW w:w="1746" w:type="pct"/>
            <w:vMerge w:val="restart"/>
            <w:shd w:val="clear" w:color="auto" w:fill="FFFFFF"/>
            <w:vAlign w:val="center"/>
          </w:tcPr>
          <w:p w:rsidR="00A04B37" w:rsidRPr="00A04B37" w:rsidRDefault="00A04B37" w:rsidP="00A04B37">
            <w:pPr>
              <w:spacing w:after="0" w:line="240" w:lineRule="auto"/>
              <w:contextualSpacing/>
              <w:jc w:val="center"/>
              <w:rPr>
                <w:rFonts w:ascii="Arial" w:eastAsia="Calibri" w:hAnsi="Arial" w:cs="Arial"/>
                <w:b/>
                <w:color w:val="000000" w:themeColor="text1"/>
                <w:u w:val="single"/>
              </w:rPr>
            </w:pPr>
            <w:bookmarkStart w:id="11" w:name="_Hlk213776919"/>
            <w:bookmarkStart w:id="12" w:name="_Hlk213776251"/>
            <w:r w:rsidRPr="00A04B37">
              <w:rPr>
                <w:rFonts w:ascii="Arial" w:eastAsia="Calibri" w:hAnsi="Arial" w:cs="Arial"/>
                <w:b/>
                <w:color w:val="000000" w:themeColor="text1"/>
              </w:rPr>
              <w:t>Personal Protective Equipment (PPEs)</w:t>
            </w: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textAlignment w:val="baseline"/>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Gloves</w:t>
            </w:r>
          </w:p>
        </w:tc>
      </w:tr>
      <w:bookmarkEnd w:id="12"/>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Gowns including Aprons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Coveralls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Body Suits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Face Masks including N95 Masks, KN95 Masks, Cloth/Fabric Masks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Goggles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Shoe Cover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Face Shield for Medical Use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Head Cap/Cover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3"/>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Personal Protective Equipment Set (Coverall, Shoe Cover, Goggles or Faceshield, Facemask, Head Cap)</w:t>
            </w:r>
          </w:p>
        </w:tc>
      </w:tr>
      <w:bookmarkEnd w:id="11"/>
      <w:tr w:rsidR="00A04B37" w:rsidRPr="00A04B37" w:rsidTr="004A2F66">
        <w:tc>
          <w:tcPr>
            <w:tcW w:w="1746" w:type="pct"/>
            <w:vMerge w:val="restart"/>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r w:rsidRPr="00A04B37">
              <w:rPr>
                <w:rFonts w:ascii="Arial" w:eastAsia="Calibri" w:hAnsi="Arial" w:cs="Arial"/>
                <w:b/>
                <w:color w:val="000000" w:themeColor="text1"/>
              </w:rPr>
              <w:t>Respiratory Devices and its Accessories</w:t>
            </w: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Ventilator including Portable Ventilator</w:t>
            </w:r>
          </w:p>
        </w:tc>
      </w:tr>
      <w:tr w:rsidR="00A04B37" w:rsidRPr="00A04B37" w:rsidTr="004A2F66">
        <w:tc>
          <w:tcPr>
            <w:tcW w:w="1746" w:type="pct"/>
            <w:vMerge/>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Ventilator Breathing Circuit</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Bacterial Filter for Breathing Circuit</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Tubing and Support Set for Ventilator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Positive Pressure Breathing Device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Heated Breathing Circuit</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Attachment, Breathing, Positive End Expiratory pressure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rPr>
                <w:rFonts w:ascii="Arial" w:eastAsia="Calibri" w:hAnsi="Arial" w:cs="Arial"/>
                <w:color w:val="000000" w:themeColor="text1"/>
              </w:rPr>
            </w:pPr>
            <w:r w:rsidRPr="00A04B37">
              <w:rPr>
                <w:rFonts w:ascii="Arial" w:eastAsia="Calibri" w:hAnsi="Arial" w:cs="Arial"/>
                <w:color w:val="000000" w:themeColor="text1"/>
              </w:rPr>
              <w:t>Resuscitator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Oxygen Concentrator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Medical Gas Cylinder, for Oxygen</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Oxygen Tanks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High-Flow Respiratory Device/System</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Nasal Cannula</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Humidifier, Respiratory Gas (Direct Patient Interface)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Oxygen Mask</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Tracheal Tube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Airway Monitoring System and Airway Clearing System</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Accessory to Continuous Ventilator (Respirator)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High Efficiency Particulate Air (HEPA) Filter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Extracorporeal Membrane Oxygenation (ECMO) Machine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18"/>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Nebulizing Kit and Nebulizer</w:t>
            </w:r>
          </w:p>
        </w:tc>
      </w:tr>
      <w:tr w:rsidR="00A04B37" w:rsidRPr="00A04B37" w:rsidTr="004A2F66">
        <w:tc>
          <w:tcPr>
            <w:tcW w:w="1746" w:type="pct"/>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r w:rsidRPr="00A04B37">
              <w:rPr>
                <w:rFonts w:ascii="Arial" w:eastAsia="Calibri" w:hAnsi="Arial" w:cs="Arial"/>
                <w:b/>
                <w:color w:val="000000" w:themeColor="text1"/>
              </w:rPr>
              <w:t>COVID-19 Diagnostic Test Kits including transport collection, preservation medium/ tube with or without swab</w:t>
            </w:r>
          </w:p>
        </w:tc>
        <w:tc>
          <w:tcPr>
            <w:tcW w:w="3254" w:type="pct"/>
            <w:shd w:val="clear" w:color="auto" w:fill="auto"/>
            <w:vAlign w:val="center"/>
          </w:tcPr>
          <w:p w:rsidR="00A04B37" w:rsidRPr="00A04B37" w:rsidRDefault="00A04B37" w:rsidP="00A04B37">
            <w:pPr>
              <w:numPr>
                <w:ilvl w:val="0"/>
                <w:numId w:val="19"/>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COVID-19 Diagnostic Test Kits including transport collection, preservation medium/ tube with or without swab</w:t>
            </w:r>
          </w:p>
        </w:tc>
      </w:tr>
      <w:tr w:rsidR="00A04B37" w:rsidRPr="00A04B37" w:rsidTr="004A2F66">
        <w:tc>
          <w:tcPr>
            <w:tcW w:w="1746" w:type="pct"/>
            <w:vMerge w:val="restart"/>
            <w:shd w:val="clear" w:color="auto" w:fill="auto"/>
            <w:vAlign w:val="center"/>
          </w:tcPr>
          <w:p w:rsidR="00A04B37" w:rsidRPr="00A04B37" w:rsidRDefault="00A04B37" w:rsidP="00A04B37">
            <w:pPr>
              <w:spacing w:after="0" w:line="240" w:lineRule="auto"/>
              <w:jc w:val="center"/>
              <w:rPr>
                <w:rFonts w:ascii="Arial" w:eastAsia="Calibri" w:hAnsi="Arial" w:cs="Arial"/>
                <w:b/>
                <w:color w:val="000000" w:themeColor="text1"/>
              </w:rPr>
            </w:pPr>
            <w:r w:rsidRPr="00A04B37">
              <w:rPr>
                <w:rFonts w:ascii="Arial" w:eastAsia="Calibri" w:hAnsi="Arial" w:cs="Arial"/>
                <w:b/>
                <w:color w:val="000000" w:themeColor="text1"/>
              </w:rPr>
              <w:t>Other specific medical devices</w:t>
            </w: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Anchor, preformed</w:t>
            </w:r>
          </w:p>
        </w:tc>
      </w:tr>
      <w:tr w:rsidR="00A04B37" w:rsidRPr="00A04B37" w:rsidTr="004A2F66">
        <w:tc>
          <w:tcPr>
            <w:tcW w:w="1746" w:type="pct"/>
            <w:vMerge/>
            <w:shd w:val="clear" w:color="auto" w:fill="auto"/>
            <w:vAlign w:val="center"/>
          </w:tcPr>
          <w:p w:rsidR="00A04B37" w:rsidRPr="00A04B37" w:rsidRDefault="00A04B37" w:rsidP="00A04B37">
            <w:pPr>
              <w:spacing w:after="0" w:line="240" w:lineRule="auto"/>
              <w:jc w:val="center"/>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Bandage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Cannula, Reusable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Cap (Disinfection, Seal, Taper, Dead End)</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Clinical Thermometer (Except mercurial type)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Cotton (Medical/hospital Use)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Dressing/ Gauze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Flowmeter (All types)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Gloves</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Luer Lock</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Nasopharyngeal Airway</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Non-contact Infrared Thermometer</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Syringe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Tape</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Pulse Oximeter including portable and fingertip</w:t>
            </w:r>
          </w:p>
        </w:tc>
      </w:tr>
      <w:tr w:rsidR="00A04B37" w:rsidRPr="00A04B37" w:rsidTr="004A2F66">
        <w:tc>
          <w:tcPr>
            <w:tcW w:w="1746" w:type="pct"/>
            <w:vMerge/>
            <w:shd w:val="clear" w:color="auto" w:fill="auto"/>
          </w:tcPr>
          <w:p w:rsidR="00A04B37" w:rsidRPr="00A04B37" w:rsidRDefault="00A04B37" w:rsidP="00A04B37">
            <w:pPr>
              <w:spacing w:after="0" w:line="240" w:lineRule="auto"/>
              <w:rPr>
                <w:rFonts w:ascii="Arial" w:eastAsia="Calibri" w:hAnsi="Arial" w:cs="Arial"/>
                <w:color w:val="000000" w:themeColor="text1"/>
              </w:rPr>
            </w:pPr>
          </w:p>
        </w:tc>
        <w:tc>
          <w:tcPr>
            <w:tcW w:w="3254" w:type="pct"/>
            <w:shd w:val="clear" w:color="auto" w:fill="auto"/>
          </w:tcPr>
          <w:p w:rsidR="00A04B37" w:rsidRPr="00A04B37" w:rsidRDefault="00A04B37" w:rsidP="00A04B37">
            <w:pPr>
              <w:numPr>
                <w:ilvl w:val="0"/>
                <w:numId w:val="20"/>
              </w:numPr>
              <w:tabs>
                <w:tab w:val="left" w:pos="462"/>
              </w:tabs>
              <w:spacing w:after="0" w:line="240" w:lineRule="auto"/>
              <w:ind w:left="462" w:hanging="462"/>
              <w:jc w:val="both"/>
              <w:rPr>
                <w:rFonts w:ascii="Arial" w:eastAsia="Calibri" w:hAnsi="Arial" w:cs="Arial"/>
                <w:color w:val="000000" w:themeColor="text1"/>
              </w:rPr>
            </w:pPr>
            <w:r w:rsidRPr="00A04B37">
              <w:rPr>
                <w:rFonts w:ascii="Arial" w:eastAsia="Calibri" w:hAnsi="Arial" w:cs="Arial"/>
                <w:color w:val="000000" w:themeColor="text1"/>
              </w:rPr>
              <w:t>Tubings</w:t>
            </w:r>
          </w:p>
        </w:tc>
      </w:tr>
      <w:bookmarkEnd w:id="5"/>
    </w:tbl>
    <w:p w:rsidR="00A04B37" w:rsidRPr="00A04B37" w:rsidRDefault="00A04B37" w:rsidP="00A04B37">
      <w:pPr>
        <w:spacing w:after="0" w:line="240" w:lineRule="auto"/>
        <w:contextualSpacing/>
        <w:jc w:val="both"/>
        <w:rPr>
          <w:rFonts w:ascii="Arial" w:eastAsia="Calibri" w:hAnsi="Arial" w:cs="Arial"/>
          <w:b/>
          <w:color w:val="000000" w:themeColor="text1"/>
          <w:sz w:val="24"/>
          <w:szCs w:val="24"/>
          <w:u w:val="single"/>
        </w:rPr>
      </w:pPr>
    </w:p>
    <w:p w:rsidR="00A04B37" w:rsidRPr="00A04B37" w:rsidRDefault="00A04B37" w:rsidP="00A04B37">
      <w:pPr>
        <w:spacing w:after="0" w:line="240" w:lineRule="auto"/>
        <w:contextualSpacing/>
        <w:jc w:val="both"/>
        <w:rPr>
          <w:rFonts w:ascii="Arial" w:eastAsia="Calibri" w:hAnsi="Arial" w:cs="Arial"/>
          <w:b/>
          <w:color w:val="000000" w:themeColor="text1"/>
          <w:sz w:val="24"/>
          <w:szCs w:val="24"/>
          <w:u w:val="single"/>
        </w:rPr>
      </w:pPr>
    </w:p>
    <w:p w:rsidR="00A04B37" w:rsidRPr="00A04B37" w:rsidRDefault="00A04B37" w:rsidP="00A04B37">
      <w:pPr>
        <w:numPr>
          <w:ilvl w:val="0"/>
          <w:numId w:val="8"/>
        </w:numPr>
        <w:tabs>
          <w:tab w:val="left" w:pos="567"/>
        </w:tabs>
        <w:spacing w:after="0" w:line="240" w:lineRule="auto"/>
        <w:ind w:left="567" w:hanging="567"/>
        <w:contextualSpacing/>
        <w:jc w:val="both"/>
        <w:rPr>
          <w:rFonts w:ascii="Arial" w:eastAsia="Calibri" w:hAnsi="Arial" w:cs="Arial"/>
          <w:b/>
          <w:color w:val="000000" w:themeColor="text1"/>
          <w:sz w:val="24"/>
          <w:szCs w:val="24"/>
          <w:u w:val="single"/>
        </w:rPr>
      </w:pPr>
      <w:r w:rsidRPr="00A04B37">
        <w:rPr>
          <w:rFonts w:ascii="Arial" w:eastAsia="Calibri" w:hAnsi="Arial" w:cs="Arial"/>
          <w:b/>
          <w:color w:val="000000" w:themeColor="text1"/>
          <w:sz w:val="24"/>
          <w:szCs w:val="24"/>
          <w:u w:val="single"/>
        </w:rPr>
        <w:t>STATISTICAL DATA ON MEDICAL DEVICES AND EQUIPMENT</w:t>
      </w:r>
    </w:p>
    <w:p w:rsidR="00A04B37" w:rsidRPr="00A04B37" w:rsidRDefault="00A04B37" w:rsidP="00A04B37">
      <w:pPr>
        <w:spacing w:after="0" w:line="240" w:lineRule="auto"/>
        <w:contextualSpacing/>
        <w:jc w:val="both"/>
        <w:rPr>
          <w:rFonts w:ascii="Arial" w:eastAsia="Calibri" w:hAnsi="Arial" w:cs="Arial"/>
          <w:b/>
          <w:color w:val="000000" w:themeColor="text1"/>
          <w:sz w:val="24"/>
          <w:szCs w:val="24"/>
        </w:rPr>
      </w:pPr>
    </w:p>
    <w:p w:rsidR="00A04B37" w:rsidRPr="00A04B37" w:rsidRDefault="00A04B37" w:rsidP="00A04B37">
      <w:pPr>
        <w:tabs>
          <w:tab w:val="left" w:pos="426"/>
        </w:tabs>
        <w:spacing w:after="0" w:line="240" w:lineRule="auto"/>
        <w:ind w:left="426" w:hanging="426"/>
        <w:jc w:val="both"/>
        <w:rPr>
          <w:rFonts w:ascii="Arial" w:eastAsia="Calibri" w:hAnsi="Arial" w:cs="Arial"/>
          <w:b/>
          <w:color w:val="000000" w:themeColor="text1"/>
          <w:sz w:val="24"/>
          <w:szCs w:val="24"/>
        </w:rPr>
      </w:pPr>
      <w:r w:rsidRPr="00A04B37">
        <w:rPr>
          <w:rFonts w:ascii="Arial" w:eastAsia="Calibri" w:hAnsi="Arial" w:cs="Arial"/>
          <w:b/>
          <w:color w:val="000000" w:themeColor="text1"/>
          <w:sz w:val="24"/>
          <w:szCs w:val="24"/>
        </w:rPr>
        <w:t xml:space="preserve">A.  </w:t>
      </w:r>
      <w:r w:rsidRPr="00A04B37">
        <w:rPr>
          <w:rFonts w:ascii="Arial" w:eastAsia="Calibri" w:hAnsi="Arial" w:cs="Arial"/>
          <w:b/>
          <w:color w:val="000000" w:themeColor="text1"/>
          <w:sz w:val="24"/>
          <w:szCs w:val="24"/>
        </w:rPr>
        <w:tab/>
        <w:t>Value-Added Tax Collection on Medical Devices and Equipment</w:t>
      </w:r>
    </w:p>
    <w:p w:rsidR="00A04B37" w:rsidRPr="00A04B37" w:rsidRDefault="00A04B37" w:rsidP="00A04B37">
      <w:pPr>
        <w:spacing w:after="0" w:line="240" w:lineRule="auto"/>
        <w:ind w:left="426"/>
        <w:jc w:val="both"/>
        <w:rPr>
          <w:rFonts w:ascii="Arial" w:eastAsia="Calibri" w:hAnsi="Arial" w:cs="Arial"/>
          <w:color w:val="000000" w:themeColor="text1"/>
          <w:sz w:val="24"/>
          <w:szCs w:val="24"/>
        </w:rPr>
      </w:pPr>
      <w:r w:rsidRPr="00A04B37">
        <w:rPr>
          <w:rFonts w:ascii="Arial" w:eastAsia="Times New Roman" w:hAnsi="Arial" w:cs="Arial"/>
          <w:bCs/>
          <w:color w:val="000000" w:themeColor="text1"/>
          <w:sz w:val="24"/>
          <w:szCs w:val="24"/>
          <w:lang w:eastAsia="en-PH"/>
        </w:rPr>
        <w:t>(In Million Pesos)</w:t>
      </w:r>
    </w:p>
    <w:tbl>
      <w:tblPr>
        <w:tblW w:w="0" w:type="auto"/>
        <w:tblCellMar>
          <w:left w:w="0" w:type="dxa"/>
          <w:right w:w="0" w:type="dxa"/>
        </w:tblCellMar>
        <w:tblLook w:val="04A0" w:firstRow="1" w:lastRow="0" w:firstColumn="1" w:lastColumn="0" w:noHBand="0" w:noVBand="1"/>
      </w:tblPr>
      <w:tblGrid>
        <w:gridCol w:w="2939"/>
        <w:gridCol w:w="989"/>
        <w:gridCol w:w="990"/>
        <w:gridCol w:w="984"/>
        <w:gridCol w:w="1106"/>
        <w:gridCol w:w="867"/>
        <w:gridCol w:w="1121"/>
      </w:tblGrid>
      <w:tr w:rsidR="00A04B37" w:rsidRPr="00A04B37" w:rsidTr="004A2F66">
        <w:trPr>
          <w:trHeight w:val="270"/>
          <w:tblHeader/>
        </w:trPr>
        <w:tc>
          <w:tcPr>
            <w:tcW w:w="3022" w:type="dxa"/>
            <w:tcBorders>
              <w:top w:val="single" w:sz="6" w:space="0" w:color="3F3F3F"/>
              <w:left w:val="single" w:sz="12" w:space="0" w:color="000000"/>
              <w:bottom w:val="single" w:sz="6" w:space="0" w:color="3F3F3F"/>
              <w:right w:val="single" w:sz="6" w:space="0" w:color="3F3F3F"/>
            </w:tcBorders>
            <w:shd w:val="clear" w:color="auto" w:fill="000000"/>
            <w:tcMar>
              <w:top w:w="0" w:type="dxa"/>
              <w:left w:w="45" w:type="dxa"/>
              <w:bottom w:w="0" w:type="dxa"/>
              <w:right w:w="45" w:type="dxa"/>
            </w:tcMar>
            <w:vAlign w:val="bottom"/>
          </w:tcPr>
          <w:p w:rsidR="00A04B37" w:rsidRPr="00A04B37" w:rsidRDefault="00A04B37" w:rsidP="00A04B37">
            <w:pPr>
              <w:spacing w:after="0" w:line="240" w:lineRule="auto"/>
              <w:jc w:val="center"/>
              <w:rPr>
                <w:rFonts w:ascii="Arial" w:eastAsia="Times New Roman" w:hAnsi="Arial" w:cs="Arial"/>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Particulars</w:t>
            </w:r>
          </w:p>
        </w:tc>
        <w:tc>
          <w:tcPr>
            <w:tcW w:w="992" w:type="dxa"/>
            <w:tcBorders>
              <w:top w:val="single" w:sz="12" w:space="0" w:color="000000"/>
              <w:left w:val="single" w:sz="6" w:space="0" w:color="CCCCCC"/>
              <w:bottom w:val="single" w:sz="2" w:space="0" w:color="000000"/>
              <w:right w:val="single" w:sz="6" w:space="0" w:color="3F3F3F"/>
            </w:tcBorders>
            <w:shd w:val="clear" w:color="auto" w:fill="000000"/>
            <w:tcMar>
              <w:top w:w="0" w:type="dxa"/>
              <w:left w:w="45" w:type="dxa"/>
              <w:bottom w:w="0" w:type="dxa"/>
              <w:right w:w="45" w:type="dxa"/>
            </w:tcMar>
            <w:vAlign w:val="bottom"/>
          </w:tcPr>
          <w:p w:rsidR="00A04B37" w:rsidRPr="00A04B37" w:rsidRDefault="00A04B37" w:rsidP="00A04B37">
            <w:pPr>
              <w:spacing w:after="0" w:line="240" w:lineRule="auto"/>
              <w:jc w:val="center"/>
              <w:rPr>
                <w:rFonts w:ascii="Arial" w:eastAsia="Times New Roman" w:hAnsi="Arial" w:cs="Arial"/>
                <w:b/>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2020</w:t>
            </w:r>
          </w:p>
        </w:tc>
        <w:tc>
          <w:tcPr>
            <w:tcW w:w="993" w:type="dxa"/>
            <w:tcBorders>
              <w:top w:val="single" w:sz="12" w:space="0" w:color="000000"/>
              <w:left w:val="single" w:sz="6" w:space="0" w:color="CCCCCC"/>
              <w:bottom w:val="single" w:sz="2" w:space="0" w:color="000000"/>
              <w:right w:val="single" w:sz="6" w:space="0" w:color="3F3F3F"/>
            </w:tcBorders>
            <w:shd w:val="clear" w:color="auto" w:fill="000000"/>
            <w:tcMar>
              <w:top w:w="0" w:type="dxa"/>
              <w:left w:w="45" w:type="dxa"/>
              <w:bottom w:w="0" w:type="dxa"/>
              <w:right w:w="45" w:type="dxa"/>
            </w:tcMar>
            <w:vAlign w:val="bottom"/>
          </w:tcPr>
          <w:p w:rsidR="00A04B37" w:rsidRPr="00A04B37" w:rsidRDefault="00A04B37" w:rsidP="00A04B37">
            <w:pPr>
              <w:spacing w:after="0" w:line="240" w:lineRule="auto"/>
              <w:jc w:val="center"/>
              <w:rPr>
                <w:rFonts w:ascii="Arial" w:eastAsia="Times New Roman" w:hAnsi="Arial" w:cs="Arial"/>
                <w:b/>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2021</w:t>
            </w:r>
          </w:p>
        </w:tc>
        <w:tc>
          <w:tcPr>
            <w:tcW w:w="992" w:type="dxa"/>
            <w:tcBorders>
              <w:top w:val="single" w:sz="12" w:space="0" w:color="000000"/>
              <w:left w:val="single" w:sz="6" w:space="0" w:color="CCCCCC"/>
              <w:bottom w:val="single" w:sz="2" w:space="0" w:color="000000"/>
              <w:right w:val="single" w:sz="6" w:space="0" w:color="CCCCCC"/>
            </w:tcBorders>
            <w:shd w:val="clear" w:color="auto" w:fill="000000"/>
          </w:tcPr>
          <w:p w:rsidR="00A04B37" w:rsidRPr="00A04B37" w:rsidRDefault="00A04B37" w:rsidP="00A04B37">
            <w:pPr>
              <w:spacing w:after="0" w:line="240" w:lineRule="auto"/>
              <w:jc w:val="center"/>
              <w:rPr>
                <w:rFonts w:ascii="Arial" w:eastAsia="Times New Roman" w:hAnsi="Arial" w:cs="Arial"/>
                <w:b/>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2022</w:t>
            </w:r>
          </w:p>
        </w:tc>
        <w:tc>
          <w:tcPr>
            <w:tcW w:w="1118" w:type="dxa"/>
            <w:tcBorders>
              <w:top w:val="single" w:sz="12" w:space="0" w:color="000000"/>
              <w:left w:val="single" w:sz="6" w:space="0" w:color="CCCCCC"/>
              <w:bottom w:val="single" w:sz="2" w:space="0" w:color="000000"/>
              <w:right w:val="single" w:sz="6" w:space="0" w:color="3F3F3F"/>
            </w:tcBorders>
            <w:shd w:val="clear" w:color="auto" w:fill="000000"/>
            <w:tcMar>
              <w:top w:w="0" w:type="dxa"/>
              <w:left w:w="45" w:type="dxa"/>
              <w:bottom w:w="0" w:type="dxa"/>
              <w:right w:w="45" w:type="dxa"/>
            </w:tcMar>
            <w:vAlign w:val="bottom"/>
          </w:tcPr>
          <w:p w:rsidR="00A04B37" w:rsidRPr="00A04B37" w:rsidRDefault="00A04B37" w:rsidP="00A04B37">
            <w:pPr>
              <w:spacing w:after="0" w:line="240" w:lineRule="auto"/>
              <w:jc w:val="center"/>
              <w:rPr>
                <w:rFonts w:ascii="Arial" w:eastAsia="Times New Roman" w:hAnsi="Arial" w:cs="Arial"/>
                <w:b/>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2023</w:t>
            </w:r>
          </w:p>
        </w:tc>
        <w:tc>
          <w:tcPr>
            <w:tcW w:w="866" w:type="dxa"/>
            <w:tcBorders>
              <w:top w:val="single" w:sz="12" w:space="0" w:color="000000"/>
              <w:left w:val="single" w:sz="6" w:space="0" w:color="CCCCCC"/>
              <w:bottom w:val="single" w:sz="2" w:space="0" w:color="000000"/>
              <w:right w:val="single" w:sz="6" w:space="0" w:color="CCCCCC"/>
            </w:tcBorders>
            <w:shd w:val="clear" w:color="auto" w:fill="000000"/>
          </w:tcPr>
          <w:p w:rsidR="00A04B37" w:rsidRPr="00A04B37" w:rsidRDefault="00A04B37" w:rsidP="00A04B37">
            <w:pPr>
              <w:spacing w:after="0" w:line="240" w:lineRule="auto"/>
              <w:jc w:val="center"/>
              <w:rPr>
                <w:rFonts w:ascii="Arial" w:eastAsia="Times New Roman" w:hAnsi="Arial" w:cs="Arial"/>
                <w:b/>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2024</w:t>
            </w:r>
          </w:p>
        </w:tc>
        <w:tc>
          <w:tcPr>
            <w:tcW w:w="1134" w:type="dxa"/>
            <w:tcBorders>
              <w:top w:val="single" w:sz="12" w:space="0" w:color="000000"/>
              <w:left w:val="single" w:sz="6" w:space="0" w:color="CCCCCC"/>
              <w:bottom w:val="single" w:sz="6" w:space="0" w:color="3F3F3F"/>
              <w:right w:val="single" w:sz="12" w:space="0" w:color="000000"/>
            </w:tcBorders>
            <w:shd w:val="clear" w:color="auto" w:fill="000000"/>
            <w:tcMar>
              <w:top w:w="0" w:type="dxa"/>
              <w:left w:w="45" w:type="dxa"/>
              <w:bottom w:w="0" w:type="dxa"/>
              <w:right w:w="45" w:type="dxa"/>
            </w:tcMar>
            <w:vAlign w:val="bottom"/>
          </w:tcPr>
          <w:p w:rsidR="00A04B37" w:rsidRPr="00A04B37" w:rsidRDefault="00A04B37" w:rsidP="00A04B37">
            <w:pPr>
              <w:spacing w:after="0" w:line="240" w:lineRule="auto"/>
              <w:jc w:val="center"/>
              <w:rPr>
                <w:rFonts w:ascii="Arial" w:eastAsia="Times New Roman" w:hAnsi="Arial" w:cs="Arial"/>
                <w:b/>
                <w:color w:val="FFFFFF" w:themeColor="background1"/>
                <w:sz w:val="24"/>
                <w:szCs w:val="24"/>
                <w:lang w:eastAsia="en-PH"/>
              </w:rPr>
            </w:pPr>
            <w:r w:rsidRPr="00A04B37">
              <w:rPr>
                <w:rFonts w:ascii="Arial" w:eastAsia="Times New Roman" w:hAnsi="Arial" w:cs="Arial"/>
                <w:b/>
                <w:color w:val="FFFFFF" w:themeColor="background1"/>
                <w:sz w:val="24"/>
                <w:szCs w:val="24"/>
                <w:lang w:eastAsia="en-PH"/>
              </w:rPr>
              <w:t>2025*</w:t>
            </w:r>
          </w:p>
        </w:tc>
      </w:tr>
      <w:tr w:rsidR="00A04B37" w:rsidRPr="00A04B37" w:rsidTr="004A2F66">
        <w:trPr>
          <w:trHeight w:val="270"/>
        </w:trPr>
        <w:tc>
          <w:tcPr>
            <w:tcW w:w="3022" w:type="dxa"/>
            <w:tcBorders>
              <w:top w:val="single" w:sz="6" w:space="0" w:color="3F3F3F"/>
              <w:left w:val="single" w:sz="12" w:space="0" w:color="000000"/>
              <w:bottom w:val="single" w:sz="2" w:space="0" w:color="000000"/>
              <w:right w:val="single" w:sz="2" w:space="0" w:color="000000"/>
            </w:tcBorders>
            <w:shd w:val="clear" w:color="auto" w:fill="FFFFFF"/>
            <w:tcMar>
              <w:top w:w="0" w:type="dxa"/>
              <w:left w:w="45" w:type="dxa"/>
              <w:bottom w:w="0" w:type="dxa"/>
              <w:right w:w="45" w:type="dxa"/>
            </w:tcMar>
            <w:vAlign w:val="bottom"/>
            <w:hideMark/>
          </w:tcPr>
          <w:p w:rsidR="00A04B37" w:rsidRPr="00A04B37" w:rsidRDefault="00A04B37" w:rsidP="00A04B37">
            <w:pPr>
              <w:spacing w:after="0" w:line="240" w:lineRule="auto"/>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Retail sale of pharmaceutical and medical goods, cosmetics and toilet articles in specialized stores</w:t>
            </w:r>
          </w:p>
        </w:tc>
        <w:tc>
          <w:tcPr>
            <w:tcW w:w="992" w:type="dxa"/>
            <w:tcBorders>
              <w:top w:val="single" w:sz="2" w:space="0" w:color="000000"/>
              <w:left w:val="single" w:sz="2" w:space="0" w:color="000000"/>
              <w:bottom w:val="single" w:sz="2" w:space="0" w:color="000000"/>
              <w:right w:val="single" w:sz="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2,370.08</w:t>
            </w:r>
          </w:p>
        </w:tc>
        <w:tc>
          <w:tcPr>
            <w:tcW w:w="993" w:type="dxa"/>
            <w:tcBorders>
              <w:top w:val="single" w:sz="2" w:space="0" w:color="000000"/>
              <w:left w:val="single" w:sz="2" w:space="0" w:color="000000"/>
              <w:bottom w:val="single" w:sz="2" w:space="0" w:color="000000"/>
              <w:right w:val="single" w:sz="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3,495.50</w:t>
            </w:r>
          </w:p>
        </w:tc>
        <w:tc>
          <w:tcPr>
            <w:tcW w:w="992" w:type="dxa"/>
            <w:tcBorders>
              <w:top w:val="single" w:sz="2" w:space="0" w:color="000000"/>
              <w:left w:val="single" w:sz="2" w:space="0" w:color="000000"/>
              <w:bottom w:val="single" w:sz="2" w:space="0" w:color="000000"/>
              <w:right w:val="single" w:sz="2" w:space="0" w:color="000000"/>
            </w:tcBorders>
            <w:shd w:val="clear" w:color="auto" w:fill="FFFFFF"/>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2,140.75</w:t>
            </w:r>
          </w:p>
        </w:tc>
        <w:tc>
          <w:tcPr>
            <w:tcW w:w="1118" w:type="dxa"/>
            <w:tcBorders>
              <w:top w:val="single" w:sz="2" w:space="0" w:color="000000"/>
              <w:left w:val="single" w:sz="2" w:space="0" w:color="000000"/>
              <w:bottom w:val="single" w:sz="2" w:space="0" w:color="000000"/>
              <w:right w:val="single" w:sz="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2,805.69</w:t>
            </w:r>
          </w:p>
        </w:tc>
        <w:tc>
          <w:tcPr>
            <w:tcW w:w="866" w:type="dxa"/>
            <w:tcBorders>
              <w:top w:val="single" w:sz="2" w:space="0" w:color="000000"/>
              <w:left w:val="single" w:sz="2" w:space="0" w:color="000000"/>
              <w:bottom w:val="single" w:sz="2" w:space="0" w:color="000000"/>
              <w:right w:val="single" w:sz="2" w:space="0" w:color="000000"/>
            </w:tcBorders>
            <w:shd w:val="clear" w:color="auto" w:fill="FFFFFF"/>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2,635.16</w:t>
            </w:r>
          </w:p>
        </w:tc>
        <w:tc>
          <w:tcPr>
            <w:tcW w:w="1134" w:type="dxa"/>
            <w:tcBorders>
              <w:top w:val="single" w:sz="6" w:space="0" w:color="3F3F3F"/>
              <w:left w:val="single" w:sz="2" w:space="0" w:color="000000"/>
              <w:bottom w:val="single" w:sz="2" w:space="0" w:color="000000"/>
              <w:right w:val="single" w:sz="1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2,233.35</w:t>
            </w:r>
          </w:p>
        </w:tc>
      </w:tr>
      <w:tr w:rsidR="00A04B37" w:rsidRPr="00A04B37" w:rsidTr="004A2F66">
        <w:trPr>
          <w:trHeight w:val="270"/>
        </w:trPr>
        <w:tc>
          <w:tcPr>
            <w:tcW w:w="3022" w:type="dxa"/>
            <w:tcBorders>
              <w:top w:val="single" w:sz="2" w:space="0" w:color="000000"/>
              <w:left w:val="single" w:sz="12" w:space="0" w:color="000000"/>
              <w:bottom w:val="single" w:sz="6" w:space="0" w:color="3F3F3F"/>
              <w:right w:val="single" w:sz="2" w:space="0" w:color="000000"/>
            </w:tcBorders>
            <w:shd w:val="clear" w:color="auto" w:fill="FFFFFF"/>
            <w:tcMar>
              <w:top w:w="0" w:type="dxa"/>
              <w:left w:w="45" w:type="dxa"/>
              <w:bottom w:w="0" w:type="dxa"/>
              <w:right w:w="45" w:type="dxa"/>
            </w:tcMar>
            <w:vAlign w:val="bottom"/>
          </w:tcPr>
          <w:p w:rsidR="00A04B37" w:rsidRPr="00A04B37" w:rsidRDefault="00A04B37" w:rsidP="00A04B37">
            <w:pPr>
              <w:spacing w:after="0" w:line="240" w:lineRule="auto"/>
              <w:jc w:val="both"/>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Manufacture of irradiation, electromedical and electrotherapeutic equipment specialized stores</w:t>
            </w:r>
          </w:p>
        </w:tc>
        <w:tc>
          <w:tcPr>
            <w:tcW w:w="992" w:type="dxa"/>
            <w:tcBorders>
              <w:top w:val="single" w:sz="2" w:space="0" w:color="000000"/>
              <w:left w:val="single" w:sz="2" w:space="0" w:color="000000"/>
              <w:bottom w:val="single" w:sz="2" w:space="0" w:color="000000"/>
              <w:right w:val="single" w:sz="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134.82</w:t>
            </w:r>
          </w:p>
        </w:tc>
        <w:tc>
          <w:tcPr>
            <w:tcW w:w="993" w:type="dxa"/>
            <w:tcBorders>
              <w:top w:val="single" w:sz="2" w:space="0" w:color="000000"/>
              <w:left w:val="single" w:sz="2" w:space="0" w:color="000000"/>
              <w:bottom w:val="single" w:sz="2" w:space="0" w:color="000000"/>
              <w:right w:val="single" w:sz="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139.76</w:t>
            </w:r>
          </w:p>
        </w:tc>
        <w:tc>
          <w:tcPr>
            <w:tcW w:w="992" w:type="dxa"/>
            <w:tcBorders>
              <w:top w:val="single" w:sz="2" w:space="0" w:color="000000"/>
              <w:left w:val="single" w:sz="2" w:space="0" w:color="000000"/>
              <w:bottom w:val="single" w:sz="2" w:space="0" w:color="000000"/>
              <w:right w:val="single" w:sz="2" w:space="0" w:color="000000"/>
            </w:tcBorders>
            <w:shd w:val="clear" w:color="auto" w:fill="FFFFFF"/>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40.13</w:t>
            </w:r>
          </w:p>
        </w:tc>
        <w:tc>
          <w:tcPr>
            <w:tcW w:w="1118" w:type="dxa"/>
            <w:tcBorders>
              <w:top w:val="single" w:sz="2" w:space="0" w:color="000000"/>
              <w:left w:val="single" w:sz="2" w:space="0" w:color="000000"/>
              <w:bottom w:val="single" w:sz="2" w:space="0" w:color="000000"/>
              <w:right w:val="single" w:sz="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center"/>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w:t>
            </w:r>
          </w:p>
        </w:tc>
        <w:tc>
          <w:tcPr>
            <w:tcW w:w="866" w:type="dxa"/>
            <w:tcBorders>
              <w:top w:val="single" w:sz="2" w:space="0" w:color="000000"/>
              <w:left w:val="single" w:sz="2" w:space="0" w:color="000000"/>
              <w:bottom w:val="single" w:sz="2" w:space="0" w:color="000000"/>
              <w:right w:val="single" w:sz="2" w:space="0" w:color="000000"/>
            </w:tcBorders>
            <w:shd w:val="clear" w:color="auto" w:fill="FFFFFF"/>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24.23</w:t>
            </w:r>
          </w:p>
        </w:tc>
        <w:tc>
          <w:tcPr>
            <w:tcW w:w="1134" w:type="dxa"/>
            <w:tcBorders>
              <w:top w:val="single" w:sz="2" w:space="0" w:color="000000"/>
              <w:left w:val="single" w:sz="2" w:space="0" w:color="000000"/>
              <w:bottom w:val="single" w:sz="6" w:space="0" w:color="3F3F3F"/>
              <w:right w:val="single" w:sz="1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color w:val="000000" w:themeColor="text1"/>
                <w:lang w:eastAsia="en-PH"/>
              </w:rPr>
            </w:pPr>
            <w:r w:rsidRPr="00A04B37">
              <w:rPr>
                <w:rFonts w:ascii="Arial" w:eastAsia="Times New Roman" w:hAnsi="Arial" w:cs="Arial"/>
                <w:color w:val="000000" w:themeColor="text1"/>
                <w:lang w:eastAsia="en-PH"/>
              </w:rPr>
              <w:t>101.01</w:t>
            </w:r>
          </w:p>
        </w:tc>
      </w:tr>
      <w:tr w:rsidR="00A04B37" w:rsidRPr="00A04B37" w:rsidTr="004A2F66">
        <w:trPr>
          <w:trHeight w:val="270"/>
        </w:trPr>
        <w:tc>
          <w:tcPr>
            <w:tcW w:w="3022" w:type="dxa"/>
            <w:tcBorders>
              <w:top w:val="single" w:sz="6" w:space="0" w:color="3F3F3F"/>
              <w:left w:val="single" w:sz="12" w:space="0" w:color="000000"/>
              <w:bottom w:val="single" w:sz="12" w:space="0" w:color="000000"/>
              <w:right w:val="single" w:sz="6" w:space="0" w:color="3F3F3F"/>
            </w:tcBorders>
            <w:shd w:val="clear" w:color="auto" w:fill="FFFFFF"/>
            <w:tcMar>
              <w:top w:w="0" w:type="dxa"/>
              <w:left w:w="45" w:type="dxa"/>
              <w:bottom w:w="0" w:type="dxa"/>
              <w:right w:w="45" w:type="dxa"/>
            </w:tcMar>
            <w:vAlign w:val="bottom"/>
            <w:hideMark/>
          </w:tcPr>
          <w:p w:rsidR="00A04B37" w:rsidRPr="00A04B37" w:rsidRDefault="00A04B37" w:rsidP="00A04B37">
            <w:pPr>
              <w:spacing w:after="0" w:line="240" w:lineRule="auto"/>
              <w:jc w:val="center"/>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lastRenderedPageBreak/>
              <w:t>Total</w:t>
            </w:r>
          </w:p>
        </w:tc>
        <w:tc>
          <w:tcPr>
            <w:tcW w:w="992" w:type="dxa"/>
            <w:tcBorders>
              <w:top w:val="single" w:sz="2" w:space="0" w:color="000000"/>
              <w:left w:val="single" w:sz="6" w:space="0" w:color="CCCCCC"/>
              <w:bottom w:val="single" w:sz="12" w:space="0" w:color="000000"/>
              <w:right w:val="single" w:sz="6" w:space="0" w:color="3F3F3F"/>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2,504.91</w:t>
            </w:r>
          </w:p>
        </w:tc>
        <w:tc>
          <w:tcPr>
            <w:tcW w:w="993" w:type="dxa"/>
            <w:tcBorders>
              <w:top w:val="single" w:sz="2" w:space="0" w:color="000000"/>
              <w:left w:val="single" w:sz="6" w:space="0" w:color="CCCCCC"/>
              <w:bottom w:val="single" w:sz="12" w:space="0" w:color="000000"/>
              <w:right w:val="single" w:sz="6" w:space="0" w:color="3F3F3F"/>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2,635.27</w:t>
            </w:r>
          </w:p>
        </w:tc>
        <w:tc>
          <w:tcPr>
            <w:tcW w:w="992" w:type="dxa"/>
            <w:tcBorders>
              <w:top w:val="single" w:sz="2" w:space="0" w:color="000000"/>
              <w:left w:val="single" w:sz="6" w:space="0" w:color="CCCCCC"/>
              <w:bottom w:val="single" w:sz="12" w:space="0" w:color="000000"/>
              <w:right w:val="single" w:sz="6" w:space="0" w:color="CCCCCC"/>
            </w:tcBorders>
            <w:shd w:val="clear" w:color="auto" w:fill="FFFFFF"/>
          </w:tcPr>
          <w:p w:rsidR="00A04B37" w:rsidRPr="00A04B37" w:rsidRDefault="00A04B37" w:rsidP="00A04B37">
            <w:pPr>
              <w:spacing w:after="0" w:line="240" w:lineRule="auto"/>
              <w:jc w:val="right"/>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2,180.88</w:t>
            </w:r>
          </w:p>
        </w:tc>
        <w:tc>
          <w:tcPr>
            <w:tcW w:w="1118" w:type="dxa"/>
            <w:tcBorders>
              <w:top w:val="single" w:sz="2" w:space="0" w:color="000000"/>
              <w:left w:val="single" w:sz="6" w:space="0" w:color="CCCCCC"/>
              <w:bottom w:val="single" w:sz="12" w:space="0" w:color="000000"/>
              <w:right w:val="single" w:sz="6" w:space="0" w:color="3F3F3F"/>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2,805.69</w:t>
            </w:r>
          </w:p>
        </w:tc>
        <w:tc>
          <w:tcPr>
            <w:tcW w:w="866" w:type="dxa"/>
            <w:tcBorders>
              <w:top w:val="single" w:sz="2" w:space="0" w:color="000000"/>
              <w:left w:val="single" w:sz="6" w:space="0" w:color="CCCCCC"/>
              <w:bottom w:val="single" w:sz="12" w:space="0" w:color="000000"/>
              <w:right w:val="single" w:sz="2" w:space="0" w:color="000000"/>
            </w:tcBorders>
            <w:shd w:val="clear" w:color="auto" w:fill="FFFFFF"/>
          </w:tcPr>
          <w:p w:rsidR="00A04B37" w:rsidRPr="00A04B37" w:rsidRDefault="00A04B37" w:rsidP="00A04B37">
            <w:pPr>
              <w:spacing w:after="0" w:line="240" w:lineRule="auto"/>
              <w:jc w:val="right"/>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2,659.38</w:t>
            </w:r>
          </w:p>
        </w:tc>
        <w:tc>
          <w:tcPr>
            <w:tcW w:w="1134" w:type="dxa"/>
            <w:tcBorders>
              <w:top w:val="single" w:sz="6" w:space="0" w:color="3F3F3F"/>
              <w:left w:val="single" w:sz="2" w:space="0" w:color="000000"/>
              <w:bottom w:val="single" w:sz="12" w:space="0" w:color="000000"/>
              <w:right w:val="single" w:sz="12" w:space="0" w:color="000000"/>
            </w:tcBorders>
            <w:shd w:val="clear" w:color="auto" w:fill="FFFFFF"/>
            <w:tcMar>
              <w:top w:w="0" w:type="dxa"/>
              <w:left w:w="45" w:type="dxa"/>
              <w:bottom w:w="0" w:type="dxa"/>
              <w:right w:w="45" w:type="dxa"/>
            </w:tcMar>
            <w:vAlign w:val="center"/>
          </w:tcPr>
          <w:p w:rsidR="00A04B37" w:rsidRPr="00A04B37" w:rsidRDefault="00A04B37" w:rsidP="00A04B37">
            <w:pPr>
              <w:spacing w:after="0" w:line="240" w:lineRule="auto"/>
              <w:jc w:val="right"/>
              <w:rPr>
                <w:rFonts w:ascii="Arial" w:eastAsia="Times New Roman" w:hAnsi="Arial" w:cs="Arial"/>
                <w:b/>
                <w:color w:val="000000" w:themeColor="text1"/>
                <w:lang w:eastAsia="en-PH"/>
              </w:rPr>
            </w:pPr>
            <w:r w:rsidRPr="00A04B37">
              <w:rPr>
                <w:rFonts w:ascii="Arial" w:eastAsia="Times New Roman" w:hAnsi="Arial" w:cs="Arial"/>
                <w:b/>
                <w:color w:val="000000" w:themeColor="text1"/>
                <w:lang w:eastAsia="en-PH"/>
              </w:rPr>
              <w:t>2,334.36</w:t>
            </w:r>
          </w:p>
        </w:tc>
      </w:tr>
    </w:tbl>
    <w:p w:rsidR="00A04B37" w:rsidRPr="00A04B37" w:rsidRDefault="00A04B37" w:rsidP="00A04B37">
      <w:pPr>
        <w:spacing w:after="0" w:line="240" w:lineRule="auto"/>
        <w:jc w:val="both"/>
        <w:rPr>
          <w:rFonts w:ascii="Arial" w:eastAsia="Calibri" w:hAnsi="Arial" w:cs="Arial"/>
          <w:color w:val="000000" w:themeColor="text1"/>
          <w:sz w:val="20"/>
          <w:szCs w:val="20"/>
        </w:rPr>
      </w:pPr>
      <w:r w:rsidRPr="00A04B37">
        <w:rPr>
          <w:rFonts w:ascii="Arial" w:eastAsia="Calibri" w:hAnsi="Arial" w:cs="Arial"/>
          <w:color w:val="000000" w:themeColor="text1"/>
          <w:sz w:val="20"/>
          <w:szCs w:val="20"/>
        </w:rPr>
        <w:t>Source:  BIR submission, 29 October 2025</w:t>
      </w:r>
    </w:p>
    <w:p w:rsidR="00A04B37" w:rsidRPr="00A04B37" w:rsidRDefault="00A04B37" w:rsidP="00A04B37">
      <w:pPr>
        <w:spacing w:after="0" w:line="240" w:lineRule="auto"/>
        <w:jc w:val="both"/>
        <w:rPr>
          <w:rFonts w:ascii="Arial" w:eastAsia="Calibri" w:hAnsi="Arial" w:cs="Arial"/>
          <w:color w:val="000000" w:themeColor="text1"/>
          <w:sz w:val="20"/>
          <w:szCs w:val="20"/>
        </w:rPr>
      </w:pPr>
      <w:r w:rsidRPr="00A04B37">
        <w:rPr>
          <w:rFonts w:ascii="Arial" w:eastAsia="Calibri" w:hAnsi="Arial" w:cs="Arial"/>
          <w:color w:val="000000" w:themeColor="text1"/>
          <w:sz w:val="20"/>
          <w:szCs w:val="20"/>
        </w:rPr>
        <w:t>*As of September 2025</w:t>
      </w:r>
    </w:p>
    <w:p w:rsidR="00A04B37" w:rsidRPr="00A04B37" w:rsidRDefault="00A04B37" w:rsidP="00A04B37">
      <w:pPr>
        <w:spacing w:after="0" w:line="240" w:lineRule="auto"/>
        <w:jc w:val="both"/>
        <w:rPr>
          <w:rFonts w:ascii="Arial" w:eastAsia="Calibri" w:hAnsi="Arial" w:cs="Arial"/>
          <w:color w:val="000000" w:themeColor="text1"/>
          <w:sz w:val="20"/>
          <w:szCs w:val="20"/>
        </w:rPr>
      </w:pPr>
      <w:r w:rsidRPr="00A04B37">
        <w:rPr>
          <w:rFonts w:ascii="Arial" w:eastAsia="Calibri" w:hAnsi="Arial" w:cs="Arial"/>
          <w:color w:val="000000" w:themeColor="text1"/>
          <w:sz w:val="20"/>
          <w:szCs w:val="20"/>
        </w:rPr>
        <w:t>Sources of Data:  Large Taxpayers Service and Data Warehousing and Systems Operations Division, BIR (October 23 and 28, 2025, respectively)</w:t>
      </w:r>
    </w:p>
    <w:p w:rsidR="00A04B37" w:rsidRPr="00A04B37" w:rsidRDefault="00A04B37" w:rsidP="00A04B37">
      <w:pPr>
        <w:spacing w:after="0" w:line="240" w:lineRule="auto"/>
        <w:jc w:val="both"/>
        <w:rPr>
          <w:rFonts w:ascii="Arial" w:eastAsia="Calibri" w:hAnsi="Arial" w:cs="Arial"/>
          <w:b/>
          <w:color w:val="000000" w:themeColor="text1"/>
          <w:sz w:val="24"/>
          <w:szCs w:val="24"/>
          <w:u w:val="single"/>
        </w:rPr>
      </w:pPr>
    </w:p>
    <w:p w:rsidR="00A04B37" w:rsidRPr="00A04B37" w:rsidRDefault="00A04B37" w:rsidP="00A04B37">
      <w:pPr>
        <w:spacing w:after="0" w:line="240" w:lineRule="auto"/>
        <w:jc w:val="both"/>
        <w:rPr>
          <w:rFonts w:ascii="Arial" w:eastAsia="Calibri" w:hAnsi="Arial" w:cs="Arial"/>
          <w:b/>
          <w:color w:val="000000" w:themeColor="text1"/>
          <w:sz w:val="24"/>
          <w:szCs w:val="24"/>
          <w:u w:val="single"/>
        </w:rPr>
      </w:pPr>
    </w:p>
    <w:p w:rsidR="00A04B37" w:rsidRPr="00A04B37" w:rsidRDefault="00A04B37" w:rsidP="00A04B37">
      <w:pPr>
        <w:numPr>
          <w:ilvl w:val="0"/>
          <w:numId w:val="8"/>
        </w:numPr>
        <w:spacing w:after="0" w:line="240" w:lineRule="auto"/>
        <w:ind w:left="567" w:hanging="567"/>
        <w:jc w:val="both"/>
        <w:rPr>
          <w:rFonts w:ascii="Arial" w:eastAsia="Calibri" w:hAnsi="Arial" w:cs="Arial"/>
          <w:b/>
          <w:color w:val="000000" w:themeColor="text1"/>
          <w:sz w:val="24"/>
          <w:szCs w:val="24"/>
          <w:u w:val="single"/>
        </w:rPr>
      </w:pPr>
      <w:r w:rsidRPr="00A04B37">
        <w:rPr>
          <w:rFonts w:ascii="Arial" w:eastAsia="Calibri" w:hAnsi="Arial" w:cs="Arial"/>
          <w:b/>
          <w:color w:val="000000" w:themeColor="text1"/>
          <w:sz w:val="24"/>
          <w:szCs w:val="24"/>
          <w:u w:val="single"/>
        </w:rPr>
        <w:t xml:space="preserve">SUMMARY OF POSITION PAPERS </w:t>
      </w:r>
    </w:p>
    <w:p w:rsidR="00A04B37" w:rsidRPr="00A04B37" w:rsidRDefault="00A04B37" w:rsidP="00A04B37">
      <w:pPr>
        <w:tabs>
          <w:tab w:val="left" w:pos="426"/>
        </w:tabs>
        <w:spacing w:after="0" w:line="240" w:lineRule="auto"/>
        <w:ind w:left="425"/>
        <w:jc w:val="both"/>
        <w:rPr>
          <w:rFonts w:ascii="Arial" w:eastAsia="Calibri" w:hAnsi="Arial" w:cs="Arial"/>
          <w:b/>
          <w:color w:val="000000" w:themeColor="text1"/>
          <w:sz w:val="24"/>
          <w:szCs w:val="24"/>
        </w:rPr>
      </w:pPr>
    </w:p>
    <w:p w:rsidR="00A04B37" w:rsidRPr="00A04B37" w:rsidRDefault="00A04B37" w:rsidP="00A04B37">
      <w:pPr>
        <w:numPr>
          <w:ilvl w:val="0"/>
          <w:numId w:val="2"/>
        </w:numPr>
        <w:tabs>
          <w:tab w:val="left" w:pos="426"/>
        </w:tabs>
        <w:spacing w:after="0" w:line="240" w:lineRule="auto"/>
        <w:ind w:left="426" w:hanging="426"/>
        <w:jc w:val="both"/>
        <w:rPr>
          <w:rFonts w:ascii="Arial" w:eastAsia="Calibri" w:hAnsi="Arial" w:cs="Arial"/>
          <w:b/>
          <w:color w:val="000000" w:themeColor="text1"/>
          <w:sz w:val="24"/>
          <w:szCs w:val="24"/>
        </w:rPr>
      </w:pPr>
      <w:bookmarkStart w:id="13" w:name="_Hlk212448722"/>
      <w:r w:rsidRPr="00A04B37">
        <w:rPr>
          <w:rFonts w:ascii="Arial" w:eastAsia="Calibri" w:hAnsi="Arial" w:cs="Arial"/>
          <w:b/>
          <w:i/>
          <w:color w:val="000000" w:themeColor="text1"/>
          <w:sz w:val="24"/>
          <w:szCs w:val="24"/>
        </w:rPr>
        <w:t>Braun Medical Supplies</w:t>
      </w:r>
      <w:r w:rsidRPr="00A04B37">
        <w:rPr>
          <w:rFonts w:ascii="Arial" w:eastAsia="Calibri" w:hAnsi="Arial" w:cs="Arial"/>
          <w:b/>
          <w:color w:val="000000" w:themeColor="text1"/>
          <w:sz w:val="24"/>
          <w:szCs w:val="24"/>
        </w:rPr>
        <w:t xml:space="preserve"> (20 October 2025)</w:t>
      </w:r>
    </w:p>
    <w:bookmarkEnd w:id="13"/>
    <w:p w:rsidR="00A04B37" w:rsidRPr="00A04B37" w:rsidRDefault="00A04B37" w:rsidP="00A04B37">
      <w:pPr>
        <w:spacing w:after="0" w:line="240" w:lineRule="auto"/>
        <w:jc w:val="both"/>
        <w:rPr>
          <w:rFonts w:ascii="Arial" w:eastAsia="Calibri" w:hAnsi="Arial" w:cs="Arial"/>
          <w:i/>
          <w:color w:val="000000" w:themeColor="text1"/>
          <w:sz w:val="24"/>
          <w:szCs w:val="24"/>
          <w:u w:val="single"/>
        </w:rPr>
      </w:pPr>
    </w:p>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 xml:space="preserve">Braun Medical Supplies supports Senate Bill No. 347, the Tax-Free Importation of Medical Devices and Equipment Act, and proposes enhancements to its implementation. Key recommendations include exempting medical devices already registered with the FDA from requiring prior import approval to avoid procurement delays; aligning exempted devices with disease management priorities under the Universal Health Care (UHC) Act; and harmonizing exemptions with the CREATE Law. The proposed risk-based import protocol aims to balance expedited clearance for low- to moderate-risk devices while ensuring safety for higher-risk devices. The document stresses transparency via public updates of exempted devices. These refinements aim to remove redundant processes, reduce delays, and improve timely access to essential medical technology, especially in public institutions serving vulnerable populations </w:t>
      </w:r>
    </w:p>
    <w:p w:rsidR="00A04B37" w:rsidRPr="00A04B37" w:rsidRDefault="00A04B37" w:rsidP="00A04B37">
      <w:pPr>
        <w:spacing w:after="0" w:line="240" w:lineRule="auto"/>
        <w:jc w:val="both"/>
        <w:rPr>
          <w:rFonts w:ascii="Arial" w:eastAsia="Calibri" w:hAnsi="Arial" w:cs="Arial"/>
          <w:b/>
          <w:bCs/>
          <w:color w:val="000000" w:themeColor="text1"/>
          <w:sz w:val="24"/>
          <w:szCs w:val="24"/>
        </w:rPr>
      </w:pPr>
    </w:p>
    <w:p w:rsidR="00A04B37" w:rsidRPr="00A04B37" w:rsidRDefault="00A04B37" w:rsidP="00A04B37">
      <w:pPr>
        <w:numPr>
          <w:ilvl w:val="0"/>
          <w:numId w:val="2"/>
        </w:numPr>
        <w:tabs>
          <w:tab w:val="left" w:pos="426"/>
        </w:tabs>
        <w:spacing w:after="0" w:line="240" w:lineRule="auto"/>
        <w:ind w:left="426" w:hanging="426"/>
        <w:jc w:val="both"/>
        <w:rPr>
          <w:rFonts w:ascii="Arial" w:eastAsia="Calibri" w:hAnsi="Arial" w:cs="Arial"/>
          <w:b/>
          <w:color w:val="000000" w:themeColor="text1"/>
          <w:sz w:val="24"/>
          <w:szCs w:val="24"/>
        </w:rPr>
      </w:pPr>
      <w:r w:rsidRPr="00A04B37">
        <w:rPr>
          <w:rFonts w:ascii="Arial" w:eastAsia="Calibri" w:hAnsi="Arial" w:cs="Arial"/>
          <w:b/>
          <w:i/>
          <w:color w:val="000000" w:themeColor="text1"/>
          <w:sz w:val="24"/>
          <w:szCs w:val="24"/>
        </w:rPr>
        <w:t>Siemens Healthcare Inc.</w:t>
      </w:r>
      <w:r w:rsidRPr="00A04B37">
        <w:rPr>
          <w:rFonts w:ascii="Arial" w:eastAsia="Calibri" w:hAnsi="Arial" w:cs="Arial"/>
          <w:b/>
          <w:color w:val="000000" w:themeColor="text1"/>
          <w:sz w:val="24"/>
          <w:szCs w:val="24"/>
        </w:rPr>
        <w:t xml:space="preserve"> (16 October 2025)</w:t>
      </w:r>
    </w:p>
    <w:p w:rsidR="00A04B37" w:rsidRPr="00A04B37" w:rsidRDefault="00A04B37" w:rsidP="00A04B37">
      <w:pPr>
        <w:spacing w:after="0" w:line="240" w:lineRule="auto"/>
        <w:jc w:val="both"/>
        <w:rPr>
          <w:rFonts w:ascii="Arial" w:eastAsia="Calibri" w:hAnsi="Arial" w:cs="Arial"/>
          <w:b/>
          <w:bCs/>
          <w:color w:val="000000" w:themeColor="text1"/>
          <w:sz w:val="24"/>
          <w:szCs w:val="24"/>
        </w:rPr>
      </w:pPr>
    </w:p>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Siemens Healthcare, a Philippine-registered corporation engaged in the importation and distribution of medical devices and spare parts, expresses its strong support for SBN 347. To ensure that the measure achieves its objectives and promotes equitable treatment among industry participants, the Corporation recommends the following:</w:t>
      </w:r>
    </w:p>
    <w:p w:rsidR="00A04B37" w:rsidRPr="00A04B37" w:rsidRDefault="00A04B37" w:rsidP="00A04B37">
      <w:pPr>
        <w:spacing w:after="0" w:line="240" w:lineRule="auto"/>
        <w:jc w:val="both"/>
        <w:rPr>
          <w:rFonts w:ascii="Arial" w:eastAsia="Calibri" w:hAnsi="Arial" w:cs="Arial"/>
          <w:color w:val="000000" w:themeColor="text1"/>
          <w:sz w:val="24"/>
          <w:szCs w:val="24"/>
        </w:rPr>
      </w:pPr>
    </w:p>
    <w:p w:rsidR="00A04B37" w:rsidRPr="00A04B37" w:rsidRDefault="00A04B37" w:rsidP="00A04B37">
      <w:pPr>
        <w:numPr>
          <w:ilvl w:val="0"/>
          <w:numId w:val="25"/>
        </w:numPr>
        <w:spacing w:after="0" w:line="240" w:lineRule="auto"/>
        <w:ind w:left="426" w:hanging="426"/>
        <w:jc w:val="both"/>
        <w:rPr>
          <w:rFonts w:ascii="Arial" w:eastAsia="Calibri" w:hAnsi="Arial" w:cs="Arial"/>
          <w:i/>
          <w:color w:val="000000" w:themeColor="text1"/>
          <w:sz w:val="24"/>
          <w:szCs w:val="24"/>
        </w:rPr>
      </w:pPr>
      <w:r w:rsidRPr="00A04B37">
        <w:rPr>
          <w:rFonts w:ascii="Arial" w:eastAsia="Calibri" w:hAnsi="Arial" w:cs="Arial"/>
          <w:bCs/>
          <w:i/>
          <w:color w:val="000000" w:themeColor="text1"/>
          <w:sz w:val="24"/>
          <w:szCs w:val="24"/>
        </w:rPr>
        <w:t>Extend VAT and duty exemptions to all importers, distributors, and traders</w:t>
      </w:r>
    </w:p>
    <w:p w:rsidR="00A04B37" w:rsidRPr="00A04B37" w:rsidRDefault="00A04B37" w:rsidP="00A04B37">
      <w:pPr>
        <w:numPr>
          <w:ilvl w:val="0"/>
          <w:numId w:val="26"/>
        </w:numPr>
        <w:tabs>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Hospitals often rely on FDA</w:t>
      </w:r>
      <w:r w:rsidRPr="00A04B37">
        <w:rPr>
          <w:rFonts w:ascii="Arial" w:eastAsia="Calibri" w:hAnsi="Arial" w:cs="Arial"/>
          <w:color w:val="000000" w:themeColor="text1"/>
          <w:sz w:val="24"/>
          <w:szCs w:val="24"/>
        </w:rPr>
        <w:noBreakHyphen/>
        <w:t>licensed importers and distributors for equipment, after</w:t>
      </w:r>
      <w:r w:rsidRPr="00A04B37">
        <w:rPr>
          <w:rFonts w:ascii="Arial" w:eastAsia="Calibri" w:hAnsi="Arial" w:cs="Arial"/>
          <w:color w:val="000000" w:themeColor="text1"/>
          <w:sz w:val="24"/>
          <w:szCs w:val="24"/>
        </w:rPr>
        <w:noBreakHyphen/>
        <w:t>sales service, training, and financing.</w:t>
      </w:r>
    </w:p>
    <w:p w:rsidR="00A04B37" w:rsidRPr="00A04B37" w:rsidRDefault="00A04B37" w:rsidP="00A04B37">
      <w:pPr>
        <w:numPr>
          <w:ilvl w:val="0"/>
          <w:numId w:val="26"/>
        </w:numPr>
        <w:tabs>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Limiting exemptions only to hospitals creates supply chain gaps, delays, and higher costs.</w:t>
      </w:r>
    </w:p>
    <w:p w:rsidR="00A04B37" w:rsidRPr="00A04B37" w:rsidRDefault="00A04B37" w:rsidP="00A04B37">
      <w:pPr>
        <w:numPr>
          <w:ilvl w:val="0"/>
          <w:numId w:val="26"/>
        </w:numPr>
        <w:tabs>
          <w:tab w:val="left" w:pos="426"/>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Broadening the scope ensures competitive pricing and benefits smaller hospitals.</w:t>
      </w:r>
    </w:p>
    <w:p w:rsidR="00A04B37" w:rsidRPr="00A04B37" w:rsidRDefault="00A04B37" w:rsidP="00A04B37">
      <w:pPr>
        <w:numPr>
          <w:ilvl w:val="0"/>
          <w:numId w:val="25"/>
        </w:numPr>
        <w:tabs>
          <w:tab w:val="left" w:pos="426"/>
        </w:tabs>
        <w:spacing w:after="0" w:line="240" w:lineRule="auto"/>
        <w:ind w:left="426" w:hanging="426"/>
        <w:jc w:val="both"/>
        <w:rPr>
          <w:rFonts w:ascii="Arial" w:eastAsia="Calibri" w:hAnsi="Arial" w:cs="Arial"/>
          <w:i/>
          <w:color w:val="000000" w:themeColor="text1"/>
          <w:sz w:val="24"/>
          <w:szCs w:val="24"/>
        </w:rPr>
      </w:pPr>
      <w:r w:rsidRPr="00A04B37">
        <w:rPr>
          <w:rFonts w:ascii="Arial" w:eastAsia="Calibri" w:hAnsi="Arial" w:cs="Arial"/>
          <w:bCs/>
          <w:i/>
          <w:color w:val="000000" w:themeColor="text1"/>
          <w:sz w:val="24"/>
          <w:szCs w:val="24"/>
        </w:rPr>
        <w:t>Apply exemptions comprehensively to all medical devices and related inputs</w:t>
      </w:r>
    </w:p>
    <w:p w:rsidR="00A04B37" w:rsidRPr="00A04B37" w:rsidRDefault="00A04B37" w:rsidP="00A04B37">
      <w:pPr>
        <w:numPr>
          <w:ilvl w:val="0"/>
          <w:numId w:val="27"/>
        </w:numPr>
        <w:tabs>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Coverage should include in</w:t>
      </w:r>
      <w:r w:rsidRPr="00A04B37">
        <w:rPr>
          <w:rFonts w:ascii="Arial" w:eastAsia="Calibri" w:hAnsi="Arial" w:cs="Arial"/>
          <w:color w:val="000000" w:themeColor="text1"/>
          <w:sz w:val="24"/>
          <w:szCs w:val="24"/>
        </w:rPr>
        <w:noBreakHyphen/>
        <w:t>vivo and in</w:t>
      </w:r>
      <w:r w:rsidRPr="00A04B37">
        <w:rPr>
          <w:rFonts w:ascii="Arial" w:eastAsia="Calibri" w:hAnsi="Arial" w:cs="Arial"/>
          <w:color w:val="000000" w:themeColor="text1"/>
          <w:sz w:val="24"/>
          <w:szCs w:val="24"/>
        </w:rPr>
        <w:noBreakHyphen/>
        <w:t>vitro devices, consumables, reagents, chemicals, and specialized spare parts.</w:t>
      </w:r>
    </w:p>
    <w:p w:rsidR="00A04B37" w:rsidRPr="00A04B37" w:rsidRDefault="00A04B37" w:rsidP="00A04B37">
      <w:pPr>
        <w:numPr>
          <w:ilvl w:val="0"/>
          <w:numId w:val="27"/>
        </w:numPr>
        <w:tabs>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Exempting only the device but taxing essential inputs undermines affordability and continuity of medical services.</w:t>
      </w:r>
    </w:p>
    <w:p w:rsidR="00A04B37" w:rsidRPr="00A04B37" w:rsidRDefault="00A04B37" w:rsidP="00A04B37">
      <w:pPr>
        <w:numPr>
          <w:ilvl w:val="0"/>
          <w:numId w:val="25"/>
        </w:numPr>
        <w:tabs>
          <w:tab w:val="left" w:pos="426"/>
        </w:tabs>
        <w:spacing w:after="0" w:line="240" w:lineRule="auto"/>
        <w:ind w:left="426" w:hanging="426"/>
        <w:jc w:val="both"/>
        <w:rPr>
          <w:rFonts w:ascii="Arial" w:eastAsia="Calibri" w:hAnsi="Arial" w:cs="Arial"/>
          <w:i/>
          <w:color w:val="000000" w:themeColor="text1"/>
          <w:sz w:val="24"/>
          <w:szCs w:val="24"/>
        </w:rPr>
      </w:pPr>
      <w:r w:rsidRPr="00A04B37">
        <w:rPr>
          <w:rFonts w:ascii="Arial" w:eastAsia="Calibri" w:hAnsi="Arial" w:cs="Arial"/>
          <w:bCs/>
          <w:i/>
          <w:color w:val="000000" w:themeColor="text1"/>
          <w:sz w:val="24"/>
          <w:szCs w:val="24"/>
        </w:rPr>
        <w:t>Include installation, maintenance, repair, and training services</w:t>
      </w:r>
    </w:p>
    <w:p w:rsidR="00A04B37" w:rsidRPr="00A04B37" w:rsidRDefault="00A04B37" w:rsidP="00A04B37">
      <w:pPr>
        <w:numPr>
          <w:ilvl w:val="0"/>
          <w:numId w:val="28"/>
        </w:numPr>
        <w:tabs>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Modern devices require specialized setup and training.</w:t>
      </w:r>
    </w:p>
    <w:p w:rsidR="00A04B37" w:rsidRPr="00A04B37" w:rsidRDefault="00A04B37" w:rsidP="00A04B37">
      <w:pPr>
        <w:numPr>
          <w:ilvl w:val="0"/>
          <w:numId w:val="28"/>
        </w:numPr>
        <w:tabs>
          <w:tab w:val="left" w:pos="709"/>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Exempting only hardware while taxing services adds unnecessary costs and complicates hospital procurement.</w:t>
      </w:r>
    </w:p>
    <w:p w:rsidR="00A04B37" w:rsidRPr="00A04B37" w:rsidRDefault="00A04B37" w:rsidP="00A04B37">
      <w:pPr>
        <w:numPr>
          <w:ilvl w:val="0"/>
          <w:numId w:val="25"/>
        </w:numPr>
        <w:tabs>
          <w:tab w:val="left" w:pos="426"/>
        </w:tabs>
        <w:spacing w:after="0" w:line="240" w:lineRule="auto"/>
        <w:ind w:left="426" w:hanging="426"/>
        <w:jc w:val="both"/>
        <w:rPr>
          <w:rFonts w:ascii="Arial" w:eastAsia="Calibri" w:hAnsi="Arial" w:cs="Arial"/>
          <w:i/>
          <w:color w:val="000000" w:themeColor="text1"/>
          <w:sz w:val="24"/>
          <w:szCs w:val="24"/>
        </w:rPr>
      </w:pPr>
      <w:r w:rsidRPr="00A04B37">
        <w:rPr>
          <w:rFonts w:ascii="Arial" w:eastAsia="Calibri" w:hAnsi="Arial" w:cs="Arial"/>
          <w:bCs/>
          <w:i/>
          <w:color w:val="000000" w:themeColor="text1"/>
          <w:sz w:val="24"/>
          <w:szCs w:val="24"/>
        </w:rPr>
        <w:t>Zero</w:t>
      </w:r>
      <w:r w:rsidRPr="00A04B37">
        <w:rPr>
          <w:rFonts w:ascii="Arial" w:eastAsia="Calibri" w:hAnsi="Arial" w:cs="Arial"/>
          <w:bCs/>
          <w:i/>
          <w:color w:val="000000" w:themeColor="text1"/>
          <w:sz w:val="24"/>
          <w:szCs w:val="24"/>
        </w:rPr>
        <w:noBreakHyphen/>
        <w:t>rate subsequent domestic sales to hospitals and healthcare institutions</w:t>
      </w:r>
    </w:p>
    <w:p w:rsidR="00A04B37" w:rsidRPr="00A04B37" w:rsidRDefault="00A04B37" w:rsidP="00A04B37">
      <w:pPr>
        <w:numPr>
          <w:ilvl w:val="0"/>
          <w:numId w:val="29"/>
        </w:numPr>
        <w:tabs>
          <w:tab w:val="left" w:pos="426"/>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lastRenderedPageBreak/>
        <w:t>Current bill exempts importation but not local sales by importers to hospitals and medical institutions.</w:t>
      </w:r>
    </w:p>
    <w:p w:rsidR="00A04B37" w:rsidRPr="00A04B37" w:rsidRDefault="00A04B37" w:rsidP="00A04B37">
      <w:pPr>
        <w:numPr>
          <w:ilvl w:val="0"/>
          <w:numId w:val="29"/>
        </w:numPr>
        <w:tabs>
          <w:tab w:val="left" w:pos="426"/>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Without zero</w:t>
      </w:r>
      <w:r w:rsidRPr="00A04B37">
        <w:rPr>
          <w:rFonts w:ascii="Arial" w:eastAsia="Calibri" w:hAnsi="Arial" w:cs="Arial"/>
          <w:color w:val="000000" w:themeColor="text1"/>
          <w:sz w:val="24"/>
          <w:szCs w:val="24"/>
        </w:rPr>
        <w:noBreakHyphen/>
        <w:t>rating, input VAT remains a cost, creating inequities and limiting pass</w:t>
      </w:r>
      <w:r w:rsidRPr="00A04B37">
        <w:rPr>
          <w:rFonts w:ascii="Arial" w:eastAsia="Calibri" w:hAnsi="Arial" w:cs="Arial"/>
          <w:color w:val="000000" w:themeColor="text1"/>
          <w:sz w:val="24"/>
          <w:szCs w:val="24"/>
        </w:rPr>
        <w:noBreakHyphen/>
        <w:t>through of benefits.</w:t>
      </w:r>
    </w:p>
    <w:p w:rsidR="00A04B37" w:rsidRPr="00A04B37" w:rsidRDefault="00A04B37" w:rsidP="00A04B37">
      <w:pPr>
        <w:numPr>
          <w:ilvl w:val="0"/>
          <w:numId w:val="29"/>
        </w:numPr>
        <w:tabs>
          <w:tab w:val="left" w:pos="426"/>
        </w:tabs>
        <w:spacing w:after="0" w:line="240" w:lineRule="auto"/>
        <w:ind w:left="709" w:hanging="283"/>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Zero</w:t>
      </w:r>
      <w:r w:rsidRPr="00A04B37">
        <w:rPr>
          <w:rFonts w:ascii="Arial" w:eastAsia="Calibri" w:hAnsi="Arial" w:cs="Arial"/>
          <w:color w:val="000000" w:themeColor="text1"/>
          <w:sz w:val="24"/>
          <w:szCs w:val="24"/>
        </w:rPr>
        <w:noBreakHyphen/>
        <w:t>rating ensures hospitals and patients fully benefit from exemptions.</w:t>
      </w:r>
    </w:p>
    <w:p w:rsidR="00A04B37" w:rsidRPr="00A04B37" w:rsidRDefault="00A04B37" w:rsidP="00A04B37">
      <w:pPr>
        <w:numPr>
          <w:ilvl w:val="0"/>
          <w:numId w:val="25"/>
        </w:numPr>
        <w:tabs>
          <w:tab w:val="left" w:pos="426"/>
        </w:tabs>
        <w:spacing w:after="0" w:line="240" w:lineRule="auto"/>
        <w:ind w:left="426" w:hanging="426"/>
        <w:jc w:val="both"/>
        <w:rPr>
          <w:rFonts w:ascii="Arial" w:eastAsia="Calibri" w:hAnsi="Arial" w:cs="Arial"/>
          <w:i/>
          <w:color w:val="000000" w:themeColor="text1"/>
          <w:sz w:val="24"/>
          <w:szCs w:val="24"/>
        </w:rPr>
      </w:pPr>
      <w:r w:rsidRPr="00A04B37">
        <w:rPr>
          <w:rFonts w:ascii="Arial" w:eastAsia="Calibri" w:hAnsi="Arial" w:cs="Arial"/>
          <w:bCs/>
          <w:i/>
          <w:color w:val="000000" w:themeColor="text1"/>
          <w:sz w:val="24"/>
          <w:szCs w:val="24"/>
        </w:rPr>
        <w:t>Simplify administrative procedures</w:t>
      </w:r>
    </w:p>
    <w:p w:rsidR="00A04B37" w:rsidRPr="00A04B37" w:rsidRDefault="00A04B37" w:rsidP="00A04B37">
      <w:pPr>
        <w:numPr>
          <w:ilvl w:val="0"/>
          <w:numId w:val="30"/>
        </w:numPr>
        <w:tabs>
          <w:tab w:val="left" w:pos="709"/>
        </w:tabs>
        <w:spacing w:after="0" w:line="240" w:lineRule="auto"/>
        <w:ind w:hanging="294"/>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Complex clearance and refund processes delay access to critical equipment.</w:t>
      </w:r>
    </w:p>
    <w:p w:rsidR="00A04B37" w:rsidRPr="00A04B37" w:rsidRDefault="00A04B37" w:rsidP="00A04B37">
      <w:pPr>
        <w:numPr>
          <w:ilvl w:val="0"/>
          <w:numId w:val="30"/>
        </w:numPr>
        <w:tabs>
          <w:tab w:val="left" w:pos="709"/>
        </w:tabs>
        <w:spacing w:after="0" w:line="240" w:lineRule="auto"/>
        <w:ind w:hanging="294"/>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NEA recommends fast</w:t>
      </w:r>
      <w:r w:rsidRPr="00A04B37">
        <w:rPr>
          <w:rFonts w:ascii="Arial" w:eastAsia="Calibri" w:hAnsi="Arial" w:cs="Arial"/>
          <w:color w:val="000000" w:themeColor="text1"/>
          <w:sz w:val="24"/>
          <w:szCs w:val="24"/>
        </w:rPr>
        <w:noBreakHyphen/>
        <w:t>track approvals, digital submissions, and simplified VAT refund mechanisms.</w:t>
      </w:r>
    </w:p>
    <w:p w:rsidR="00A04B37" w:rsidRPr="00A04B37" w:rsidRDefault="00A04B37" w:rsidP="00A04B37">
      <w:pPr>
        <w:spacing w:after="0" w:line="240" w:lineRule="auto"/>
        <w:jc w:val="both"/>
        <w:rPr>
          <w:rFonts w:ascii="Arial" w:eastAsia="Calibri" w:hAnsi="Arial" w:cs="Arial"/>
          <w:color w:val="000000" w:themeColor="text1"/>
          <w:sz w:val="24"/>
          <w:szCs w:val="24"/>
        </w:rPr>
      </w:pPr>
    </w:p>
    <w:p w:rsidR="00A04B37" w:rsidRPr="00A04B37" w:rsidRDefault="00A04B37" w:rsidP="00A04B37">
      <w:pPr>
        <w:numPr>
          <w:ilvl w:val="0"/>
          <w:numId w:val="2"/>
        </w:numPr>
        <w:tabs>
          <w:tab w:val="left" w:pos="426"/>
        </w:tabs>
        <w:spacing w:after="0" w:line="240" w:lineRule="auto"/>
        <w:ind w:left="426" w:hanging="426"/>
        <w:jc w:val="both"/>
        <w:rPr>
          <w:rFonts w:ascii="Arial" w:eastAsia="Calibri" w:hAnsi="Arial" w:cs="Arial"/>
          <w:color w:val="000000" w:themeColor="text1"/>
          <w:sz w:val="24"/>
          <w:szCs w:val="24"/>
        </w:rPr>
      </w:pPr>
      <w:r w:rsidRPr="00A04B37">
        <w:rPr>
          <w:rFonts w:ascii="Arial" w:eastAsia="Calibri" w:hAnsi="Arial" w:cs="Arial"/>
          <w:b/>
          <w:bCs/>
          <w:i/>
          <w:color w:val="000000" w:themeColor="text1"/>
          <w:sz w:val="24"/>
          <w:szCs w:val="24"/>
        </w:rPr>
        <w:t>Lifeline Diagnostics</w:t>
      </w:r>
      <w:r w:rsidRPr="00A04B37">
        <w:rPr>
          <w:rFonts w:ascii="Arial" w:eastAsia="Calibri" w:hAnsi="Arial" w:cs="Arial"/>
          <w:b/>
          <w:bCs/>
          <w:color w:val="000000" w:themeColor="text1"/>
          <w:sz w:val="24"/>
          <w:szCs w:val="24"/>
        </w:rPr>
        <w:t xml:space="preserve"> (16 October 2025)</w:t>
      </w:r>
    </w:p>
    <w:p w:rsidR="00A04B37" w:rsidRPr="00A04B37" w:rsidRDefault="00A04B37" w:rsidP="00A04B37">
      <w:pPr>
        <w:spacing w:after="0" w:line="240" w:lineRule="auto"/>
        <w:jc w:val="both"/>
        <w:rPr>
          <w:rFonts w:ascii="Arial" w:eastAsia="Calibri" w:hAnsi="Arial" w:cs="Arial"/>
          <w:color w:val="000000" w:themeColor="text1"/>
          <w:sz w:val="24"/>
          <w:szCs w:val="24"/>
        </w:rPr>
      </w:pPr>
    </w:p>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 xml:space="preserve">Lifeline Diagnostics supports SB 347’s goal to reduce import taxes on medical devices to improve affordability and access, especially in underserved areas. The company recommends clarifying the definition and scope of medical devices to include in-vitro diagnostic instruments, reagents, consumables, and critical spare parts to ensure sustainability. It also emphasizes that only FDA-licensed importers and distributors should qualify for exemptions, coupled with DOH oversight and reporting to prevent misuse. Lifeline underscores the exemption’s positive impact on public health by enabling broader distribution of diagnostics, capacity building, and infrastructure modernization aligned with Universal Health Care goals </w:t>
      </w:r>
    </w:p>
    <w:p w:rsidR="00A04B37" w:rsidRPr="00A04B37" w:rsidRDefault="00A04B37" w:rsidP="00A04B37">
      <w:pPr>
        <w:spacing w:after="0" w:line="240" w:lineRule="auto"/>
        <w:jc w:val="both"/>
        <w:rPr>
          <w:rFonts w:ascii="Arial" w:eastAsia="Calibri" w:hAnsi="Arial" w:cs="Arial"/>
          <w:color w:val="000000" w:themeColor="text1"/>
          <w:sz w:val="24"/>
          <w:szCs w:val="24"/>
          <w:lang w:val="en-US"/>
        </w:rPr>
      </w:pPr>
    </w:p>
    <w:p w:rsidR="00A04B37" w:rsidRPr="00A04B37" w:rsidRDefault="00A04B37" w:rsidP="00A04B37">
      <w:pPr>
        <w:numPr>
          <w:ilvl w:val="0"/>
          <w:numId w:val="2"/>
        </w:numPr>
        <w:tabs>
          <w:tab w:val="left" w:pos="426"/>
        </w:tabs>
        <w:spacing w:after="0" w:line="240" w:lineRule="auto"/>
        <w:ind w:left="426" w:hanging="426"/>
        <w:jc w:val="both"/>
        <w:rPr>
          <w:rFonts w:ascii="Arial" w:eastAsia="Calibri" w:hAnsi="Arial" w:cs="Arial"/>
          <w:b/>
          <w:color w:val="000000" w:themeColor="text1"/>
          <w:sz w:val="24"/>
          <w:szCs w:val="24"/>
          <w:lang w:val="en-US"/>
        </w:rPr>
      </w:pPr>
      <w:r w:rsidRPr="00A04B37">
        <w:rPr>
          <w:rFonts w:ascii="Arial" w:eastAsia="Calibri" w:hAnsi="Arial" w:cs="Arial"/>
          <w:b/>
          <w:i/>
          <w:color w:val="000000" w:themeColor="text1"/>
          <w:sz w:val="24"/>
          <w:szCs w:val="24"/>
          <w:lang w:val="en-US"/>
        </w:rPr>
        <w:t>Patient Care Corporation</w:t>
      </w:r>
      <w:r w:rsidRPr="00A04B37">
        <w:rPr>
          <w:rFonts w:ascii="Arial" w:eastAsia="Calibri" w:hAnsi="Arial" w:cs="Arial"/>
          <w:b/>
          <w:color w:val="000000" w:themeColor="text1"/>
          <w:sz w:val="24"/>
          <w:szCs w:val="24"/>
          <w:lang w:val="en-US"/>
        </w:rPr>
        <w:t xml:space="preserve"> (24 October 2025)</w:t>
      </w:r>
    </w:p>
    <w:p w:rsidR="00A04B37" w:rsidRPr="00A04B37" w:rsidRDefault="00A04B37" w:rsidP="00A04B37">
      <w:pPr>
        <w:spacing w:after="0" w:line="240" w:lineRule="auto"/>
        <w:jc w:val="both"/>
        <w:rPr>
          <w:rFonts w:ascii="Arial" w:eastAsia="Calibri" w:hAnsi="Arial" w:cs="Arial"/>
          <w:color w:val="000000" w:themeColor="text1"/>
          <w:sz w:val="24"/>
          <w:szCs w:val="24"/>
          <w:lang w:val="en-US"/>
        </w:rPr>
      </w:pPr>
    </w:p>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The Patient Care Corporation, an importer and distributor of medical devices, has expressed its strong support for the proposal, stating that the measure would provide substantial relief to hospitals and patients confronted with the high cost of healthcare in the Philippines.</w:t>
      </w:r>
    </w:p>
    <w:p w:rsidR="00A04B37" w:rsidRPr="00A04B37" w:rsidRDefault="00A04B37" w:rsidP="00A04B37">
      <w:pPr>
        <w:spacing w:after="0" w:line="240" w:lineRule="auto"/>
        <w:ind w:firstLine="567"/>
        <w:jc w:val="both"/>
        <w:rPr>
          <w:rFonts w:ascii="Arial" w:eastAsia="Calibri" w:hAnsi="Arial" w:cs="Arial"/>
          <w:color w:val="000000" w:themeColor="text1"/>
          <w:sz w:val="24"/>
          <w:szCs w:val="24"/>
        </w:rPr>
      </w:pPr>
    </w:p>
    <w:p w:rsidR="00A04B37" w:rsidRPr="00A04B37" w:rsidRDefault="00A04B37" w:rsidP="00A04B37">
      <w:pPr>
        <w:tabs>
          <w:tab w:val="num" w:pos="720"/>
        </w:tabs>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However, they added that due to the dynamics in the VAT input and VAT output, the exemption should extend beyond importers to include hospitals;</w:t>
      </w:r>
      <w:r w:rsidRPr="00A04B37">
        <w:rPr>
          <w:rFonts w:ascii="Calibri" w:eastAsia="Calibri" w:hAnsi="Calibri" w:cs="Times New Roman"/>
          <w:color w:val="000000" w:themeColor="text1"/>
        </w:rPr>
        <w:t xml:space="preserve"> </w:t>
      </w:r>
      <w:r w:rsidRPr="00A04B37">
        <w:rPr>
          <w:rFonts w:ascii="Arial" w:eastAsia="Calibri" w:hAnsi="Arial" w:cs="Arial"/>
          <w:color w:val="000000" w:themeColor="text1"/>
          <w:sz w:val="24"/>
          <w:szCs w:val="24"/>
        </w:rPr>
        <w:t xml:space="preserve">if exemption applies only to importers (VAT input) and the importers would still charge VAT on sales to hospitals (VAT output) and remit it to the BIR, the intended price-reducing effect for general public will be useless.  If the VAT exemption does not extend to the hospitals, it will still drive the cost of the hospitals higher which then gets passed onto the patients. To illustrate this, the Corporation provided </w:t>
      </w:r>
      <w:r w:rsidRPr="00A04B37">
        <w:rPr>
          <w:rFonts w:ascii="Arial" w:eastAsia="Calibri" w:hAnsi="Arial" w:cs="Arial"/>
          <w:color w:val="000000" w:themeColor="text1"/>
          <w:sz w:val="24"/>
          <w:szCs w:val="24"/>
          <w:u w:val="single"/>
        </w:rPr>
        <w:t>three (3) different scenarios</w:t>
      </w:r>
      <w:r w:rsidRPr="00A04B37">
        <w:rPr>
          <w:rFonts w:ascii="Arial" w:eastAsia="Calibri" w:hAnsi="Arial" w:cs="Arial"/>
          <w:color w:val="000000" w:themeColor="text1"/>
          <w:sz w:val="24"/>
          <w:szCs w:val="24"/>
        </w:rPr>
        <w:t xml:space="preserve"> using a medical device with P100 import cost:</w:t>
      </w:r>
    </w:p>
    <w:p w:rsidR="00A04B37" w:rsidRPr="00A04B37" w:rsidRDefault="00A04B37" w:rsidP="00A04B37">
      <w:pPr>
        <w:tabs>
          <w:tab w:val="num" w:pos="720"/>
        </w:tabs>
        <w:spacing w:after="0" w:line="240" w:lineRule="auto"/>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ab/>
      </w:r>
    </w:p>
    <w:p w:rsidR="00A04B37" w:rsidRPr="00A04B37" w:rsidRDefault="00A04B37" w:rsidP="00A04B37">
      <w:pPr>
        <w:numPr>
          <w:ilvl w:val="0"/>
          <w:numId w:val="5"/>
        </w:numPr>
        <w:tabs>
          <w:tab w:val="left" w:pos="426"/>
        </w:tabs>
        <w:spacing w:after="0" w:line="240" w:lineRule="auto"/>
        <w:ind w:left="426" w:hanging="426"/>
        <w:jc w:val="both"/>
        <w:rPr>
          <w:rFonts w:ascii="Arial" w:eastAsia="Calibri" w:hAnsi="Arial" w:cs="Arial"/>
          <w:color w:val="000000" w:themeColor="text1"/>
          <w:sz w:val="24"/>
          <w:szCs w:val="24"/>
        </w:rPr>
      </w:pPr>
      <w:r w:rsidRPr="00A04B37">
        <w:rPr>
          <w:rFonts w:ascii="Arial" w:eastAsia="Calibri" w:hAnsi="Arial" w:cs="Arial"/>
          <w:b/>
          <w:color w:val="000000" w:themeColor="text1"/>
          <w:sz w:val="24"/>
          <w:szCs w:val="24"/>
        </w:rPr>
        <w:t>No exemption:</w:t>
      </w:r>
      <w:r w:rsidRPr="00A04B37">
        <w:rPr>
          <w:rFonts w:ascii="Arial" w:eastAsia="Calibri" w:hAnsi="Arial" w:cs="Arial"/>
          <w:color w:val="000000" w:themeColor="text1"/>
          <w:sz w:val="24"/>
          <w:szCs w:val="24"/>
        </w:rPr>
        <w:t xml:space="preserve"> Importer pays P12 VAT to BOC, sells to hospital at P150 + P18 (VAT) = P168; hospital pays P168 (passed onto the patient</w:t>
      </w:r>
      <w:r w:rsidRPr="00A04B37">
        <w:rPr>
          <w:rFonts w:ascii="Calibri" w:eastAsia="Calibri" w:hAnsi="Calibri" w:cs="Times New Roman"/>
          <w:color w:val="000000" w:themeColor="text1"/>
        </w:rPr>
        <w:t xml:space="preserve"> </w:t>
      </w:r>
      <w:r w:rsidRPr="00A04B37">
        <w:rPr>
          <w:rFonts w:ascii="Arial" w:eastAsia="Calibri" w:hAnsi="Arial" w:cs="Arial"/>
          <w:color w:val="000000" w:themeColor="text1"/>
          <w:sz w:val="24"/>
          <w:szCs w:val="24"/>
        </w:rPr>
        <w:t>plus hospital profit); BIR receives P18 (VAT output) less P12 (VAT input) = P6, but since the P12 has already been advanced to the BOC, total VAT effectively paid is P18.</w:t>
      </w:r>
    </w:p>
    <w:p w:rsidR="00A04B37" w:rsidRPr="00A04B37" w:rsidRDefault="00A04B37" w:rsidP="00A04B37">
      <w:pPr>
        <w:tabs>
          <w:tab w:val="left" w:pos="426"/>
          <w:tab w:val="num" w:pos="720"/>
        </w:tabs>
        <w:spacing w:after="0" w:line="240" w:lineRule="auto"/>
        <w:ind w:left="426" w:hanging="426"/>
        <w:jc w:val="both"/>
        <w:rPr>
          <w:rFonts w:ascii="Arial" w:eastAsia="Calibri" w:hAnsi="Arial" w:cs="Arial"/>
          <w:color w:val="000000" w:themeColor="text1"/>
          <w:sz w:val="24"/>
          <w:szCs w:val="24"/>
        </w:rPr>
      </w:pPr>
    </w:p>
    <w:p w:rsidR="00A04B37" w:rsidRPr="00A04B37" w:rsidRDefault="00A04B37" w:rsidP="00A04B37">
      <w:pPr>
        <w:numPr>
          <w:ilvl w:val="0"/>
          <w:numId w:val="5"/>
        </w:numPr>
        <w:tabs>
          <w:tab w:val="left" w:pos="426"/>
        </w:tabs>
        <w:spacing w:after="0" w:line="240" w:lineRule="auto"/>
        <w:ind w:left="426" w:hanging="426"/>
        <w:jc w:val="both"/>
        <w:rPr>
          <w:rFonts w:ascii="Arial" w:eastAsia="Calibri" w:hAnsi="Arial" w:cs="Arial"/>
          <w:color w:val="000000" w:themeColor="text1"/>
          <w:sz w:val="24"/>
          <w:szCs w:val="24"/>
        </w:rPr>
      </w:pPr>
      <w:r w:rsidRPr="00A04B37">
        <w:rPr>
          <w:rFonts w:ascii="Arial" w:eastAsia="Calibri" w:hAnsi="Arial" w:cs="Arial"/>
          <w:b/>
          <w:color w:val="000000" w:themeColor="text1"/>
          <w:sz w:val="24"/>
          <w:szCs w:val="24"/>
        </w:rPr>
        <w:t>Exemption for importer only:</w:t>
      </w:r>
      <w:r w:rsidRPr="00A04B37">
        <w:rPr>
          <w:rFonts w:ascii="Arial" w:eastAsia="Calibri" w:hAnsi="Arial" w:cs="Arial"/>
          <w:color w:val="000000" w:themeColor="text1"/>
          <w:sz w:val="24"/>
          <w:szCs w:val="24"/>
        </w:rPr>
        <w:t xml:space="preserve"> importer pays P0 at import but still charges hospital P150 + P18 (VAT) = P168; hospital pays P168 (passed onto the patient plus hospital profit); BIR receives P18 (VAT output) less P0 (VAT input) = P18, hence, the total VAT remains P18.</w:t>
      </w:r>
    </w:p>
    <w:p w:rsidR="00A04B37" w:rsidRPr="00A04B37" w:rsidRDefault="00A04B37" w:rsidP="00A04B37">
      <w:pPr>
        <w:tabs>
          <w:tab w:val="left" w:pos="426"/>
          <w:tab w:val="num" w:pos="720"/>
        </w:tabs>
        <w:spacing w:after="0" w:line="240" w:lineRule="auto"/>
        <w:ind w:left="426" w:hanging="426"/>
        <w:jc w:val="both"/>
        <w:rPr>
          <w:rFonts w:ascii="Arial" w:eastAsia="Calibri" w:hAnsi="Arial" w:cs="Arial"/>
          <w:color w:val="000000" w:themeColor="text1"/>
          <w:sz w:val="24"/>
          <w:szCs w:val="24"/>
        </w:rPr>
      </w:pPr>
    </w:p>
    <w:p w:rsidR="00A04B37" w:rsidRPr="00A04B37" w:rsidRDefault="00A04B37" w:rsidP="00A04B37">
      <w:pPr>
        <w:numPr>
          <w:ilvl w:val="0"/>
          <w:numId w:val="5"/>
        </w:numPr>
        <w:tabs>
          <w:tab w:val="left" w:pos="426"/>
        </w:tabs>
        <w:spacing w:after="0" w:line="240" w:lineRule="auto"/>
        <w:ind w:left="426" w:hanging="426"/>
        <w:jc w:val="both"/>
        <w:rPr>
          <w:rFonts w:ascii="Arial" w:eastAsia="Calibri" w:hAnsi="Arial" w:cs="Arial"/>
          <w:color w:val="000000" w:themeColor="text1"/>
          <w:sz w:val="24"/>
          <w:szCs w:val="24"/>
        </w:rPr>
      </w:pPr>
      <w:r w:rsidRPr="00A04B37">
        <w:rPr>
          <w:rFonts w:ascii="Arial" w:eastAsia="Calibri" w:hAnsi="Arial" w:cs="Arial"/>
          <w:b/>
          <w:color w:val="000000" w:themeColor="text1"/>
          <w:sz w:val="24"/>
          <w:szCs w:val="24"/>
        </w:rPr>
        <w:t>Exemption for importer and hospital:</w:t>
      </w:r>
      <w:r w:rsidRPr="00A04B37">
        <w:rPr>
          <w:rFonts w:ascii="Arial" w:eastAsia="Calibri" w:hAnsi="Arial" w:cs="Arial"/>
          <w:color w:val="000000" w:themeColor="text1"/>
          <w:sz w:val="24"/>
          <w:szCs w:val="24"/>
        </w:rPr>
        <w:t xml:space="preserve"> if the VAT exemption is extended to the hospital, the importer pays P0 VAT to the BOC, sells to hospital at P150 with P0 </w:t>
      </w:r>
      <w:r w:rsidRPr="00A04B37">
        <w:rPr>
          <w:rFonts w:ascii="Arial" w:eastAsia="Calibri" w:hAnsi="Arial" w:cs="Arial"/>
          <w:color w:val="000000" w:themeColor="text1"/>
          <w:sz w:val="24"/>
          <w:szCs w:val="24"/>
        </w:rPr>
        <w:lastRenderedPageBreak/>
        <w:t>VAT for a to</w:t>
      </w:r>
      <w:bookmarkStart w:id="14" w:name="_GoBack"/>
      <w:bookmarkEnd w:id="14"/>
      <w:r w:rsidRPr="00A04B37">
        <w:rPr>
          <w:rFonts w:ascii="Arial" w:eastAsia="Calibri" w:hAnsi="Arial" w:cs="Arial"/>
          <w:color w:val="000000" w:themeColor="text1"/>
          <w:sz w:val="24"/>
          <w:szCs w:val="24"/>
        </w:rPr>
        <w:t>tal of P150; hospital’s cost becomes P150 (reducing what is passed on to the patient), the VAT remitted to the BIR is P0 less P0 = P0, and the total VAT paid is P0.</w:t>
      </w:r>
    </w:p>
    <w:p w:rsidR="00A04B37" w:rsidRPr="00A04B37" w:rsidRDefault="00A04B37" w:rsidP="00A04B37">
      <w:pPr>
        <w:tabs>
          <w:tab w:val="num" w:pos="720"/>
        </w:tabs>
        <w:spacing w:after="0" w:line="240" w:lineRule="auto"/>
        <w:jc w:val="both"/>
        <w:rPr>
          <w:rFonts w:ascii="Arial" w:eastAsia="Calibri" w:hAnsi="Arial" w:cs="Arial"/>
          <w:color w:val="000000" w:themeColor="text1"/>
          <w:sz w:val="24"/>
          <w:szCs w:val="24"/>
        </w:rPr>
      </w:pPr>
    </w:p>
    <w:p w:rsidR="00A04B37" w:rsidRPr="00A04B37" w:rsidRDefault="00A04B37" w:rsidP="00A04B37">
      <w:pPr>
        <w:tabs>
          <w:tab w:val="num" w:pos="720"/>
        </w:tabs>
        <w:spacing w:after="0" w:line="240" w:lineRule="auto"/>
        <w:ind w:firstLine="567"/>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Accordingly, to achieve the policy’s objective of lowering healthcare costs for hospitals and patients, the exemption must be designed to encompass both importers and hospitals so that the VAT burden is eliminated rather than merely shifted or effectively preserved through the existing input–output VAT mechanics.</w:t>
      </w:r>
    </w:p>
    <w:p w:rsidR="00A04B37" w:rsidRPr="00A04B37" w:rsidRDefault="00A04B37" w:rsidP="00A04B37">
      <w:pPr>
        <w:spacing w:after="0" w:line="240" w:lineRule="auto"/>
        <w:jc w:val="both"/>
        <w:rPr>
          <w:rFonts w:ascii="Arial" w:eastAsia="Calibri" w:hAnsi="Arial" w:cs="Arial"/>
          <w:color w:val="000000" w:themeColor="text1"/>
          <w:sz w:val="24"/>
          <w:szCs w:val="24"/>
          <w:lang w:val="en-US"/>
        </w:rPr>
      </w:pPr>
    </w:p>
    <w:p w:rsidR="00A04B37" w:rsidRPr="00A04B37" w:rsidRDefault="00A04B37" w:rsidP="00A04B37">
      <w:pPr>
        <w:tabs>
          <w:tab w:val="left" w:pos="567"/>
        </w:tabs>
        <w:spacing w:after="0" w:line="240" w:lineRule="auto"/>
        <w:ind w:left="562" w:hanging="562"/>
        <w:jc w:val="both"/>
        <w:rPr>
          <w:rFonts w:ascii="Arial" w:eastAsia="Calibri" w:hAnsi="Arial" w:cs="Arial"/>
          <w:b/>
          <w:color w:val="000000" w:themeColor="text1"/>
          <w:sz w:val="24"/>
          <w:szCs w:val="24"/>
        </w:rPr>
      </w:pPr>
      <w:bookmarkStart w:id="15" w:name="_Hlk209024227"/>
      <w:bookmarkEnd w:id="0"/>
    </w:p>
    <w:p w:rsidR="00A04B37" w:rsidRPr="00A04B37" w:rsidRDefault="00A04B37" w:rsidP="00A04B37">
      <w:pPr>
        <w:tabs>
          <w:tab w:val="left" w:pos="567"/>
        </w:tabs>
        <w:spacing w:after="0" w:line="240" w:lineRule="auto"/>
        <w:ind w:left="562" w:hanging="562"/>
        <w:jc w:val="both"/>
        <w:rPr>
          <w:rFonts w:ascii="Arial" w:eastAsia="Calibri" w:hAnsi="Arial" w:cs="Arial"/>
          <w:color w:val="000000" w:themeColor="text1"/>
          <w:sz w:val="24"/>
          <w:szCs w:val="24"/>
        </w:rPr>
      </w:pPr>
      <w:r w:rsidRPr="00A04B37">
        <w:rPr>
          <w:rFonts w:ascii="Arial" w:eastAsia="Calibri" w:hAnsi="Arial" w:cs="Arial"/>
          <w:b/>
          <w:color w:val="000000" w:themeColor="text1"/>
          <w:sz w:val="24"/>
          <w:szCs w:val="24"/>
        </w:rPr>
        <w:t>VIII.</w:t>
      </w:r>
      <w:r w:rsidRPr="00A04B37">
        <w:rPr>
          <w:rFonts w:ascii="Arial" w:eastAsia="Calibri" w:hAnsi="Arial" w:cs="Arial"/>
          <w:b/>
          <w:color w:val="000000" w:themeColor="text1"/>
          <w:sz w:val="24"/>
          <w:szCs w:val="24"/>
        </w:rPr>
        <w:tab/>
      </w:r>
      <w:r w:rsidRPr="00A04B37">
        <w:rPr>
          <w:rFonts w:ascii="Arial" w:eastAsia="Calibri" w:hAnsi="Arial" w:cs="Arial"/>
          <w:b/>
          <w:color w:val="000000" w:themeColor="text1"/>
          <w:sz w:val="24"/>
          <w:szCs w:val="24"/>
          <w:u w:val="single"/>
        </w:rPr>
        <w:t>RECOMMENDATIONS</w:t>
      </w:r>
    </w:p>
    <w:p w:rsidR="00A04B37" w:rsidRPr="00A04B37" w:rsidRDefault="00A04B37" w:rsidP="00A04B37">
      <w:pPr>
        <w:tabs>
          <w:tab w:val="left" w:pos="567"/>
        </w:tabs>
        <w:spacing w:after="0" w:line="240" w:lineRule="auto"/>
        <w:ind w:left="562" w:hanging="562"/>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 xml:space="preserve"> </w:t>
      </w:r>
    </w:p>
    <w:p w:rsidR="00A04B37" w:rsidRPr="00A04B37" w:rsidRDefault="00A04B37" w:rsidP="00A04B37">
      <w:pPr>
        <w:spacing w:after="0" w:line="240" w:lineRule="auto"/>
        <w:ind w:firstLine="567"/>
        <w:contextualSpacing/>
        <w:jc w:val="both"/>
        <w:rPr>
          <w:rFonts w:ascii="Arial" w:eastAsia="Calibri" w:hAnsi="Arial" w:cs="Arial"/>
          <w:color w:val="000000"/>
          <w:sz w:val="24"/>
          <w:szCs w:val="24"/>
        </w:rPr>
      </w:pPr>
      <w:r w:rsidRPr="00A04B37">
        <w:rPr>
          <w:rFonts w:ascii="Arial" w:eastAsia="Calibri" w:hAnsi="Arial" w:cs="Arial"/>
          <w:i/>
          <w:color w:val="000000"/>
          <w:sz w:val="24"/>
          <w:szCs w:val="24"/>
        </w:rPr>
        <w:t>Senate Bill No. 347</w:t>
      </w:r>
      <w:r w:rsidRPr="00A04B37">
        <w:rPr>
          <w:rFonts w:ascii="Arial" w:eastAsia="Calibri" w:hAnsi="Arial" w:cs="Arial"/>
          <w:color w:val="000000"/>
          <w:sz w:val="24"/>
          <w:szCs w:val="24"/>
        </w:rPr>
        <w:t xml:space="preserve"> and </w:t>
      </w:r>
      <w:r w:rsidRPr="00A04B37">
        <w:rPr>
          <w:rFonts w:ascii="Arial" w:eastAsia="Calibri" w:hAnsi="Arial" w:cs="Arial"/>
          <w:i/>
          <w:color w:val="000000"/>
          <w:sz w:val="24"/>
          <w:szCs w:val="24"/>
        </w:rPr>
        <w:t>House Bill No. 6112</w:t>
      </w:r>
      <w:r w:rsidRPr="00A04B37">
        <w:rPr>
          <w:rFonts w:ascii="Arial" w:eastAsia="Calibri" w:hAnsi="Arial" w:cs="Arial"/>
          <w:color w:val="000000"/>
          <w:sz w:val="24"/>
          <w:szCs w:val="24"/>
        </w:rPr>
        <w:t xml:space="preserve"> propose a five</w:t>
      </w:r>
      <w:r w:rsidRPr="00A04B37">
        <w:rPr>
          <w:rFonts w:ascii="Cambria Math" w:eastAsia="Calibri" w:hAnsi="Cambria Math" w:cs="Cambria Math"/>
          <w:color w:val="000000"/>
          <w:sz w:val="24"/>
          <w:szCs w:val="24"/>
        </w:rPr>
        <w:t>‑</w:t>
      </w:r>
      <w:r w:rsidRPr="00A04B37">
        <w:rPr>
          <w:rFonts w:ascii="Arial" w:eastAsia="Calibri" w:hAnsi="Arial" w:cs="Arial"/>
          <w:color w:val="000000"/>
          <w:sz w:val="24"/>
          <w:szCs w:val="24"/>
        </w:rPr>
        <w:t>year exemption from customs duties and VAT on the importation of medical devices and equipment intended for research, diagnosis, and treatment. The measure responds to the high cost of imported medical technologies, which has limited access to timely care, particularly in underserved areas. It is consistent with the constitutional mandate to make healthcare accessible and affordable, and with the country’s commitment to Sustainable Development Goal 3 on universal health coverage.</w:t>
      </w:r>
    </w:p>
    <w:p w:rsidR="00A04B37" w:rsidRPr="00A04B37" w:rsidRDefault="00A04B37" w:rsidP="00A04B37">
      <w:pPr>
        <w:spacing w:after="0" w:line="240" w:lineRule="auto"/>
        <w:ind w:firstLine="567"/>
        <w:contextualSpacing/>
        <w:jc w:val="both"/>
        <w:rPr>
          <w:rFonts w:ascii="Arial" w:eastAsia="Calibri" w:hAnsi="Arial" w:cs="Arial"/>
          <w:color w:val="000000"/>
          <w:sz w:val="24"/>
          <w:szCs w:val="24"/>
        </w:rPr>
      </w:pPr>
    </w:p>
    <w:p w:rsidR="00A04B37" w:rsidRPr="00A04B37" w:rsidRDefault="00A04B37" w:rsidP="00A04B37">
      <w:pPr>
        <w:spacing w:after="0" w:line="240" w:lineRule="auto"/>
        <w:ind w:firstLine="567"/>
        <w:contextualSpacing/>
        <w:jc w:val="both"/>
        <w:rPr>
          <w:rFonts w:ascii="Arial" w:eastAsia="Calibri" w:hAnsi="Arial" w:cs="Arial"/>
          <w:color w:val="000000"/>
          <w:sz w:val="24"/>
          <w:szCs w:val="24"/>
        </w:rPr>
      </w:pPr>
      <w:r w:rsidRPr="00A04B37">
        <w:rPr>
          <w:rFonts w:ascii="Arial" w:eastAsia="Calibri" w:hAnsi="Arial" w:cs="Arial"/>
          <w:color w:val="000000"/>
          <w:sz w:val="24"/>
          <w:szCs w:val="24"/>
        </w:rPr>
        <w:t>Data from the Bureau of Internal Revenue indicate that VAT collections on medical devices ranged between ₱2.1 billion and ₱2.8 billion annually from 2020 to 2025. While the exemption could ease costs for hospitals and patients, it likewise entails significant revenue implications. Stakeholders caution that limiting exemptions to importers alone may not reduce costs for hospitals and patients because of VAT input-output mechanics. Unless hospitals and healthcare institutions are also covered, the intended benefit may not be fully realized.</w:t>
      </w:r>
    </w:p>
    <w:p w:rsidR="00A04B37" w:rsidRPr="00A04B37" w:rsidRDefault="00A04B37" w:rsidP="00A04B37">
      <w:pPr>
        <w:spacing w:after="0" w:line="240" w:lineRule="auto"/>
        <w:ind w:firstLine="567"/>
        <w:contextualSpacing/>
        <w:jc w:val="both"/>
        <w:rPr>
          <w:rFonts w:ascii="Arial" w:eastAsia="Calibri" w:hAnsi="Arial" w:cs="Arial"/>
          <w:color w:val="000000"/>
          <w:sz w:val="24"/>
          <w:szCs w:val="24"/>
        </w:rPr>
      </w:pPr>
    </w:p>
    <w:p w:rsidR="00A04B37" w:rsidRPr="00A04B37" w:rsidRDefault="00A04B37" w:rsidP="00A04B37">
      <w:pPr>
        <w:spacing w:after="0" w:line="240" w:lineRule="auto"/>
        <w:ind w:firstLine="567"/>
        <w:contextualSpacing/>
        <w:jc w:val="both"/>
        <w:rPr>
          <w:rFonts w:ascii="Arial" w:eastAsia="Calibri" w:hAnsi="Arial" w:cs="Arial"/>
          <w:color w:val="000000"/>
          <w:sz w:val="24"/>
          <w:szCs w:val="24"/>
        </w:rPr>
      </w:pPr>
      <w:r w:rsidRPr="00A04B37">
        <w:rPr>
          <w:rFonts w:ascii="Arial" w:eastAsia="Calibri" w:hAnsi="Arial" w:cs="Arial"/>
          <w:color w:val="000000"/>
          <w:sz w:val="24"/>
          <w:szCs w:val="24"/>
        </w:rPr>
        <w:t>Several issues may arise in the implementation of the measure:</w:t>
      </w:r>
    </w:p>
    <w:p w:rsidR="00A04B37" w:rsidRPr="00A04B37" w:rsidRDefault="00A04B37" w:rsidP="00A04B37">
      <w:pPr>
        <w:spacing w:after="0" w:line="240" w:lineRule="auto"/>
        <w:ind w:firstLine="567"/>
        <w:contextualSpacing/>
        <w:jc w:val="both"/>
        <w:rPr>
          <w:rFonts w:ascii="Arial" w:eastAsia="Calibri" w:hAnsi="Arial" w:cs="Arial"/>
          <w:color w:val="000000"/>
          <w:sz w:val="24"/>
          <w:szCs w:val="24"/>
        </w:rPr>
      </w:pPr>
    </w:p>
    <w:p w:rsidR="00A04B37" w:rsidRPr="00A04B37" w:rsidRDefault="00A04B37" w:rsidP="00A04B37">
      <w:pPr>
        <w:numPr>
          <w:ilvl w:val="0"/>
          <w:numId w:val="32"/>
        </w:numPr>
        <w:tabs>
          <w:tab w:val="left" w:pos="851"/>
        </w:tabs>
        <w:spacing w:after="0" w:line="240" w:lineRule="auto"/>
        <w:ind w:left="851" w:hanging="284"/>
        <w:contextualSpacing/>
        <w:jc w:val="both"/>
        <w:rPr>
          <w:rFonts w:ascii="Arial" w:eastAsia="Calibri" w:hAnsi="Arial" w:cs="Arial"/>
          <w:color w:val="000000"/>
          <w:sz w:val="24"/>
          <w:szCs w:val="24"/>
        </w:rPr>
      </w:pPr>
      <w:r w:rsidRPr="00A04B37">
        <w:rPr>
          <w:rFonts w:ascii="Arial" w:eastAsia="Calibri" w:hAnsi="Arial" w:cs="Arial"/>
          <w:color w:val="000000"/>
          <w:sz w:val="24"/>
          <w:szCs w:val="24"/>
        </w:rPr>
        <w:t>Misclassification of products;</w:t>
      </w:r>
    </w:p>
    <w:p w:rsidR="00A04B37" w:rsidRPr="00A04B37" w:rsidRDefault="00A04B37" w:rsidP="00A04B37">
      <w:pPr>
        <w:numPr>
          <w:ilvl w:val="0"/>
          <w:numId w:val="32"/>
        </w:numPr>
        <w:tabs>
          <w:tab w:val="left" w:pos="851"/>
        </w:tabs>
        <w:spacing w:after="0" w:line="240" w:lineRule="auto"/>
        <w:ind w:left="851" w:hanging="284"/>
        <w:contextualSpacing/>
        <w:jc w:val="both"/>
        <w:rPr>
          <w:rFonts w:ascii="Arial" w:eastAsia="Calibri" w:hAnsi="Arial" w:cs="Arial"/>
          <w:color w:val="000000"/>
          <w:sz w:val="24"/>
          <w:szCs w:val="24"/>
        </w:rPr>
      </w:pPr>
      <w:r w:rsidRPr="00A04B37">
        <w:rPr>
          <w:rFonts w:ascii="Arial" w:eastAsia="Calibri" w:hAnsi="Arial" w:cs="Arial"/>
          <w:color w:val="000000"/>
          <w:sz w:val="24"/>
          <w:szCs w:val="24"/>
        </w:rPr>
        <w:t>Importation leakages and mixed transactions or bundling; and</w:t>
      </w:r>
    </w:p>
    <w:p w:rsidR="00A04B37" w:rsidRPr="00A04B37" w:rsidRDefault="00A04B37" w:rsidP="00A04B37">
      <w:pPr>
        <w:numPr>
          <w:ilvl w:val="0"/>
          <w:numId w:val="32"/>
        </w:numPr>
        <w:tabs>
          <w:tab w:val="left" w:pos="851"/>
        </w:tabs>
        <w:spacing w:after="0" w:line="240" w:lineRule="auto"/>
        <w:ind w:left="851" w:hanging="284"/>
        <w:contextualSpacing/>
        <w:jc w:val="both"/>
        <w:rPr>
          <w:rFonts w:ascii="Arial" w:eastAsia="Calibri" w:hAnsi="Arial" w:cs="Arial"/>
          <w:color w:val="000000"/>
          <w:sz w:val="24"/>
          <w:szCs w:val="24"/>
        </w:rPr>
      </w:pPr>
      <w:r w:rsidRPr="00A04B37">
        <w:rPr>
          <w:rFonts w:ascii="Arial" w:eastAsia="Calibri" w:hAnsi="Arial" w:cs="Arial"/>
          <w:color w:val="000000"/>
          <w:sz w:val="24"/>
          <w:szCs w:val="24"/>
        </w:rPr>
        <w:t>Possible diversion to non</w:t>
      </w:r>
      <w:r w:rsidRPr="00A04B37">
        <w:rPr>
          <w:rFonts w:ascii="Cambria Math" w:eastAsia="Calibri" w:hAnsi="Cambria Math" w:cs="Cambria Math"/>
          <w:color w:val="000000"/>
          <w:sz w:val="24"/>
          <w:szCs w:val="24"/>
        </w:rPr>
        <w:t>‑</w:t>
      </w:r>
      <w:r w:rsidRPr="00A04B37">
        <w:rPr>
          <w:rFonts w:ascii="Arial" w:eastAsia="Calibri" w:hAnsi="Arial" w:cs="Arial"/>
          <w:color w:val="000000"/>
          <w:sz w:val="24"/>
          <w:szCs w:val="24"/>
        </w:rPr>
        <w:t>medical use.</w:t>
      </w:r>
    </w:p>
    <w:p w:rsidR="00A04B37" w:rsidRPr="00A04B37" w:rsidRDefault="00A04B37" w:rsidP="00A04B37">
      <w:pPr>
        <w:spacing w:after="0" w:line="240" w:lineRule="auto"/>
        <w:contextualSpacing/>
        <w:jc w:val="both"/>
        <w:rPr>
          <w:rFonts w:ascii="Arial" w:eastAsia="Calibri" w:hAnsi="Arial" w:cs="Arial"/>
          <w:color w:val="000000" w:themeColor="text1"/>
          <w:sz w:val="24"/>
          <w:szCs w:val="24"/>
        </w:rPr>
      </w:pPr>
    </w:p>
    <w:p w:rsidR="00A04B37" w:rsidRPr="00A04B37" w:rsidRDefault="00A04B37" w:rsidP="00A04B37">
      <w:pPr>
        <w:spacing w:after="0" w:line="240" w:lineRule="auto"/>
        <w:ind w:firstLine="567"/>
        <w:contextualSpacing/>
        <w:jc w:val="both"/>
        <w:rPr>
          <w:rFonts w:ascii="Arial" w:eastAsia="Calibri" w:hAnsi="Arial" w:cs="Arial"/>
          <w:color w:val="000000" w:themeColor="text1"/>
          <w:sz w:val="24"/>
          <w:szCs w:val="24"/>
        </w:rPr>
      </w:pPr>
      <w:r w:rsidRPr="00A04B37">
        <w:rPr>
          <w:rFonts w:ascii="Arial" w:eastAsia="Calibri" w:hAnsi="Arial" w:cs="Arial"/>
          <w:color w:val="000000" w:themeColor="text1"/>
          <w:sz w:val="24"/>
          <w:szCs w:val="24"/>
        </w:rPr>
        <w:t>Also, the term “medical device” can be subjected to different interpretations.  Hence, further study and clarification is suggested.</w:t>
      </w:r>
    </w:p>
    <w:p w:rsidR="00A04B37" w:rsidRPr="00A04B37" w:rsidRDefault="00A04B37" w:rsidP="00A04B37">
      <w:pPr>
        <w:spacing w:after="0" w:line="240" w:lineRule="auto"/>
        <w:contextualSpacing/>
        <w:jc w:val="both"/>
        <w:rPr>
          <w:rFonts w:ascii="Arial" w:eastAsia="Calibri" w:hAnsi="Arial" w:cs="Arial"/>
          <w:color w:val="000000" w:themeColor="text1"/>
          <w:sz w:val="24"/>
          <w:szCs w:val="24"/>
        </w:rPr>
      </w:pPr>
    </w:p>
    <w:bookmarkEnd w:id="15"/>
    <w:p w:rsidR="00A04B37" w:rsidRPr="00A04B37" w:rsidRDefault="00A04B37" w:rsidP="00A04B37">
      <w:pPr>
        <w:spacing w:after="0" w:line="240" w:lineRule="auto"/>
        <w:ind w:firstLine="567"/>
        <w:jc w:val="both"/>
        <w:rPr>
          <w:rFonts w:ascii="Arial" w:eastAsia="Calibri" w:hAnsi="Arial" w:cs="Arial"/>
          <w:color w:val="000000"/>
          <w:sz w:val="24"/>
          <w:szCs w:val="24"/>
        </w:rPr>
      </w:pPr>
      <w:r w:rsidRPr="00A04B37">
        <w:rPr>
          <w:rFonts w:ascii="Arial" w:eastAsia="Calibri" w:hAnsi="Arial" w:cs="Arial"/>
          <w:color w:val="000000"/>
          <w:sz w:val="24"/>
          <w:szCs w:val="24"/>
        </w:rPr>
        <w:t>It is respectfully recommended that the Senate Committee on Ways and Means, subject to the availability of the Honorable Chair, convene a public hearing on the proposal. This should involve local government units, industry players, civil society, and health experts to ensure that public health priorities and fiscal objectives are properly aligned. A closer study may also be undertaken to analyze, among others, the potential revenue loss and the national government programs that may be adversely affected by the revenue to be foregone.</w:t>
      </w:r>
    </w:p>
    <w:p w:rsidR="008F6740" w:rsidRDefault="008F6740"/>
    <w:sectPr w:rsidR="008F6740" w:rsidSect="00A04B3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BE4" w:rsidRDefault="00EE7BE4" w:rsidP="00A04B37">
      <w:pPr>
        <w:spacing w:after="0" w:line="240" w:lineRule="auto"/>
      </w:pPr>
      <w:r>
        <w:separator/>
      </w:r>
    </w:p>
  </w:endnote>
  <w:endnote w:type="continuationSeparator" w:id="0">
    <w:p w:rsidR="00EE7BE4" w:rsidRDefault="00EE7BE4" w:rsidP="00A04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BE4" w:rsidRDefault="00EE7BE4" w:rsidP="00A04B37">
      <w:pPr>
        <w:spacing w:after="0" w:line="240" w:lineRule="auto"/>
      </w:pPr>
      <w:r>
        <w:separator/>
      </w:r>
    </w:p>
  </w:footnote>
  <w:footnote w:type="continuationSeparator" w:id="0">
    <w:p w:rsidR="00EE7BE4" w:rsidRDefault="00EE7BE4" w:rsidP="00A04B37">
      <w:pPr>
        <w:spacing w:after="0" w:line="240" w:lineRule="auto"/>
      </w:pPr>
      <w:r>
        <w:continuationSeparator/>
      </w:r>
    </w:p>
  </w:footnote>
  <w:footnote w:id="1">
    <w:p w:rsidR="00A04B37" w:rsidRPr="00447A04" w:rsidRDefault="00A04B37" w:rsidP="00A04B37">
      <w:pPr>
        <w:pStyle w:val="FootnoteText"/>
        <w:spacing w:after="0" w:line="240" w:lineRule="auto"/>
        <w:rPr>
          <w:lang w:val="en-US"/>
        </w:rPr>
      </w:pPr>
      <w:r>
        <w:rPr>
          <w:rStyle w:val="FootnoteReference"/>
        </w:rPr>
        <w:footnoteRef/>
      </w:r>
      <w:r>
        <w:t xml:space="preserve"> </w:t>
      </w:r>
      <w:hyperlink r:id="rId1" w:history="1">
        <w:r w:rsidRPr="00FE6AC5">
          <w:rPr>
            <w:rStyle w:val="Hyperlink"/>
          </w:rPr>
          <w:t>https://globalgoals.org/goals/3-good-health-and-well-being/</w:t>
        </w:r>
      </w:hyperlink>
      <w:r>
        <w:t>.  Accessed on 03 June 2026.</w:t>
      </w:r>
    </w:p>
  </w:footnote>
  <w:footnote w:id="2">
    <w:p w:rsidR="00A04B37" w:rsidRPr="00777371" w:rsidRDefault="00A04B37" w:rsidP="00A04B37">
      <w:pPr>
        <w:pStyle w:val="FootnoteText"/>
        <w:jc w:val="both"/>
        <w:rPr>
          <w:lang w:val="en-US"/>
        </w:rPr>
      </w:pPr>
      <w:r>
        <w:rPr>
          <w:rStyle w:val="FootnoteReference"/>
        </w:rPr>
        <w:footnoteRef/>
      </w:r>
      <w:r>
        <w:t xml:space="preserve"> </w:t>
      </w:r>
      <w:r>
        <w:rPr>
          <w:lang w:val="en-US"/>
        </w:rPr>
        <w:t xml:space="preserve">Executive Order No. 20, 27 April 2017, </w:t>
      </w:r>
      <w:r w:rsidRPr="00777371">
        <w:rPr>
          <w:lang w:val="en-US"/>
        </w:rPr>
        <w:t>Modifying the Nomenclature and Rates of Import Duty on Various Products under Section 1611 of Republic Act No. 10863 Otherwise Known as the Customs Modernization and Tariff Act</w:t>
      </w:r>
      <w:r>
        <w:rPr>
          <w:lang w:val="en-US"/>
        </w:rPr>
        <w:t xml:space="preserve">, </w:t>
      </w:r>
      <w:hyperlink r:id="rId2" w:history="1">
        <w:r w:rsidRPr="0025247F">
          <w:rPr>
            <w:rStyle w:val="Hyperlink"/>
            <w:lang w:val="en-US"/>
          </w:rPr>
          <w:t>https://lawphil.net/executive/execord/eo2017/eo_20_2017.html</w:t>
        </w:r>
      </w:hyperlink>
      <w:r>
        <w:rPr>
          <w:lang w:val="en-US"/>
        </w:rPr>
        <w:t>. Accessed on 15 June 2026.</w:t>
      </w:r>
    </w:p>
  </w:footnote>
  <w:footnote w:id="3">
    <w:p w:rsidR="00A04B37" w:rsidRPr="004F47C0" w:rsidRDefault="00A04B37" w:rsidP="00A04B37">
      <w:pPr>
        <w:pStyle w:val="FootnoteText"/>
        <w:spacing w:after="0" w:line="240" w:lineRule="auto"/>
        <w:rPr>
          <w:lang w:val="en-US"/>
        </w:rPr>
      </w:pPr>
      <w:r>
        <w:rPr>
          <w:rStyle w:val="FootnoteReference"/>
        </w:rPr>
        <w:footnoteRef/>
      </w:r>
      <w:r>
        <w:t xml:space="preserve"> </w:t>
      </w:r>
      <w:r>
        <w:rPr>
          <w:lang w:val="en-US"/>
        </w:rPr>
        <w:t>DOH Submission, 29 October 2025.</w:t>
      </w:r>
    </w:p>
  </w:footnote>
  <w:footnote w:id="4">
    <w:p w:rsidR="00A04B37" w:rsidRPr="00380FC2" w:rsidRDefault="00A04B37" w:rsidP="00A04B37">
      <w:pPr>
        <w:pStyle w:val="FootnoteText"/>
        <w:tabs>
          <w:tab w:val="left" w:pos="142"/>
        </w:tabs>
        <w:spacing w:after="0" w:line="240" w:lineRule="auto"/>
        <w:ind w:left="142" w:hanging="142"/>
        <w:jc w:val="both"/>
        <w:rPr>
          <w:lang w:val="en-US"/>
        </w:rPr>
      </w:pPr>
      <w:r>
        <w:rPr>
          <w:rStyle w:val="FootnoteReference"/>
        </w:rPr>
        <w:footnoteRef/>
      </w:r>
      <w:r>
        <w:rPr>
          <w:b/>
        </w:rPr>
        <w:t xml:space="preserve"> </w:t>
      </w:r>
      <w:r w:rsidRPr="000A1096">
        <w:rPr>
          <w:b/>
        </w:rPr>
        <w:t>RMC 7-2024 –</w:t>
      </w:r>
      <w:r>
        <w:rPr>
          <w:b/>
        </w:rPr>
        <w:t xml:space="preserve"> </w:t>
      </w:r>
      <w:r>
        <w:rPr>
          <w:lang w:val="en-US"/>
        </w:rPr>
        <w:t>This Circular specifies that COVID-19 medical devices, drugs, and vaccines are no longer VAT-exempt since January 1, 2024.</w:t>
      </w:r>
    </w:p>
  </w:footnote>
  <w:footnote w:id="5">
    <w:p w:rsidR="00A04B37" w:rsidRDefault="00A04B37" w:rsidP="00A04B37">
      <w:pPr>
        <w:pStyle w:val="FootnoteText"/>
        <w:tabs>
          <w:tab w:val="left" w:pos="142"/>
        </w:tabs>
        <w:spacing w:after="0" w:line="240" w:lineRule="auto"/>
        <w:ind w:left="142" w:hanging="142"/>
        <w:jc w:val="both"/>
      </w:pPr>
      <w:r>
        <w:rPr>
          <w:rStyle w:val="FootnoteReference"/>
        </w:rPr>
        <w:footnoteRef/>
      </w:r>
      <w:r>
        <w:rPr>
          <w:b/>
        </w:rPr>
        <w:t xml:space="preserve"> BIR </w:t>
      </w:r>
      <w:r w:rsidRPr="000A1096">
        <w:rPr>
          <w:b/>
        </w:rPr>
        <w:t>RMC 66-2022 –</w:t>
      </w:r>
      <w:r>
        <w:rPr>
          <w:b/>
        </w:rPr>
        <w:t xml:space="preserve"> </w:t>
      </w:r>
      <w:r w:rsidRPr="00547423">
        <w:t xml:space="preserve">This Circular specifies that </w:t>
      </w:r>
      <w:r>
        <w:t>the VAT-Exemption shall only be applied to medical devices under these conditions:</w:t>
      </w:r>
    </w:p>
    <w:p w:rsidR="00A04B37" w:rsidRDefault="00A04B37" w:rsidP="00A04B37">
      <w:pPr>
        <w:pStyle w:val="FootnoteText"/>
        <w:numPr>
          <w:ilvl w:val="0"/>
          <w:numId w:val="12"/>
        </w:numPr>
        <w:tabs>
          <w:tab w:val="left" w:pos="426"/>
        </w:tabs>
        <w:spacing w:after="0" w:line="240" w:lineRule="auto"/>
        <w:ind w:left="426" w:hanging="284"/>
        <w:jc w:val="both"/>
      </w:pPr>
      <w:r>
        <w:t xml:space="preserve"> The articles must be imported and sold during the period of State of National Emergency arising from the Coronavirus disease (COVID-19) situation or during the effectivity of RA 11469.</w:t>
      </w:r>
    </w:p>
    <w:p w:rsidR="00A04B37" w:rsidRPr="004929C9" w:rsidRDefault="00A04B37" w:rsidP="00A04B37">
      <w:pPr>
        <w:pStyle w:val="FootnoteText"/>
        <w:numPr>
          <w:ilvl w:val="0"/>
          <w:numId w:val="12"/>
        </w:numPr>
        <w:tabs>
          <w:tab w:val="left" w:pos="426"/>
        </w:tabs>
        <w:spacing w:after="0" w:line="240" w:lineRule="auto"/>
        <w:ind w:left="426" w:hanging="284"/>
        <w:jc w:val="both"/>
        <w:rPr>
          <w:lang w:val="en-US"/>
        </w:rPr>
      </w:pPr>
      <w:r>
        <w:t xml:space="preserve"> The imported health equipment and supplies must be critical or needed to address the COVID-19 Public Health Emergency as identified by the Department of Health, including goods enumerated under Section 4(K)(1) of the Act.</w:t>
      </w:r>
    </w:p>
  </w:footnote>
  <w:footnote w:id="6">
    <w:p w:rsidR="00A04B37" w:rsidRPr="001409ED" w:rsidRDefault="00A04B37" w:rsidP="00A04B37">
      <w:pPr>
        <w:pStyle w:val="FootnoteText"/>
        <w:spacing w:after="0" w:line="240" w:lineRule="auto"/>
        <w:ind w:left="142" w:hanging="142"/>
        <w:jc w:val="both"/>
      </w:pPr>
      <w:r>
        <w:rPr>
          <w:rStyle w:val="FootnoteReference"/>
        </w:rPr>
        <w:footnoteRef/>
      </w:r>
      <w:r>
        <w:t xml:space="preserve"> </w:t>
      </w:r>
      <w:r w:rsidRPr="002F3E25">
        <w:rPr>
          <w:b/>
        </w:rPr>
        <w:t xml:space="preserve">BIR </w:t>
      </w:r>
      <w:r w:rsidRPr="001409ED">
        <w:rPr>
          <w:b/>
        </w:rPr>
        <w:t xml:space="preserve">RMC </w:t>
      </w:r>
      <w:r>
        <w:rPr>
          <w:b/>
        </w:rPr>
        <w:t>115</w:t>
      </w:r>
      <w:r w:rsidRPr="001409ED">
        <w:rPr>
          <w:b/>
        </w:rPr>
        <w:t>-2021 –</w:t>
      </w:r>
      <w:r w:rsidRPr="001409ED">
        <w:t>This Circular endorses the updated list of VAT-exempt COVID-19 medical devices and supplies under Sec. 5, 109-1, Item (aa), (ii) “All drugs, vaccine and medical devices specifically prescribed and directly used for the Treatment of COVID-19;” stipulated in RA 11534 otherwise known as CREATE Act.</w:t>
      </w:r>
    </w:p>
  </w:footnote>
  <w:footnote w:id="7">
    <w:p w:rsidR="00A04B37" w:rsidRPr="004929C9" w:rsidRDefault="00A04B37" w:rsidP="00A04B37">
      <w:pPr>
        <w:pStyle w:val="FootnoteText"/>
        <w:tabs>
          <w:tab w:val="left" w:pos="142"/>
        </w:tabs>
        <w:spacing w:after="0" w:line="240" w:lineRule="auto"/>
        <w:ind w:left="142" w:hanging="142"/>
        <w:jc w:val="both"/>
        <w:rPr>
          <w:lang w:val="en-US"/>
        </w:rPr>
      </w:pPr>
      <w:r>
        <w:rPr>
          <w:rStyle w:val="FootnoteReference"/>
        </w:rPr>
        <w:footnoteRef/>
      </w:r>
      <w:r>
        <w:rPr>
          <w:b/>
        </w:rPr>
        <w:t xml:space="preserve"> </w:t>
      </w:r>
      <w:bookmarkStart w:id="10" w:name="_Hlk213776337"/>
      <w:r>
        <w:rPr>
          <w:b/>
        </w:rPr>
        <w:t xml:space="preserve">BIR </w:t>
      </w:r>
      <w:r w:rsidRPr="000A1096">
        <w:rPr>
          <w:b/>
        </w:rPr>
        <w:t xml:space="preserve">RMC </w:t>
      </w:r>
      <w:r>
        <w:rPr>
          <w:b/>
        </w:rPr>
        <w:t>81-2021</w:t>
      </w:r>
      <w:r w:rsidRPr="000A1096">
        <w:rPr>
          <w:b/>
        </w:rPr>
        <w:t xml:space="preserve"> –</w:t>
      </w:r>
      <w:bookmarkEnd w:id="10"/>
      <w:r>
        <w:t>The Circular publishes the consolidated list of VAT-exempt products and has become the controlling list insofar as the VAT exemption of items under Sections 109(1)(AA) and 109(1)(BB) of the Tax Code of 1997, as amended, is concerned.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B55AF"/>
    <w:multiLevelType w:val="hybridMultilevel"/>
    <w:tmpl w:val="F5B487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7D0592"/>
    <w:multiLevelType w:val="hybridMultilevel"/>
    <w:tmpl w:val="457E4470"/>
    <w:lvl w:ilvl="0" w:tplc="3266BE9E">
      <w:start w:val="1"/>
      <w:numFmt w:val="decimal"/>
      <w:lvlText w:val="%1)"/>
      <w:lvlJc w:val="left"/>
      <w:pPr>
        <w:ind w:left="987" w:hanging="42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 w15:restartNumberingAfterBreak="0">
    <w:nsid w:val="08E60BED"/>
    <w:multiLevelType w:val="hybridMultilevel"/>
    <w:tmpl w:val="C9184414"/>
    <w:lvl w:ilvl="0" w:tplc="64AEC1D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AD94870"/>
    <w:multiLevelType w:val="hybridMultilevel"/>
    <w:tmpl w:val="462A2FFC"/>
    <w:lvl w:ilvl="0" w:tplc="7A7AF8BE">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CB64C8D"/>
    <w:multiLevelType w:val="hybridMultilevel"/>
    <w:tmpl w:val="02363D6E"/>
    <w:lvl w:ilvl="0" w:tplc="3409000B">
      <w:start w:val="1"/>
      <w:numFmt w:val="bullet"/>
      <w:lvlText w:val=""/>
      <w:lvlJc w:val="left"/>
      <w:pPr>
        <w:ind w:left="1080" w:hanging="360"/>
      </w:pPr>
      <w:rPr>
        <w:rFonts w:ascii="Wingdings" w:hAnsi="Wingdings" w:hint="default"/>
        <w:b w:val="0"/>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D4672CA"/>
    <w:multiLevelType w:val="hybridMultilevel"/>
    <w:tmpl w:val="8F4035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0D20811"/>
    <w:multiLevelType w:val="hybridMultilevel"/>
    <w:tmpl w:val="2A381910"/>
    <w:lvl w:ilvl="0" w:tplc="24B0FC88">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4D96FDD"/>
    <w:multiLevelType w:val="hybridMultilevel"/>
    <w:tmpl w:val="A24A7BB2"/>
    <w:lvl w:ilvl="0" w:tplc="57360522">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7664B61"/>
    <w:multiLevelType w:val="hybridMultilevel"/>
    <w:tmpl w:val="2520A540"/>
    <w:lvl w:ilvl="0" w:tplc="24B0FC88">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9EC3034"/>
    <w:multiLevelType w:val="hybridMultilevel"/>
    <w:tmpl w:val="0CF0BB20"/>
    <w:lvl w:ilvl="0" w:tplc="24B0FC88">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BAE2253"/>
    <w:multiLevelType w:val="hybridMultilevel"/>
    <w:tmpl w:val="1E00419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1207946"/>
    <w:multiLevelType w:val="hybridMultilevel"/>
    <w:tmpl w:val="A196A4FA"/>
    <w:lvl w:ilvl="0" w:tplc="29B2090A">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1AC6D1E"/>
    <w:multiLevelType w:val="hybridMultilevel"/>
    <w:tmpl w:val="AD565B14"/>
    <w:lvl w:ilvl="0" w:tplc="24B0FC88">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880633D"/>
    <w:multiLevelType w:val="hybridMultilevel"/>
    <w:tmpl w:val="CCB039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C9D2FF0"/>
    <w:multiLevelType w:val="hybridMultilevel"/>
    <w:tmpl w:val="9FEC8EFC"/>
    <w:lvl w:ilvl="0" w:tplc="29B2090A">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FD83C39"/>
    <w:multiLevelType w:val="hybridMultilevel"/>
    <w:tmpl w:val="17A43E6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56364F9"/>
    <w:multiLevelType w:val="hybridMultilevel"/>
    <w:tmpl w:val="1D9ADF68"/>
    <w:lvl w:ilvl="0" w:tplc="5E52E5A0">
      <w:start w:val="1"/>
      <w:numFmt w:val="upperRoman"/>
      <w:lvlText w:val="%1."/>
      <w:lvlJc w:val="left"/>
      <w:pPr>
        <w:ind w:left="1145"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A07866"/>
    <w:multiLevelType w:val="hybridMultilevel"/>
    <w:tmpl w:val="69647D8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5EE3006"/>
    <w:multiLevelType w:val="hybridMultilevel"/>
    <w:tmpl w:val="1E3C2C62"/>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39F10B52"/>
    <w:multiLevelType w:val="hybridMultilevel"/>
    <w:tmpl w:val="EA5ED1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9F53846"/>
    <w:multiLevelType w:val="hybridMultilevel"/>
    <w:tmpl w:val="121C2474"/>
    <w:lvl w:ilvl="0" w:tplc="F8902FEA">
      <w:start w:val="4"/>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9F64BD6"/>
    <w:multiLevelType w:val="multilevel"/>
    <w:tmpl w:val="EC6203B2"/>
    <w:lvl w:ilvl="0">
      <w:start w:val="1"/>
      <w:numFmt w:val="decimal"/>
      <w:lvlText w:val="%1."/>
      <w:lvlJc w:val="left"/>
      <w:pPr>
        <w:tabs>
          <w:tab w:val="num" w:pos="720"/>
        </w:tabs>
        <w:ind w:left="720" w:hanging="360"/>
      </w:pPr>
      <w:rPr>
        <w:i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B44E5"/>
    <w:multiLevelType w:val="hybridMultilevel"/>
    <w:tmpl w:val="B47C691E"/>
    <w:lvl w:ilvl="0" w:tplc="24B0FC88">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41513F2"/>
    <w:multiLevelType w:val="hybridMultilevel"/>
    <w:tmpl w:val="BB901A6E"/>
    <w:lvl w:ilvl="0" w:tplc="5FD603C8">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7FF4DF5"/>
    <w:multiLevelType w:val="hybridMultilevel"/>
    <w:tmpl w:val="D2520F46"/>
    <w:lvl w:ilvl="0" w:tplc="E22C6B8E">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C081CFF"/>
    <w:multiLevelType w:val="hybridMultilevel"/>
    <w:tmpl w:val="24401E04"/>
    <w:lvl w:ilvl="0" w:tplc="A968A9EA">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FA66A5B"/>
    <w:multiLevelType w:val="hybridMultilevel"/>
    <w:tmpl w:val="EEDC1DAE"/>
    <w:lvl w:ilvl="0" w:tplc="7B6EC680">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5E85E03"/>
    <w:multiLevelType w:val="hybridMultilevel"/>
    <w:tmpl w:val="62BE8FF8"/>
    <w:lvl w:ilvl="0" w:tplc="A4C4858A">
      <w:start w:val="1"/>
      <w:numFmt w:val="upperLetter"/>
      <w:lvlText w:val="%1."/>
      <w:lvlJc w:val="left"/>
      <w:pPr>
        <w:ind w:left="144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4CD5AED"/>
    <w:multiLevelType w:val="hybridMultilevel"/>
    <w:tmpl w:val="3F44720A"/>
    <w:lvl w:ilvl="0" w:tplc="24B0FC88">
      <w:start w:val="1"/>
      <w:numFmt w:val="bullet"/>
      <w:lvlText w:val=""/>
      <w:lvlJc w:val="left"/>
      <w:pPr>
        <w:ind w:left="1287" w:hanging="360"/>
      </w:pPr>
      <w:rPr>
        <w:rFonts w:ascii="Symbol" w:hAnsi="Symbol" w:hint="default"/>
        <w:sz w:val="16"/>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abstractNum w:abstractNumId="29" w15:restartNumberingAfterBreak="0">
    <w:nsid w:val="78842DDA"/>
    <w:multiLevelType w:val="hybridMultilevel"/>
    <w:tmpl w:val="80D85E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7F6340F3"/>
    <w:multiLevelType w:val="hybridMultilevel"/>
    <w:tmpl w:val="E7CC0164"/>
    <w:lvl w:ilvl="0" w:tplc="4A3C4344">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F7618A9"/>
    <w:multiLevelType w:val="hybridMultilevel"/>
    <w:tmpl w:val="6E403010"/>
    <w:lvl w:ilvl="0" w:tplc="788C079A">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6"/>
  </w:num>
  <w:num w:numId="2">
    <w:abstractNumId w:val="27"/>
  </w:num>
  <w:num w:numId="3">
    <w:abstractNumId w:val="10"/>
  </w:num>
  <w:num w:numId="4">
    <w:abstractNumId w:val="1"/>
  </w:num>
  <w:num w:numId="5">
    <w:abstractNumId w:val="2"/>
  </w:num>
  <w:num w:numId="6">
    <w:abstractNumId w:val="19"/>
  </w:num>
  <w:num w:numId="7">
    <w:abstractNumId w:val="4"/>
  </w:num>
  <w:num w:numId="8">
    <w:abstractNumId w:val="20"/>
  </w:num>
  <w:num w:numId="9">
    <w:abstractNumId w:val="15"/>
  </w:num>
  <w:num w:numId="10">
    <w:abstractNumId w:val="18"/>
  </w:num>
  <w:num w:numId="11">
    <w:abstractNumId w:val="13"/>
  </w:num>
  <w:num w:numId="12">
    <w:abstractNumId w:val="5"/>
  </w:num>
  <w:num w:numId="13">
    <w:abstractNumId w:val="29"/>
  </w:num>
  <w:num w:numId="14">
    <w:abstractNumId w:val="3"/>
  </w:num>
  <w:num w:numId="15">
    <w:abstractNumId w:val="23"/>
  </w:num>
  <w:num w:numId="16">
    <w:abstractNumId w:val="11"/>
  </w:num>
  <w:num w:numId="17">
    <w:abstractNumId w:val="14"/>
  </w:num>
  <w:num w:numId="18">
    <w:abstractNumId w:val="25"/>
  </w:num>
  <w:num w:numId="19">
    <w:abstractNumId w:val="30"/>
  </w:num>
  <w:num w:numId="20">
    <w:abstractNumId w:val="31"/>
  </w:num>
  <w:num w:numId="21">
    <w:abstractNumId w:val="7"/>
  </w:num>
  <w:num w:numId="22">
    <w:abstractNumId w:val="24"/>
  </w:num>
  <w:num w:numId="23">
    <w:abstractNumId w:val="26"/>
  </w:num>
  <w:num w:numId="24">
    <w:abstractNumId w:val="28"/>
  </w:num>
  <w:num w:numId="25">
    <w:abstractNumId w:val="21"/>
  </w:num>
  <w:num w:numId="26">
    <w:abstractNumId w:val="6"/>
  </w:num>
  <w:num w:numId="27">
    <w:abstractNumId w:val="9"/>
  </w:num>
  <w:num w:numId="28">
    <w:abstractNumId w:val="12"/>
  </w:num>
  <w:num w:numId="29">
    <w:abstractNumId w:val="22"/>
  </w:num>
  <w:num w:numId="30">
    <w:abstractNumId w:val="8"/>
  </w:num>
  <w:num w:numId="31">
    <w:abstractNumId w:val="0"/>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37"/>
    <w:rsid w:val="008F6740"/>
    <w:rsid w:val="00A04B37"/>
    <w:rsid w:val="00EE7B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BFFC69-6B32-4F7C-8D04-BBAA1D59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A04B37"/>
  </w:style>
  <w:style w:type="paragraph" w:styleId="ListParagraph">
    <w:name w:val="List Paragraph"/>
    <w:basedOn w:val="Normal"/>
    <w:uiPriority w:val="34"/>
    <w:qFormat/>
    <w:rsid w:val="00A04B37"/>
    <w:pPr>
      <w:ind w:left="720"/>
      <w:contextualSpacing/>
    </w:pPr>
    <w:rPr>
      <w:rFonts w:ascii="Calibri" w:eastAsia="Calibri" w:hAnsi="Calibri" w:cs="Times New Roman"/>
    </w:rPr>
  </w:style>
  <w:style w:type="paragraph" w:styleId="FootnoteText">
    <w:name w:val="footnote text"/>
    <w:basedOn w:val="Normal"/>
    <w:link w:val="FootnoteTextChar"/>
    <w:uiPriority w:val="99"/>
    <w:unhideWhenUsed/>
    <w:rsid w:val="00A04B37"/>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rsid w:val="00A04B37"/>
    <w:rPr>
      <w:rFonts w:ascii="Calibri" w:eastAsia="Calibri" w:hAnsi="Calibri" w:cs="Times New Roman"/>
      <w:sz w:val="20"/>
      <w:szCs w:val="20"/>
    </w:rPr>
  </w:style>
  <w:style w:type="character" w:styleId="FootnoteReference">
    <w:name w:val="footnote reference"/>
    <w:uiPriority w:val="99"/>
    <w:semiHidden/>
    <w:unhideWhenUsed/>
    <w:rsid w:val="00A04B37"/>
    <w:rPr>
      <w:vertAlign w:val="superscript"/>
    </w:rPr>
  </w:style>
  <w:style w:type="character" w:styleId="Hyperlink">
    <w:name w:val="Hyperlink"/>
    <w:uiPriority w:val="99"/>
    <w:unhideWhenUsed/>
    <w:rsid w:val="00A04B37"/>
    <w:rPr>
      <w:color w:val="0563C1"/>
      <w:u w:val="single"/>
    </w:rPr>
  </w:style>
  <w:style w:type="paragraph" w:styleId="NormalWeb">
    <w:name w:val="Normal (Web)"/>
    <w:basedOn w:val="Normal"/>
    <w:uiPriority w:val="99"/>
    <w:unhideWhenUsed/>
    <w:rsid w:val="00A04B3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CommentReference">
    <w:name w:val="annotation reference"/>
    <w:uiPriority w:val="99"/>
    <w:semiHidden/>
    <w:unhideWhenUsed/>
    <w:rsid w:val="00A04B37"/>
    <w:rPr>
      <w:sz w:val="16"/>
      <w:szCs w:val="16"/>
    </w:rPr>
  </w:style>
  <w:style w:type="paragraph" w:styleId="CommentText">
    <w:name w:val="annotation text"/>
    <w:basedOn w:val="Normal"/>
    <w:link w:val="CommentTextChar"/>
    <w:uiPriority w:val="99"/>
    <w:semiHidden/>
    <w:unhideWhenUsed/>
    <w:rsid w:val="00A04B37"/>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A04B37"/>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A04B37"/>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A04B37"/>
    <w:rPr>
      <w:rFonts w:ascii="Segoe UI" w:eastAsia="Calibri" w:hAnsi="Segoe UI" w:cs="Segoe UI"/>
      <w:sz w:val="18"/>
      <w:szCs w:val="18"/>
    </w:rPr>
  </w:style>
  <w:style w:type="table" w:styleId="TableGrid">
    <w:name w:val="Table Grid"/>
    <w:basedOn w:val="TableNormal"/>
    <w:rsid w:val="00A04B37"/>
    <w:pPr>
      <w:spacing w:after="0" w:line="240" w:lineRule="auto"/>
    </w:pPr>
    <w:rPr>
      <w:rFonts w:ascii="Calibri" w:eastAsia="Calibri"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A04B37"/>
    <w:rPr>
      <w:i/>
      <w:iCs/>
    </w:rPr>
  </w:style>
  <w:style w:type="paragraph" w:styleId="CommentSubject">
    <w:name w:val="annotation subject"/>
    <w:basedOn w:val="CommentText"/>
    <w:next w:val="CommentText"/>
    <w:link w:val="CommentSubjectChar"/>
    <w:uiPriority w:val="99"/>
    <w:semiHidden/>
    <w:unhideWhenUsed/>
    <w:rsid w:val="00A04B37"/>
    <w:pPr>
      <w:spacing w:line="259" w:lineRule="auto"/>
    </w:pPr>
    <w:rPr>
      <w:b/>
      <w:bCs/>
    </w:rPr>
  </w:style>
  <w:style w:type="character" w:customStyle="1" w:styleId="CommentSubjectChar">
    <w:name w:val="Comment Subject Char"/>
    <w:basedOn w:val="CommentTextChar"/>
    <w:link w:val="CommentSubject"/>
    <w:uiPriority w:val="99"/>
    <w:semiHidden/>
    <w:rsid w:val="00A04B37"/>
    <w:rPr>
      <w:rFonts w:ascii="Calibri" w:eastAsia="Calibri" w:hAnsi="Calibri" w:cs="Times New Roman"/>
      <w:b/>
      <w:bCs/>
      <w:sz w:val="20"/>
      <w:szCs w:val="20"/>
    </w:rPr>
  </w:style>
  <w:style w:type="paragraph" w:styleId="Header">
    <w:name w:val="header"/>
    <w:basedOn w:val="Normal"/>
    <w:link w:val="HeaderChar"/>
    <w:uiPriority w:val="99"/>
    <w:unhideWhenUsed/>
    <w:rsid w:val="00A04B37"/>
    <w:pPr>
      <w:tabs>
        <w:tab w:val="center" w:pos="4680"/>
        <w:tab w:val="right" w:pos="9360"/>
      </w:tabs>
    </w:pPr>
    <w:rPr>
      <w:rFonts w:ascii="Calibri" w:eastAsia="Calibri" w:hAnsi="Calibri" w:cs="Times New Roman"/>
    </w:rPr>
  </w:style>
  <w:style w:type="character" w:customStyle="1" w:styleId="HeaderChar">
    <w:name w:val="Header Char"/>
    <w:basedOn w:val="DefaultParagraphFont"/>
    <w:link w:val="Header"/>
    <w:uiPriority w:val="99"/>
    <w:rsid w:val="00A04B37"/>
    <w:rPr>
      <w:rFonts w:ascii="Calibri" w:eastAsia="Calibri" w:hAnsi="Calibri" w:cs="Times New Roman"/>
    </w:rPr>
  </w:style>
  <w:style w:type="paragraph" w:styleId="Footer">
    <w:name w:val="footer"/>
    <w:basedOn w:val="Normal"/>
    <w:link w:val="FooterChar"/>
    <w:uiPriority w:val="99"/>
    <w:unhideWhenUsed/>
    <w:rsid w:val="00A04B37"/>
    <w:pPr>
      <w:tabs>
        <w:tab w:val="center" w:pos="4680"/>
        <w:tab w:val="right" w:pos="9360"/>
      </w:tabs>
    </w:pPr>
    <w:rPr>
      <w:rFonts w:ascii="Calibri" w:eastAsia="Calibri" w:hAnsi="Calibri" w:cs="Times New Roman"/>
    </w:rPr>
  </w:style>
  <w:style w:type="character" w:customStyle="1" w:styleId="FooterChar">
    <w:name w:val="Footer Char"/>
    <w:basedOn w:val="DefaultParagraphFont"/>
    <w:link w:val="Footer"/>
    <w:uiPriority w:val="99"/>
    <w:rsid w:val="00A04B37"/>
    <w:rPr>
      <w:rFonts w:ascii="Calibri" w:eastAsia="Calibri" w:hAnsi="Calibri" w:cs="Times New Roman"/>
    </w:rPr>
  </w:style>
  <w:style w:type="table" w:customStyle="1" w:styleId="TableGrid1">
    <w:name w:val="Table Grid1"/>
    <w:basedOn w:val="TableNormal"/>
    <w:next w:val="TableGrid"/>
    <w:uiPriority w:val="39"/>
    <w:rsid w:val="00A04B3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A04B37"/>
    <w:rPr>
      <w:b/>
      <w:bCs/>
    </w:rPr>
  </w:style>
  <w:style w:type="paragraph" w:customStyle="1" w:styleId="my-2">
    <w:name w:val="my-2"/>
    <w:basedOn w:val="Normal"/>
    <w:rsid w:val="00A04B37"/>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EndnoteText">
    <w:name w:val="endnote text"/>
    <w:basedOn w:val="Normal"/>
    <w:link w:val="EndnoteTextChar"/>
    <w:uiPriority w:val="99"/>
    <w:semiHidden/>
    <w:unhideWhenUsed/>
    <w:rsid w:val="00A04B37"/>
    <w:rPr>
      <w:rFonts w:ascii="Calibri" w:eastAsia="Calibri" w:hAnsi="Calibri" w:cs="Times New Roman"/>
      <w:sz w:val="20"/>
      <w:szCs w:val="20"/>
    </w:rPr>
  </w:style>
  <w:style w:type="character" w:customStyle="1" w:styleId="EndnoteTextChar">
    <w:name w:val="Endnote Text Char"/>
    <w:basedOn w:val="DefaultParagraphFont"/>
    <w:link w:val="EndnoteText"/>
    <w:uiPriority w:val="99"/>
    <w:semiHidden/>
    <w:rsid w:val="00A04B37"/>
    <w:rPr>
      <w:rFonts w:ascii="Calibri" w:eastAsia="Calibri" w:hAnsi="Calibri" w:cs="Times New Roman"/>
      <w:sz w:val="20"/>
      <w:szCs w:val="20"/>
    </w:rPr>
  </w:style>
  <w:style w:type="character" w:styleId="EndnoteReference">
    <w:name w:val="endnote reference"/>
    <w:uiPriority w:val="99"/>
    <w:semiHidden/>
    <w:unhideWhenUsed/>
    <w:rsid w:val="00A04B37"/>
    <w:rPr>
      <w:vertAlign w:val="superscript"/>
    </w:rPr>
  </w:style>
  <w:style w:type="table" w:customStyle="1" w:styleId="Calendar1">
    <w:name w:val="Calendar 1"/>
    <w:basedOn w:val="TableNormal"/>
    <w:uiPriority w:val="99"/>
    <w:qFormat/>
    <w:rsid w:val="00A04B37"/>
    <w:pPr>
      <w:spacing w:after="0" w:line="240" w:lineRule="auto"/>
    </w:pPr>
    <w:rPr>
      <w:rFonts w:ascii="Calibri" w:eastAsia="MS Mincho" w:hAnsi="Calibri" w:cs="Arial"/>
      <w:lang w:val="en-US"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character" w:styleId="FollowedHyperlink">
    <w:name w:val="FollowedHyperlink"/>
    <w:uiPriority w:val="99"/>
    <w:semiHidden/>
    <w:unhideWhenUsed/>
    <w:rsid w:val="00A04B37"/>
    <w:rPr>
      <w:color w:val="800080"/>
      <w:u w:val="single"/>
    </w:rPr>
  </w:style>
  <w:style w:type="character" w:customStyle="1" w:styleId="mord">
    <w:name w:val="mord"/>
    <w:rsid w:val="00A04B37"/>
  </w:style>
  <w:style w:type="character" w:customStyle="1" w:styleId="mpunct">
    <w:name w:val="mpunct"/>
    <w:rsid w:val="00A04B37"/>
  </w:style>
  <w:style w:type="character" w:customStyle="1" w:styleId="mbin">
    <w:name w:val="mbin"/>
    <w:rsid w:val="00A04B37"/>
  </w:style>
  <w:style w:type="character" w:customStyle="1" w:styleId="mrel">
    <w:name w:val="mrel"/>
    <w:rsid w:val="00A04B37"/>
  </w:style>
  <w:style w:type="numbering" w:customStyle="1" w:styleId="NoList11">
    <w:name w:val="No List11"/>
    <w:next w:val="NoList"/>
    <w:uiPriority w:val="99"/>
    <w:semiHidden/>
    <w:unhideWhenUsed/>
    <w:rsid w:val="00A04B37"/>
  </w:style>
  <w:style w:type="table" w:customStyle="1" w:styleId="TableGrid2">
    <w:name w:val="Table Grid2"/>
    <w:basedOn w:val="TableNormal"/>
    <w:next w:val="TableGrid"/>
    <w:uiPriority w:val="59"/>
    <w:rsid w:val="00A04B3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semiHidden/>
    <w:unhideWhenUsed/>
    <w:qFormat/>
    <w:rsid w:val="00A04B37"/>
    <w:pPr>
      <w:spacing w:after="200" w:line="240" w:lineRule="auto"/>
    </w:pPr>
    <w:rPr>
      <w:rFonts w:ascii="Calibri" w:eastAsia="Calibri" w:hAnsi="Calibri" w:cs="Times New Roman"/>
      <w:b/>
      <w:bCs/>
      <w:color w:val="4F81BD"/>
      <w:sz w:val="18"/>
      <w:szCs w:val="18"/>
    </w:rPr>
  </w:style>
  <w:style w:type="table" w:customStyle="1" w:styleId="TableGrid11">
    <w:name w:val="Table Grid11"/>
    <w:basedOn w:val="TableNormal"/>
    <w:next w:val="TableGrid"/>
    <w:uiPriority w:val="59"/>
    <w:rsid w:val="00A04B3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4B37"/>
    <w:pPr>
      <w:autoSpaceDE w:val="0"/>
      <w:autoSpaceDN w:val="0"/>
      <w:adjustRightInd w:val="0"/>
      <w:spacing w:after="0" w:line="240" w:lineRule="auto"/>
    </w:pPr>
    <w:rPr>
      <w:rFonts w:ascii="Arial" w:eastAsia="Calibri" w:hAnsi="Arial" w:cs="Arial"/>
      <w:color w:val="000000"/>
      <w:sz w:val="24"/>
      <w:szCs w:val="24"/>
      <w:lang w:eastAsia="en-PH"/>
    </w:rPr>
  </w:style>
  <w:style w:type="character" w:styleId="UnresolvedMention">
    <w:name w:val="Unresolved Mention"/>
    <w:uiPriority w:val="99"/>
    <w:semiHidden/>
    <w:unhideWhenUsed/>
    <w:rsid w:val="00A04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lawphil.net/executive/execord/eo2017/eo_20_2017.html" TargetMode="External"/><Relationship Id="rId1" Type="http://schemas.openxmlformats.org/officeDocument/2006/relationships/hyperlink" Target="https://globalgoals.org/goals/3-good-health-and-well-be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4068</Words>
  <Characters>23190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Senate of the Philippines</Company>
  <LinksUpToDate>false</LinksUpToDate>
  <CharactersWithSpaces>27204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Elsie T. Jesalva</dc:creator>
  <cp:keywords/>
  <dc:description/>
  <cp:lastModifiedBy>Elsie T. Jesalva</cp:lastModifiedBy>
  <cp:revision>1</cp:revision>
  <dcterms:created xsi:type="dcterms:W3CDTF">2026-06-15T05:13:00Z</dcterms:created>
  <dcterms:modified xsi:type="dcterms:W3CDTF">2026-06-15T05:13:00Z</dcterms:modified>
</cp:coreProperties>
</file>