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Chapter 3 — Methodology</w:t>
      </w:r>
    </w:p>
    <w:p>
      <w:r>
        <w:rPr>
          <w:sz w:val="22"/>
        </w:rPr>
        <w:t>Design-only chapter. No measured CER/WER result numbers appear here. Implementation outcomes are reported in Chapter 4 and must trace to experiments/&lt;run_id&gt;/metrics.json.</w:t>
      </w:r>
    </w:p>
    <w:p>
      <w:pPr>
        <w:pStyle w:val="Heading1"/>
      </w:pPr>
      <w:r>
        <w:t>3.1 Introduction</w:t>
      </w:r>
    </w:p>
    <w:p>
      <w:r>
        <w:rPr>
          <w:sz w:val="22"/>
        </w:rPr>
        <w:t>Handwritten text recognition (HTR) is difficult because writing styles, spacing, and stroke quality vary widely across writers. This chapter specifies the research design for English line-level HTR on the IAM Handwriting Database using transfer learning from a pretrained TrOCR transformer, with neural (CRNN+CTC) and classical (Tesseract) baselines. Results and analysis are deferred to Chapter 4.</w:t>
      </w:r>
    </w:p>
    <w:p>
      <w:pPr>
        <w:pStyle w:val="Heading1"/>
      </w:pPr>
      <w:r>
        <w:t>3.2 Dataset</w:t>
      </w:r>
    </w:p>
    <w:p>
      <w:r>
        <w:rPr>
          <w:sz w:val="22"/>
        </w:rPr>
        <w:t>Data are obtained from Hugging Face Teklia/IAM-line (official publisher splits) and prepared by scripts/download_iam.py and scripts/prepare_iam_lines.py. Processed exports live under data/iam/processed/{train,val,test}/.</w:t>
      </w:r>
    </w:p>
    <w:p>
      <w:pPr>
        <w:pStyle w:val="Heading2"/>
      </w:pPr>
      <w:r>
        <w:t>Table 3.1 — IAM line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English</w:t>
            </w:r>
          </w:p>
        </w:tc>
      </w:tr>
      <w:tr>
        <w:tc>
          <w:tcPr>
            <w:tcW w:type="dxa" w:w="4320"/>
          </w:tcPr>
          <w:p>
            <w:r>
              <w:t>Unit</w:t>
            </w:r>
          </w:p>
        </w:tc>
        <w:tc>
          <w:tcPr>
            <w:tcW w:type="dxa" w:w="4320"/>
          </w:tcPr>
          <w:p>
            <w:r>
              <w:t>Line images</w:t>
            </w:r>
          </w:p>
        </w:tc>
      </w:tr>
      <w:tr>
        <w:tc>
          <w:tcPr>
            <w:tcW w:type="dxa" w:w="4320"/>
          </w:tcPr>
          <w:p>
            <w:r>
              <w:t>Train / Val / Test</w:t>
            </w:r>
          </w:p>
        </w:tc>
        <w:tc>
          <w:tcPr>
            <w:tcW w:type="dxa" w:w="4320"/>
          </w:tcPr>
          <w:p>
            <w:r>
              <w:t>6,482 / 976 / 2,915</w:t>
            </w:r>
          </w:p>
        </w:tc>
      </w:tr>
      <w:tr>
        <w:tc>
          <w:tcPr>
            <w:tcW w:type="dxa" w:w="4320"/>
          </w:tcPr>
          <w:p>
            <w:r>
              <w:t>Modalities</w:t>
            </w:r>
          </w:p>
        </w:tc>
        <w:tc>
          <w:tcPr>
            <w:tcW w:type="dxa" w:w="4320"/>
          </w:tcPr>
          <w:p>
            <w:r>
              <w:t>PNG line image + transcription text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Hugging Face Teklia/IAM-line</w:t>
            </w:r>
          </w:p>
        </w:tc>
      </w:tr>
    </w:tbl>
    <w:p>
      <w:pPr>
        <w:pStyle w:val="Heading2"/>
      </w:pPr>
      <w:r>
        <w:t>Figure 3.1 — Example IAM line</w:t>
      </w:r>
    </w:p>
    <w:p>
      <w:r>
        <w:drawing>
          <wp:inline xmlns:a="http://schemas.openxmlformats.org/drawingml/2006/main" xmlns:pic="http://schemas.openxmlformats.org/drawingml/2006/picture">
            <wp:extent cx="5029200" cy="628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Source: data\iam\demo\images\demo_000.png</w:t>
      </w:r>
    </w:p>
    <w:p>
      <w:pPr>
        <w:pStyle w:val="Heading1"/>
      </w:pPr>
      <w:r>
        <w:t>3.3 Preprocessing</w:t>
      </w:r>
    </w:p>
    <w:p>
      <w:r>
        <w:rPr>
          <w:sz w:val="22"/>
        </w:rPr>
        <w:t>Line images are converted to RGB and passed through Hugging Face TrOCRProcessor. No custom binarization is applied. Mild augmentation is used during fine-tuning only.</w:t>
      </w:r>
    </w:p>
    <w:p>
      <w:pPr>
        <w:pStyle w:val="Heading1"/>
      </w:pPr>
      <w:r>
        <w:t>3.4 Model selection</w:t>
      </w:r>
    </w:p>
    <w:p>
      <w:r>
        <w:rPr>
          <w:sz w:val="22"/>
        </w:rPr>
        <w:t>TrOCR combines a Vision Transformer (ViT) image encoder with a BART text decoder. The starting checkpoint is microsoft/trocr-base-handwritten. Fine-tuning uses autoregressive cross-entropy (not CTC), AdamW, and early stopping on validation CER. A CRNN+CTC baseline is trained on the same splits; CTC is used only for CRNN. Tesseract provides a classical OCR baseline.</w:t>
      </w:r>
    </w:p>
    <w:p>
      <w:pPr>
        <w:pStyle w:val="Heading2"/>
      </w:pPr>
      <w:r>
        <w:t>Figure 3.2 — TrOCR architecture (conceptual)</w:t>
      </w:r>
    </w:p>
    <w:p>
      <w:r>
        <w:rPr>
          <w:sz w:val="22"/>
        </w:rPr>
        <w:t>Image patches → ViT encoder → cross-attention BART decoder → token sequence.</w:t>
      </w:r>
    </w:p>
    <w:p>
      <w:pPr>
        <w:pStyle w:val="Heading1"/>
      </w:pPr>
      <w:r>
        <w:t>3.5 Experiment design and metrics</w:t>
      </w:r>
    </w:p>
    <w:p>
      <w:r>
        <w:rPr>
          <w:sz w:val="22"/>
        </w:rPr>
        <w:t>Primary GPU protocol evaluates pretrained TrOCR, fine-tuned TrOCR, CRNN+CTC, and Tesseract on the full IAM test split (n=2,915), plus an 8-line demo run. Metrics are case-sensitive CER and WER via jiwer after whitespace normalization. Thesis numbers must come from full runs, not smoke subsets.</w:t>
      </w:r>
    </w:p>
    <w:p>
      <w:pPr>
        <w:pStyle w:val="Heading1"/>
      </w:pPr>
      <w:r>
        <w:t>3.6 Baselines (design summary)</w:t>
      </w:r>
    </w:p>
    <w:p>
      <w:r>
        <w:rPr>
          <w:sz w:val="22"/>
        </w:rPr>
        <w:t>Chapter 4 compares pretrained vs fine-tuned TrOCR, TrOCR vs CRNN vs Tesseract (measured), and cites literature CER values separately without claiming an identical protocol.</w:t>
      </w:r>
    </w:p>
    <w:p>
      <w:pPr>
        <w:pStyle w:val="Heading1"/>
      </w:pPr>
      <w:r>
        <w:t>3.7 Chapter boundary</w:t>
      </w:r>
    </w:p>
    <w:p>
      <w:r>
        <w:rPr>
          <w:sz w:val="22"/>
        </w:rPr>
        <w:t>This chapter contains no numeric experimental outcomes. Chapter 4 reports measured results, hyperparameters actually used, and qualitative error analysis.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