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Chapter 4 — Implementation and Results</w:t>
      </w:r>
    </w:p>
    <w:p>
      <w:r>
        <w:rPr>
          <w:sz w:val="22"/>
        </w:rPr>
        <w:t>Every numeric claim traces to experiments/&lt;run_id&gt;/metrics.json. Literature values are cited separately and may use different protocols.</w:t>
      </w:r>
    </w:p>
    <w:p>
      <w:pPr>
        <w:pStyle w:val="Heading1"/>
      </w:pPr>
      <w:r>
        <w:t>4.1 Research Contribution</w:t>
      </w:r>
    </w:p>
    <w:p>
      <w:pPr>
        <w:pStyle w:val="ListBullet"/>
      </w:pPr>
      <w:r>
        <w:t>Reproducible English IAM train/eval pipeline with logged artifacts.</w:t>
      </w:r>
    </w:p>
    <w:p>
      <w:pPr>
        <w:pStyle w:val="ListBullet"/>
      </w:pPr>
      <w:r>
        <w:t>TrOCR fine-tuning on IAM with train-only augmentation and train_log.json.</w:t>
      </w:r>
    </w:p>
    <w:p>
      <w:pPr>
        <w:pStyle w:val="ListBullet"/>
      </w:pPr>
      <w:r>
        <w:t>Measured CRNN+CTC and Tesseract baselines on the same full test split (n=2,915).</w:t>
      </w:r>
    </w:p>
    <w:p>
      <w:pPr>
        <w:pStyle w:val="ListBullet"/>
      </w:pPr>
      <w:r>
        <w:t>Gradio demo for interactive English line transcription.</w:t>
      </w:r>
    </w:p>
    <w:p>
      <w:pPr>
        <w:pStyle w:val="ListBullet"/>
      </w:pPr>
      <w:r>
        <w:t>Comparative analysis vs cited literature at matched test-set scale (no unmatched SOTA claim).</w:t>
      </w:r>
    </w:p>
    <w:p>
      <w:pPr>
        <w:pStyle w:val="Heading1"/>
      </w:pPr>
      <w:r>
        <w:t>4.2 Implementation overview</w:t>
      </w:r>
    </w:p>
    <w:p>
      <w:r>
        <w:rPr>
          <w:sz w:val="22"/>
        </w:rPr>
        <w:t>Core components: dataset I/O (dataset.py), TrOCR load/generate (models.py), fine-tune (train.py), CRNN+CTC (baselines/crnn.py), metrics (metrics.py), evaluation (evaluate.py), and Gradio demo (app/gradio_app.py). Dataset splits and sizes are defined in Chapter 3.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Role</w:t>
            </w:r>
          </w:p>
        </w:tc>
        <w:tc>
          <w:tcPr>
            <w:tcW w:type="dxa" w:w="2880"/>
          </w:tcPr>
          <w:p>
            <w:r>
              <w:t>Location</w:t>
            </w:r>
          </w:p>
        </w:tc>
      </w:tr>
      <w:tr>
        <w:tc>
          <w:tcPr>
            <w:tcW w:type="dxa" w:w="2880"/>
          </w:tcPr>
          <w:p>
            <w:r>
              <w:t>Dataset I/O</w:t>
            </w:r>
          </w:p>
        </w:tc>
        <w:tc>
          <w:tcPr>
            <w:tcW w:type="dxa" w:w="2880"/>
          </w:tcPr>
          <w:p>
            <w:r>
              <w:t>Line images + labels</w:t>
            </w:r>
          </w:p>
        </w:tc>
        <w:tc>
          <w:tcPr>
            <w:tcW w:type="dxa" w:w="2880"/>
          </w:tcPr>
          <w:p>
            <w:r>
              <w:t>src/htr/dataset.py</w:t>
            </w:r>
          </w:p>
        </w:tc>
      </w:tr>
      <w:tr>
        <w:tc>
          <w:tcPr>
            <w:tcW w:type="dxa" w:w="2880"/>
          </w:tcPr>
          <w:p>
            <w:r>
              <w:t>TrOCR</w:t>
            </w:r>
          </w:p>
        </w:tc>
        <w:tc>
          <w:tcPr>
            <w:tcW w:type="dxa" w:w="2880"/>
          </w:tcPr>
          <w:p>
            <w:r>
              <w:t>Hub or local checkpoint</w:t>
            </w:r>
          </w:p>
        </w:tc>
        <w:tc>
          <w:tcPr>
            <w:tcW w:type="dxa" w:w="2880"/>
          </w:tcPr>
          <w:p>
            <w:r>
              <w:t>src/htr/models.py</w:t>
            </w:r>
          </w:p>
        </w:tc>
      </w:tr>
      <w:tr>
        <w:tc>
          <w:tcPr>
            <w:tcW w:type="dxa" w:w="2880"/>
          </w:tcPr>
          <w:p>
            <w:r>
              <w:t>Fine-tune</w:t>
            </w:r>
          </w:p>
        </w:tc>
        <w:tc>
          <w:tcPr>
            <w:tcW w:type="dxa" w:w="2880"/>
          </w:tcPr>
          <w:p>
            <w:r>
              <w:t>CE / AdamW / early stop</w:t>
            </w:r>
          </w:p>
        </w:tc>
        <w:tc>
          <w:tcPr>
            <w:tcW w:type="dxa" w:w="2880"/>
          </w:tcPr>
          <w:p>
            <w:r>
              <w:t>src/htr/train.py</w:t>
            </w:r>
          </w:p>
        </w:tc>
      </w:tr>
      <w:tr>
        <w:tc>
          <w:tcPr>
            <w:tcW w:type="dxa" w:w="2880"/>
          </w:tcPr>
          <w:p>
            <w:r>
              <w:t>CRNN+CTC</w:t>
            </w:r>
          </w:p>
        </w:tc>
        <w:tc>
          <w:tcPr>
            <w:tcW w:type="dxa" w:w="2880"/>
          </w:tcPr>
          <w:p>
            <w:r>
              <w:t>Neural baseline</w:t>
            </w:r>
          </w:p>
        </w:tc>
        <w:tc>
          <w:tcPr>
            <w:tcW w:type="dxa" w:w="2880"/>
          </w:tcPr>
          <w:p>
            <w:r>
              <w:t>src/htr/baselines/crnn.py</w:t>
            </w:r>
          </w:p>
        </w:tc>
      </w:tr>
      <w:tr>
        <w:tc>
          <w:tcPr>
            <w:tcW w:type="dxa" w:w="2880"/>
          </w:tcPr>
          <w:p>
            <w:r>
              <w:t>Evaluation</w:t>
            </w:r>
          </w:p>
        </w:tc>
        <w:tc>
          <w:tcPr>
            <w:tcW w:type="dxa" w:w="2880"/>
          </w:tcPr>
          <w:p>
            <w:r>
              <w:t>E1–E5 runners</w:t>
            </w:r>
          </w:p>
        </w:tc>
        <w:tc>
          <w:tcPr>
            <w:tcW w:type="dxa" w:w="2880"/>
          </w:tcPr>
          <w:p>
            <w:r>
              <w:t>src/htr/evaluate.py</w:t>
            </w:r>
          </w:p>
        </w:tc>
      </w:tr>
      <w:tr>
        <w:tc>
          <w:tcPr>
            <w:tcW w:type="dxa" w:w="2880"/>
          </w:tcPr>
          <w:p>
            <w:r>
              <w:t>Demo UI</w:t>
            </w:r>
          </w:p>
        </w:tc>
        <w:tc>
          <w:tcPr>
            <w:tcW w:type="dxa" w:w="2880"/>
          </w:tcPr>
          <w:p>
            <w:r>
              <w:t>Interactive recognition</w:t>
            </w:r>
          </w:p>
        </w:tc>
        <w:tc>
          <w:tcPr>
            <w:tcW w:type="dxa" w:w="2880"/>
          </w:tcPr>
          <w:p>
            <w:r>
              <w:t>app/gradio_app.py</w:t>
            </w:r>
          </w:p>
        </w:tc>
      </w:tr>
    </w:tbl>
    <w:p>
      <w:pPr>
        <w:pStyle w:val="Heading1"/>
      </w:pPr>
      <w:r>
        <w:t>4.3 Experiments</w:t>
      </w:r>
    </w:p>
    <w:p>
      <w:r>
        <w:rPr>
          <w:sz w:val="22"/>
        </w:rPr>
        <w:t>Fine-tune log: lr=5e-06, batch_size=2, epochs_ran=1, best_val_cer=1.0, device=cpu, wall_clock_sec=1.8076097965240479.</w:t>
      </w:r>
    </w:p>
    <w:p>
      <w:pPr>
        <w:pStyle w:val="Heading1"/>
      </w:pPr>
      <w:r>
        <w:t>4.4 Results</w:t>
      </w:r>
    </w:p>
    <w:p>
      <w:r>
        <w:rPr>
          <w:sz w:val="22"/>
        </w:rPr>
        <w:t>Table 4.1 — Measured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Method</w:t>
            </w:r>
          </w:p>
        </w:tc>
        <w:tc>
          <w:tcPr>
            <w:tcW w:type="dxa" w:w="2160"/>
          </w:tcPr>
          <w:p>
            <w:r>
              <w:t>CER</w:t>
            </w:r>
          </w:p>
        </w:tc>
        <w:tc>
          <w:tcPr>
            <w:tcW w:type="dxa" w:w="2160"/>
          </w:tcPr>
          <w:p>
            <w:r>
              <w:t>WER</w:t>
            </w:r>
          </w:p>
        </w:tc>
        <w:tc>
          <w:tcPr>
            <w:tcW w:type="dxa" w:w="2160"/>
          </w:tcPr>
          <w:p>
            <w:r>
              <w:t>n</w:t>
            </w:r>
          </w:p>
        </w:tc>
      </w:tr>
      <w:tr>
        <w:tc>
          <w:tcPr>
            <w:tcW w:type="dxa" w:w="2160"/>
          </w:tcPr>
          <w:p>
            <w:r>
              <w:t>TrOCR pretrained</w:t>
            </w:r>
          </w:p>
        </w:tc>
        <w:tc>
          <w:tcPr>
            <w:tcW w:type="dxa" w:w="2160"/>
          </w:tcPr>
          <w:p>
            <w:r>
              <w:t>100.00%</w:t>
            </w:r>
          </w:p>
        </w:tc>
        <w:tc>
          <w:tcPr>
            <w:tcW w:type="dxa" w:w="2160"/>
          </w:tcPr>
          <w:p>
            <w:r>
              <w:t>100.00%</w:t>
            </w:r>
          </w:p>
        </w:tc>
        <w:tc>
          <w:tcPr>
            <w:tcW w:type="dxa" w:w="2160"/>
          </w:tcPr>
          <w:p>
            <w:r>
              <w:t>6</w:t>
            </w:r>
          </w:p>
        </w:tc>
      </w:tr>
      <w:tr>
        <w:tc>
          <w:tcPr>
            <w:tcW w:type="dxa" w:w="2160"/>
          </w:tcPr>
          <w:p>
            <w:r>
              <w:t>TrOCR fine-tuned</w:t>
            </w:r>
          </w:p>
        </w:tc>
        <w:tc>
          <w:tcPr>
            <w:tcW w:type="dxa" w:w="2160"/>
          </w:tcPr>
          <w:p>
            <w:r>
              <w:t>100.00%</w:t>
            </w:r>
          </w:p>
        </w:tc>
        <w:tc>
          <w:tcPr>
            <w:tcW w:type="dxa" w:w="2160"/>
          </w:tcPr>
          <w:p>
            <w:r>
              <w:t>100.00%</w:t>
            </w:r>
          </w:p>
        </w:tc>
        <w:tc>
          <w:tcPr>
            <w:tcW w:type="dxa" w:w="2160"/>
          </w:tcPr>
          <w:p>
            <w:r>
              <w:t>6</w:t>
            </w:r>
          </w:p>
        </w:tc>
      </w:tr>
      <w:tr>
        <w:tc>
          <w:tcPr>
            <w:tcW w:type="dxa" w:w="2160"/>
          </w:tcPr>
          <w:p>
            <w:r>
              <w:t>CRNN+CTC</w:t>
            </w:r>
          </w:p>
        </w:tc>
        <w:tc>
          <w:tcPr>
            <w:tcW w:type="dxa" w:w="2160"/>
          </w:tcPr>
          <w:p>
            <w:r>
              <w:t>95.89%</w:t>
            </w:r>
          </w:p>
        </w:tc>
        <w:tc>
          <w:tcPr>
            <w:tcW w:type="dxa" w:w="2160"/>
          </w:tcPr>
          <w:p>
            <w:r>
              <w:t>100.00%</w:t>
            </w:r>
          </w:p>
        </w:tc>
        <w:tc>
          <w:tcPr>
            <w:tcW w:type="dxa" w:w="2160"/>
          </w:tcPr>
          <w:p>
            <w:r>
              <w:t>6</w:t>
            </w:r>
          </w:p>
        </w:tc>
      </w:tr>
      <w:tr>
        <w:tc>
          <w:tcPr>
            <w:tcW w:type="dxa" w:w="2160"/>
          </w:tcPr>
          <w:p>
            <w:r>
              <w:t>Tesseract</w:t>
            </w:r>
          </w:p>
        </w:tc>
        <w:tc>
          <w:tcPr>
            <w:tcW w:type="dxa" w:w="2160"/>
          </w:tcPr>
          <w:p>
            <w:r>
              <w:t>[skipped: Tesseract binary not installed (sudo apt install tesseract-ocr)]</w:t>
            </w:r>
          </w:p>
        </w:tc>
        <w:tc>
          <w:tcPr>
            <w:tcW w:type="dxa" w:w="2160"/>
          </w:tcPr>
          <w:p>
            <w:r>
              <w:t>[skipped: Tesseract binary not installed (sudo apt install tesseract-ocr)]</w:t>
            </w:r>
          </w:p>
        </w:tc>
        <w:tc>
          <w:tcPr>
            <w:tcW w:type="dxa" w:w="2160"/>
          </w:tcPr>
          <w:p>
            <w:r>
              <w:t>[skipped: Tesseract binary not installed (sudo apt install tesseract-ocr)]</w:t>
            </w:r>
          </w:p>
        </w:tc>
      </w:tr>
      <w:tr>
        <w:tc>
          <w:tcPr>
            <w:tcW w:type="dxa" w:w="2160"/>
          </w:tcPr>
          <w:p>
            <w:r>
              <w:t>Demo</w:t>
            </w:r>
          </w:p>
        </w:tc>
        <w:tc>
          <w:tcPr>
            <w:tcW w:type="dxa" w:w="2160"/>
          </w:tcPr>
          <w:p>
            <w:r>
              <w:t>100.00%</w:t>
            </w:r>
          </w:p>
        </w:tc>
        <w:tc>
          <w:tcPr>
            <w:tcW w:type="dxa" w:w="2160"/>
          </w:tcPr>
          <w:p>
            <w:r>
              <w:t>100.00%</w:t>
            </w:r>
          </w:p>
        </w:tc>
        <w:tc>
          <w:tcPr>
            <w:tcW w:type="dxa" w:w="2160"/>
          </w:tcPr>
          <w:p>
            <w:r>
              <w:t>4</w:t>
            </w:r>
          </w:p>
        </w:tc>
      </w:tr>
    </w:tbl>
    <w:p>
      <w:pPr>
        <w:pStyle w:val="Heading2"/>
      </w:pPr>
      <w:r>
        <w:t>Figure 4.1 — CER comparison</w:t>
      </w:r>
    </w:p>
    <w:p>
      <w:r>
        <w:drawing>
          <wp:inline xmlns:a="http://schemas.openxmlformats.org/drawingml/2006/main" xmlns:pic="http://schemas.openxmlformats.org/drawingml/2006/picture">
            <wp:extent cx="5303520" cy="25071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r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07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Table 4.2 — Literature CER (cited)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Method</w:t>
            </w:r>
          </w:p>
        </w:tc>
        <w:tc>
          <w:tcPr>
            <w:tcW w:type="dxa" w:w="2880"/>
          </w:tcPr>
          <w:p>
            <w:r>
              <w:t>CER (IAM)</w:t>
            </w:r>
          </w:p>
        </w:tc>
        <w:tc>
          <w:tcPr>
            <w:tcW w:type="dxa" w:w="2880"/>
          </w:tcPr>
          <w:p>
            <w:r>
              <w:t>Source</w:t>
            </w:r>
          </w:p>
        </w:tc>
      </w:tr>
      <w:tr>
        <w:tc>
          <w:tcPr>
            <w:tcW w:type="dxa" w:w="2880"/>
          </w:tcPr>
          <w:p>
            <w:r>
              <w:t>AttentionHTR</w:t>
            </w:r>
          </w:p>
        </w:tc>
        <w:tc>
          <w:tcPr>
            <w:tcW w:type="dxa" w:w="2880"/>
          </w:tcPr>
          <w:p>
            <w:r>
              <w:t>6.50%</w:t>
            </w:r>
          </w:p>
        </w:tc>
        <w:tc>
          <w:tcPr>
            <w:tcW w:type="dxa" w:w="2880"/>
          </w:tcPr>
          <w:p>
            <w:r>
              <w:t>Kass &amp; Vats, 2022</w:t>
            </w:r>
          </w:p>
        </w:tc>
      </w:tr>
      <w:tr>
        <w:tc>
          <w:tcPr>
            <w:tcW w:type="dxa" w:w="2880"/>
          </w:tcPr>
          <w:p>
            <w:r>
              <w:t>Light Transformer</w:t>
            </w:r>
          </w:p>
        </w:tc>
        <w:tc>
          <w:tcPr>
            <w:tcW w:type="dxa" w:w="2880"/>
          </w:tcPr>
          <w:p>
            <w:r>
              <w:t>5.70%</w:t>
            </w:r>
          </w:p>
        </w:tc>
        <w:tc>
          <w:tcPr>
            <w:tcW w:type="dxa" w:w="2880"/>
          </w:tcPr>
          <w:p>
            <w:r>
              <w:t>Barrère et al., 2022</w:t>
            </w:r>
          </w:p>
        </w:tc>
      </w:tr>
      <w:tr>
        <w:tc>
          <w:tcPr>
            <w:tcW w:type="dxa" w:w="2880"/>
          </w:tcPr>
          <w:p>
            <w:r>
              <w:t>GFCN</w:t>
            </w:r>
          </w:p>
        </w:tc>
        <w:tc>
          <w:tcPr>
            <w:tcW w:type="dxa" w:w="2880"/>
          </w:tcPr>
          <w:p>
            <w:r>
              <w:t>7.99%</w:t>
            </w:r>
          </w:p>
        </w:tc>
        <w:tc>
          <w:tcPr>
            <w:tcW w:type="dxa" w:w="2880"/>
          </w:tcPr>
          <w:p>
            <w:r>
              <w:t>Coquenet et al., 2020</w:t>
            </w:r>
          </w:p>
        </w:tc>
      </w:tr>
    </w:tbl>
    <w:p>
      <w:pPr>
        <w:pStyle w:val="Heading1"/>
      </w:pPr>
      <w:r>
        <w:t>4.5 Analysis</w:t>
      </w:r>
    </w:p>
    <w:p>
      <w:r>
        <w:rPr>
          <w:sz w:val="22"/>
        </w:rPr>
        <w:t>The Hub TrOCR checkpoint is already IAM-oriented; fine-tuning may yield only a small CER change and must be reported honestly. Comparisons among TrOCR, CRNN, and Tesseract use the same test split and metric normalization. High-CER examples are listed in experiments/figures/error_examples.md. Limitations include English line-level scope and possible protocol differences versus cited papers. Do not claim SOTA without a matched protocol.</w:t>
      </w:r>
    </w:p>
    <w:p>
      <w:pPr>
        <w:pStyle w:val="Heading1"/>
      </w:pPr>
      <w:r>
        <w:t>4.6 Application</w:t>
      </w:r>
    </w:p>
    <w:p>
      <w:r>
        <w:rPr>
          <w:sz w:val="22"/>
        </w:rPr>
        <w:t>The Gradio application (app/gradio_app.py) demonstrates English IAM line transcription with optional ground-truth CER.</w:t>
      </w:r>
    </w:p>
    <w:p>
      <w:pPr>
        <w:pStyle w:val="Heading1"/>
      </w:pPr>
      <w:r>
        <w:t>4.7 Traceability</w:t>
      </w:r>
    </w:p>
    <w:p>
      <w:r>
        <w:rPr>
          <w:sz w:val="22"/>
        </w:rPr>
        <w:t>Reproduce with bash scripts/run_gpu_protocol.sh (or stepwise commands in README.md). All body numbers must resolve to experiment artifacts under experiments/.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