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"/>
        <w:jc w:val="center"/>
      </w:pPr>
      <w:r>
        <w:rPr>
          <w:b/>
          <w:rFonts w:ascii="Times New Roman" w:hAnsi="Times New Roman"/>
          <w:sz w:val="32"/>
          <w:szCs w:val="32"/>
        </w:rPr>
        <w:t xml:space="preserve">Appendix — Key Source Modules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Full listings are maintained in the repository. This appendix points to the modules that implement the Chapter 3 design and Chapter 4 experiments.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A.1 Model loading — </w:t>
      </w:r>
      <w:r>
        <w:rPr>
          <w:b/>
          <w:rFonts w:ascii="Courier New" w:hAnsi="Courier New"/>
          <w:sz w:val="26"/>
          <w:szCs w:val="26"/>
        </w:rPr>
        <w:t xml:space="preserve">src/htr/models.py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Loads </w:t>
      </w:r>
      <w:r>
        <w:rPr>
          <w:rFonts w:ascii="Courier New" w:hAnsi="Courier New"/>
          <w:sz w:val="19"/>
          <w:szCs w:val="19"/>
        </w:rPr>
        <w:t xml:space="preserve">TrOCRProcessor</w:t>
      </w:r>
      <w:r>
        <w:rPr>
          <w:rFonts w:ascii="Times New Roman" w:hAnsi="Times New Roman"/>
          <w:sz w:val="22"/>
          <w:szCs w:val="22"/>
        </w:rPr>
        <w:t xml:space="preserve"> + </w:t>
      </w:r>
      <w:r>
        <w:rPr>
          <w:rFonts w:ascii="Courier New" w:hAnsi="Courier New"/>
          <w:sz w:val="19"/>
          <w:szCs w:val="19"/>
        </w:rPr>
        <w:t xml:space="preserve">VisionEncoderDecoderModel</w:t>
      </w:r>
      <w:r>
        <w:rPr>
          <w:rFonts w:ascii="Times New Roman" w:hAnsi="Times New Roman"/>
          <w:sz w:val="22"/>
          <w:szCs w:val="22"/>
        </w:rPr>
        <w:t xml:space="preserve"> from a Hub ID (e.g. </w:t>
      </w:r>
      <w:r>
        <w:rPr>
          <w:rFonts w:ascii="Courier New" w:hAnsi="Courier New"/>
          <w:sz w:val="19"/>
          <w:szCs w:val="19"/>
        </w:rPr>
        <w:t xml:space="preserve">microsoft/trocr-base-handwritten</w:t>
      </w:r>
      <w:r>
        <w:rPr>
          <w:rFonts w:ascii="Times New Roman" w:hAnsi="Times New Roman"/>
          <w:sz w:val="22"/>
          <w:szCs w:val="22"/>
        </w:rPr>
        <w:t xml:space="preserve">) or a local directory (</w:t>
      </w:r>
      <w:r>
        <w:rPr>
          <w:rFonts w:ascii="Courier New" w:hAnsi="Courier New"/>
          <w:sz w:val="19"/>
          <w:szCs w:val="19"/>
        </w:rPr>
        <w:t xml:space="preserve">models/iam_trocr_finetuned/</w:t>
      </w:r>
      <w:r>
        <w:rPr>
          <w:rFonts w:ascii="Times New Roman" w:hAnsi="Times New Roman"/>
          <w:sz w:val="22"/>
          <w:szCs w:val="22"/>
        </w:rPr>
        <w:t xml:space="preserve">). Exposes </w:t>
      </w:r>
      <w:r>
        <w:rPr>
          <w:rFonts w:ascii="Courier New" w:hAnsi="Courier New"/>
          <w:sz w:val="19"/>
          <w:szCs w:val="19"/>
        </w:rPr>
        <w:t xml:space="preserve">ModelBundle.generate</w:t>
      </w:r>
      <w:r>
        <w:rPr>
          <w:rFonts w:ascii="Times New Roman" w:hAnsi="Times New Roman"/>
          <w:sz w:val="22"/>
          <w:szCs w:val="22"/>
        </w:rPr>
        <w:t xml:space="preserve"> / </w:t>
      </w:r>
      <w:r>
        <w:rPr>
          <w:rFonts w:ascii="Courier New" w:hAnsi="Courier New"/>
          <w:sz w:val="19"/>
          <w:szCs w:val="19"/>
        </w:rPr>
        <w:t xml:space="preserve">generate_batch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A.2 Dataset — </w:t>
      </w:r>
      <w:r>
        <w:rPr>
          <w:b/>
          <w:rFonts w:ascii="Courier New" w:hAnsi="Courier New"/>
          <w:sz w:val="26"/>
          <w:szCs w:val="26"/>
        </w:rPr>
        <w:t xml:space="preserve">src/htr/dataset.py</w:t>
      </w:r>
    </w:p>
    <w:p>
      <w:pPr>
        <w:jc w:val="both"/>
      </w:pPr>
      <w:r>
        <w:rPr>
          <w:rFonts w:ascii="Courier New" w:hAnsi="Courier New"/>
          <w:sz w:val="19"/>
          <w:szCs w:val="19"/>
        </w:rPr>
        <w:t xml:space="preserve">LineDataset</w:t>
      </w:r>
      <w:r>
        <w:rPr>
          <w:rFonts w:ascii="Times New Roman" w:hAnsi="Times New Roman"/>
          <w:sz w:val="22"/>
          <w:szCs w:val="22"/>
        </w:rPr>
        <w:t xml:space="preserve"> reads </w:t>
      </w:r>
      <w:r>
        <w:rPr>
          <w:rFonts w:ascii="Courier New" w:hAnsi="Courier New"/>
          <w:sz w:val="19"/>
          <w:szCs w:val="19"/>
        </w:rPr>
        <w:t xml:space="preserve">split_dir/images/</w:t>
      </w:r>
      <w:r>
        <w:rPr>
          <w:rFonts w:ascii="Times New Roman" w:hAnsi="Times New Roman"/>
          <w:sz w:val="22"/>
          <w:szCs w:val="22"/>
        </w:rPr>
        <w:t xml:space="preserve"> and </w:t>
      </w:r>
      <w:r>
        <w:rPr>
          <w:rFonts w:ascii="Courier New" w:hAnsi="Courier New"/>
          <w:sz w:val="19"/>
          <w:szCs w:val="19"/>
        </w:rPr>
        <w:t xml:space="preserve">labels.csv</w:t>
      </w:r>
      <w:r>
        <w:rPr>
          <w:rFonts w:ascii="Times New Roman" w:hAnsi="Times New Roman"/>
          <w:sz w:val="22"/>
          <w:szCs w:val="22"/>
        </w:rPr>
        <w:t xml:space="preserve"> (</w:t>
      </w:r>
      <w:r>
        <w:rPr>
          <w:rFonts w:ascii="Courier New" w:hAnsi="Courier New"/>
          <w:sz w:val="19"/>
          <w:szCs w:val="19"/>
        </w:rPr>
        <w:t xml:space="preserve">filename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transcription</w:t>
      </w:r>
      <w:r>
        <w:rPr>
          <w:rFonts w:ascii="Times New Roman" w:hAnsi="Times New Roman"/>
          <w:sz w:val="22"/>
          <w:szCs w:val="22"/>
        </w:rPr>
        <w:t xml:space="preserve">). Shared by training and evaluation. </w:t>
      </w:r>
      <w:r>
        <w:rPr>
          <w:rFonts w:ascii="Courier New" w:hAnsi="Courier New"/>
          <w:sz w:val="19"/>
          <w:szCs w:val="19"/>
        </w:rPr>
        <w:t xml:space="preserve">collect_charset</w:t>
      </w:r>
      <w:r>
        <w:rPr>
          <w:rFonts w:ascii="Times New Roman" w:hAnsi="Times New Roman"/>
          <w:sz w:val="22"/>
          <w:szCs w:val="22"/>
        </w:rPr>
        <w:t xml:space="preserve"> builds the CRNN vocabulary.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A.3 Augmentation — </w:t>
      </w:r>
      <w:r>
        <w:rPr>
          <w:b/>
          <w:rFonts w:ascii="Courier New" w:hAnsi="Courier New"/>
          <w:sz w:val="26"/>
          <w:szCs w:val="26"/>
        </w:rPr>
        <w:t xml:space="preserve">src/htr/augment.py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Train-only torchvision transforms (mild affine + color jitter). Evaluation uses unaugmented RGB images.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A.4 TrOCR fine-tune — </w:t>
      </w:r>
      <w:r>
        <w:rPr>
          <w:b/>
          <w:rFonts w:ascii="Courier New" w:hAnsi="Courier New"/>
          <w:sz w:val="26"/>
          <w:szCs w:val="26"/>
        </w:rPr>
        <w:t xml:space="preserve">src/htr/train.py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AdamW + cross-entropy fine-tuning with early stopping on validation CER. Saves model+processor to </w:t>
      </w:r>
      <w:r>
        <w:rPr>
          <w:rFonts w:ascii="Courier New" w:hAnsi="Courier New"/>
          <w:sz w:val="19"/>
          <w:szCs w:val="19"/>
        </w:rPr>
        <w:t xml:space="preserve">models/iam_trocr_finetuned/</w:t>
      </w:r>
      <w:r>
        <w:rPr>
          <w:rFonts w:ascii="Times New Roman" w:hAnsi="Times New Roman"/>
          <w:sz w:val="22"/>
          <w:szCs w:val="22"/>
        </w:rPr>
        <w:t xml:space="preserve"> and writes </w:t>
      </w:r>
      <w:r>
        <w:rPr>
          <w:rFonts w:ascii="Courier New" w:hAnsi="Courier New"/>
          <w:sz w:val="19"/>
          <w:szCs w:val="19"/>
        </w:rPr>
        <w:t xml:space="preserve">experiments/iam_trocr_finetuned/train_log.json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CLI: </w:t>
      </w:r>
      <w:r>
        <w:rPr>
          <w:rFonts w:ascii="Courier New" w:hAnsi="Courier New"/>
          <w:sz w:val="19"/>
          <w:szCs w:val="19"/>
        </w:rPr>
        <w:t xml:space="preserve">python scripts/run_train.py --config configs/iam_trocr_finetune.yaml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A.5 Evaluation — </w:t>
      </w:r>
      <w:r>
        <w:rPr>
          <w:b/>
          <w:rFonts w:ascii="Courier New" w:hAnsi="Courier New"/>
          <w:sz w:val="26"/>
          <w:szCs w:val="26"/>
        </w:rPr>
        <w:t xml:space="preserve">src/htr/evaluate.py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Backends: </w:t>
      </w:r>
      <w:r>
        <w:rPr>
          <w:rFonts w:ascii="Courier New" w:hAnsi="Courier New"/>
          <w:sz w:val="19"/>
          <w:szCs w:val="19"/>
        </w:rPr>
        <w:t xml:space="preserve">trocr</w:t>
      </w:r>
      <w:r>
        <w:rPr>
          <w:rFonts w:ascii="Times New Roman" w:hAnsi="Times New Roman"/>
          <w:sz w:val="22"/>
          <w:szCs w:val="22"/>
        </w:rPr>
        <w:t xml:space="preserve"> | </w:t>
      </w:r>
      <w:r>
        <w:rPr>
          <w:rFonts w:ascii="Courier New" w:hAnsi="Courier New"/>
          <w:sz w:val="19"/>
          <w:szCs w:val="19"/>
        </w:rPr>
        <w:t xml:space="preserve">tesseract</w:t>
      </w:r>
      <w:r>
        <w:rPr>
          <w:rFonts w:ascii="Times New Roman" w:hAnsi="Times New Roman"/>
          <w:sz w:val="22"/>
          <w:szCs w:val="22"/>
        </w:rPr>
        <w:t xml:space="preserve"> | </w:t>
      </w:r>
      <w:r>
        <w:rPr>
          <w:rFonts w:ascii="Courier New" w:hAnsi="Courier New"/>
          <w:sz w:val="19"/>
          <w:szCs w:val="19"/>
        </w:rPr>
        <w:t xml:space="preserve">crnn</w:t>
      </w:r>
      <w:r>
        <w:rPr>
          <w:rFonts w:ascii="Times New Roman" w:hAnsi="Times New Roman"/>
          <w:sz w:val="22"/>
          <w:szCs w:val="22"/>
        </w:rPr>
        <w:t xml:space="preserve">. Writes </w:t>
      </w:r>
      <w:r>
        <w:rPr>
          <w:rFonts w:ascii="Courier New" w:hAnsi="Courier New"/>
          <w:sz w:val="19"/>
          <w:szCs w:val="19"/>
        </w:rPr>
        <w:t xml:space="preserve">metrics.json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predictions.csv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error_summary.json</w:t>
      </w:r>
      <w:r>
        <w:rPr>
          <w:rFonts w:ascii="Times New Roman" w:hAnsi="Times New Roman"/>
          <w:sz w:val="22"/>
          <w:szCs w:val="22"/>
        </w:rPr>
        <w:t xml:space="preserve">, </w:t>
      </w:r>
      <w:r>
        <w:rPr>
          <w:rFonts w:ascii="Courier New" w:hAnsi="Courier New"/>
          <w:sz w:val="19"/>
          <w:szCs w:val="19"/>
        </w:rPr>
        <w:t xml:space="preserve">config.json</w:t>
      </w:r>
      <w:r>
        <w:rPr>
          <w:rFonts w:ascii="Times New Roman" w:hAnsi="Times New Roman"/>
          <w:sz w:val="22"/>
          <w:szCs w:val="22"/>
        </w:rPr>
        <w:t xml:space="preserve"> under </w:t>
      </w:r>
      <w:r>
        <w:rPr>
          <w:rFonts w:ascii="Courier New" w:hAnsi="Courier New"/>
          <w:sz w:val="19"/>
          <w:szCs w:val="19"/>
        </w:rPr>
        <w:t xml:space="preserve">experiments/&lt;run_id&gt;/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CLI: </w:t>
      </w:r>
      <w:r>
        <w:rPr>
          <w:rFonts w:ascii="Courier New" w:hAnsi="Courier New"/>
          <w:sz w:val="19"/>
          <w:szCs w:val="19"/>
        </w:rPr>
        <w:t xml:space="preserve">python scripts/run_eval.py --config configs/&lt;name&gt;.yaml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A.6 CRNN+CTC — </w:t>
      </w:r>
      <w:r>
        <w:rPr>
          <w:b/>
          <w:rFonts w:ascii="Courier New" w:hAnsi="Courier New"/>
          <w:sz w:val="26"/>
          <w:szCs w:val="26"/>
        </w:rPr>
        <w:t xml:space="preserve">src/htr/baselines/crnn.py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CNN + BiLSTM + CTC baseline. Checkpoint: </w:t>
      </w:r>
      <w:r>
        <w:rPr>
          <w:rFonts w:ascii="Courier New" w:hAnsi="Courier New"/>
          <w:sz w:val="19"/>
          <w:szCs w:val="19"/>
        </w:rPr>
        <w:t xml:space="preserve">models/iam_crnn/{crnn.pt,meta.json}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CLI: </w:t>
      </w:r>
      <w:r>
        <w:rPr>
          <w:rFonts w:ascii="Courier New" w:hAnsi="Courier New"/>
          <w:sz w:val="19"/>
          <w:szCs w:val="19"/>
        </w:rPr>
        <w:t xml:space="preserve">python scripts/run_train_crnn.py --config configs/iam_crnn.yaml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A.7 Metrics — </w:t>
      </w:r>
      <w:r>
        <w:rPr>
          <w:b/>
          <w:rFonts w:ascii="Courier New" w:hAnsi="Courier New"/>
          <w:sz w:val="26"/>
          <w:szCs w:val="26"/>
        </w:rPr>
        <w:t xml:space="preserve">src/htr/metrics.py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Case-sensitive whitespace normalization; corpus CER/WER via </w:t>
      </w:r>
      <w:r>
        <w:rPr>
          <w:rFonts w:ascii="Courier New" w:hAnsi="Courier New"/>
          <w:sz w:val="19"/>
          <w:szCs w:val="19"/>
        </w:rPr>
        <w:t xml:space="preserve">jiwer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A.8 Gradio application — </w:t>
      </w:r>
      <w:r>
        <w:rPr>
          <w:b/>
          <w:rFonts w:ascii="Courier New" w:hAnsi="Courier New"/>
          <w:sz w:val="26"/>
          <w:szCs w:val="26"/>
        </w:rPr>
        <w:t xml:space="preserve">app/gradio_app.py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Interactive recognition with optional ground-truth CER; IAM demo examples.</w:t>
      </w:r>
    </w:p>
    <w:p>
      <w:pPr>
        <w:pStyle w:val="Heading1"/>
      </w:pPr>
      <w:r>
        <w:rPr>
          <w:b/>
          <w:rFonts w:ascii="Times New Roman" w:hAnsi="Times New Roman"/>
          <w:sz w:val="26"/>
          <w:szCs w:val="26"/>
        </w:rPr>
        <w:t xml:space="preserve">A.9 Sample YAML configs</w:t>
      </w:r>
    </w:p>
    <w:p>
      <w:pPr>
        <w:jc w:val="both"/>
      </w:pPr>
      <w:r>
        <w:rPr>
          <w:rFonts w:ascii="Times New Roman" w:hAnsi="Times New Roman"/>
          <w:sz w:val="22"/>
          <w:szCs w:val="22"/>
          <w:b/>
        </w:rPr>
        <w:t xml:space="preserve">Eval (pretrained, full test):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Courier New" w:hAnsi="Courier New"/>
          <w:sz w:val="19"/>
          <w:szCs w:val="19"/>
        </w:rPr>
        <w:t xml:space="preserve">configs/iam_trocr_handwritten.yaml</w:t>
      </w:r>
    </w:p>
    <w:p>
      <w:pPr/>
      <w:r>
        <w:rPr>
          <w:rFonts w:ascii="Courier New" w:hAnsi="Courier New"/>
          <w:sz w:val="19"/>
          <w:szCs w:val="19"/>
        </w:rPr>
        <w:t xml:space="preserve">run_id: iam_trocr_handwritten</w:t>
      </w:r>
    </w:p>
    <w:p>
      <w:pPr/>
      <w:r>
        <w:rPr>
          <w:rFonts w:ascii="Courier New" w:hAnsi="Courier New"/>
          <w:sz w:val="19"/>
          <w:szCs w:val="19"/>
        </w:rPr>
        <w:t xml:space="preserve">checkpoint: microsoft/trocr-base-handwritten</w:t>
      </w:r>
    </w:p>
    <w:p>
      <w:pPr/>
      <w:r>
        <w:rPr>
          <w:rFonts w:ascii="Courier New" w:hAnsi="Courier New"/>
          <w:sz w:val="19"/>
          <w:szCs w:val="19"/>
        </w:rPr>
        <w:t xml:space="preserve">split_dir: data/iam/processed/test</w:t>
      </w:r>
    </w:p>
    <w:p>
      <w:pPr/>
      <w:r>
        <w:rPr>
          <w:rFonts w:ascii="Courier New" w:hAnsi="Courier New"/>
          <w:sz w:val="19"/>
          <w:szCs w:val="19"/>
        </w:rPr>
        <w:t xml:space="preserve">output_dir: experiments</w:t>
      </w:r>
    </w:p>
    <w:p>
      <w:pPr/>
      <w:r>
        <w:rPr>
          <w:rFonts w:ascii="Courier New" w:hAnsi="Courier New"/>
          <w:sz w:val="19"/>
          <w:szCs w:val="19"/>
        </w:rPr>
        <w:t xml:space="preserve">batch_size: 8</w:t>
      </w:r>
    </w:p>
    <w:p>
      <w:pPr/>
      <w:r>
        <w:rPr>
          <w:rFonts w:ascii="Courier New" w:hAnsi="Courier New"/>
          <w:sz w:val="19"/>
          <w:szCs w:val="19"/>
        </w:rPr>
        <w:t xml:space="preserve">backend: trocr</w:t>
      </w:r>
    </w:p>
    <w:p>
      <w:pPr/>
      <w:r>
        <w:rPr>
          <w:rFonts w:ascii="Courier New" w:hAnsi="Courier New"/>
          <w:sz w:val="19"/>
          <w:szCs w:val="19"/>
        </w:rPr>
        <w:t xml:space="preserve">seed: 42</w:t>
      </w:r>
    </w:p>
    <w:p>
      <w:pPr>
        <w:jc w:val="both"/>
      </w:pPr>
      <w:r>
        <w:rPr>
          <w:rFonts w:ascii="Times New Roman" w:hAnsi="Times New Roman"/>
          <w:sz w:val="22"/>
          <w:szCs w:val="22"/>
          <w:b/>
        </w:rPr>
        <w:t xml:space="preserve">Fine-tune: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Courier New" w:hAnsi="Courier New"/>
          <w:sz w:val="19"/>
          <w:szCs w:val="19"/>
        </w:rPr>
        <w:t xml:space="preserve">configs/iam_trocr_finetune.yaml</w:t>
      </w:r>
    </w:p>
    <w:p>
      <w:pPr/>
      <w:r>
        <w:rPr>
          <w:rFonts w:ascii="Courier New" w:hAnsi="Courier New"/>
          <w:sz w:val="19"/>
          <w:szCs w:val="19"/>
        </w:rPr>
        <w:t xml:space="preserve">run_id: iam_trocr_finetuned</w:t>
      </w:r>
    </w:p>
    <w:p>
      <w:pPr/>
      <w:r>
        <w:rPr>
          <w:rFonts w:ascii="Courier New" w:hAnsi="Courier New"/>
          <w:sz w:val="19"/>
          <w:szCs w:val="19"/>
        </w:rPr>
        <w:t xml:space="preserve">base_checkpoint: microsoft/trocr-base-handwritten</w:t>
      </w:r>
    </w:p>
    <w:p>
      <w:pPr/>
      <w:r>
        <w:rPr>
          <w:rFonts w:ascii="Courier New" w:hAnsi="Courier New"/>
          <w:sz w:val="19"/>
          <w:szCs w:val="19"/>
        </w:rPr>
        <w:t xml:space="preserve">train_dir: data/iam/processed/train</w:t>
      </w:r>
    </w:p>
    <w:p>
      <w:pPr/>
      <w:r>
        <w:rPr>
          <w:rFonts w:ascii="Courier New" w:hAnsi="Courier New"/>
          <w:sz w:val="19"/>
          <w:szCs w:val="19"/>
        </w:rPr>
        <w:t xml:space="preserve">val_dir: data/iam/processed/val</w:t>
      </w:r>
    </w:p>
    <w:p>
      <w:pPr/>
      <w:r>
        <w:rPr>
          <w:rFonts w:ascii="Courier New" w:hAnsi="Courier New"/>
          <w:sz w:val="19"/>
          <w:szCs w:val="19"/>
        </w:rPr>
        <w:t xml:space="preserve">output_model_dir: models/iam_trocr_finetuned</w:t>
      </w:r>
    </w:p>
    <w:p>
      <w:pPr/>
      <w:r>
        <w:rPr>
          <w:rFonts w:ascii="Courier New" w:hAnsi="Courier New"/>
          <w:sz w:val="19"/>
          <w:szCs w:val="19"/>
        </w:rPr>
        <w:t xml:space="preserve">learning_rate: 5.0e-6</w:t>
      </w:r>
    </w:p>
    <w:p>
      <w:pPr/>
      <w:r>
        <w:rPr>
          <w:rFonts w:ascii="Courier New" w:hAnsi="Courier New"/>
          <w:sz w:val="19"/>
          <w:szCs w:val="19"/>
        </w:rPr>
        <w:t xml:space="preserve">batch_size: 8</w:t>
      </w:r>
    </w:p>
    <w:p>
      <w:pPr/>
      <w:r>
        <w:rPr>
          <w:rFonts w:ascii="Courier New" w:hAnsi="Courier New"/>
          <w:sz w:val="19"/>
          <w:szCs w:val="19"/>
        </w:rPr>
        <w:t xml:space="preserve">epochs: 8</w:t>
      </w:r>
    </w:p>
    <w:p>
      <w:pPr/>
      <w:r>
        <w:rPr>
          <w:rFonts w:ascii="Courier New" w:hAnsi="Courier New"/>
          <w:sz w:val="19"/>
          <w:szCs w:val="19"/>
        </w:rPr>
        <w:t xml:space="preserve">early_stop_patience: 2</w:t>
      </w:r>
    </w:p>
    <w:p>
      <w:pPr>
        <w:jc w:val="both"/>
      </w:pPr>
      <w:r>
        <w:rPr>
          <w:rFonts w:ascii="Times New Roman" w:hAnsi="Times New Roman"/>
          <w:sz w:val="22"/>
          <w:szCs w:val="22"/>
          <w:b/>
        </w:rPr>
        <w:t xml:space="preserve">CRNN:</w:t>
      </w:r>
      <w:r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Courier New" w:hAnsi="Courier New"/>
          <w:sz w:val="19"/>
          <w:szCs w:val="19"/>
        </w:rPr>
        <w:t xml:space="preserve">configs/iam_crnn.yaml</w:t>
      </w:r>
      <w:r>
        <w:rPr>
          <w:rFonts w:ascii="Times New Roman" w:hAnsi="Times New Roman"/>
          <w:sz w:val="22"/>
          <w:szCs w:val="22"/>
        </w:rPr>
        <w:t xml:space="preserve"> (train fields + </w:t>
      </w:r>
      <w:r>
        <w:rPr>
          <w:rFonts w:ascii="Courier New" w:hAnsi="Courier New"/>
          <w:sz w:val="19"/>
          <w:szCs w:val="19"/>
        </w:rPr>
        <w:t xml:space="preserve">backend: crnn</w:t>
      </w:r>
      <w:r>
        <w:rPr>
          <w:rFonts w:ascii="Times New Roman" w:hAnsi="Times New Roman"/>
          <w:sz w:val="22"/>
          <w:szCs w:val="22"/>
        </w:rPr>
        <w:t xml:space="preserve"> for eval)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Smoke variants with tiny </w:t>
      </w:r>
      <w:r>
        <w:rPr>
          <w:rFonts w:ascii="Courier New" w:hAnsi="Courier New"/>
          <w:sz w:val="19"/>
          <w:szCs w:val="19"/>
        </w:rPr>
        <w:t xml:space="preserve">max_samples</w:t>
      </w:r>
      <w:r>
        <w:rPr>
          <w:rFonts w:ascii="Times New Roman" w:hAnsi="Times New Roman"/>
          <w:sz w:val="22"/>
          <w:szCs w:val="22"/>
        </w:rPr>
        <w:t xml:space="preserve"> / </w:t>
      </w:r>
      <w:r>
        <w:rPr>
          <w:rFonts w:ascii="Courier New" w:hAnsi="Courier New"/>
          <w:sz w:val="19"/>
          <w:szCs w:val="19"/>
        </w:rPr>
        <w:t xml:space="preserve">max_train_samples</w:t>
      </w:r>
      <w:r>
        <w:rPr>
          <w:rFonts w:ascii="Times New Roman" w:hAnsi="Times New Roman"/>
          <w:sz w:val="22"/>
          <w:szCs w:val="22"/>
        </w:rPr>
        <w:t xml:space="preserve"> live under </w:t>
      </w:r>
      <w:r>
        <w:rPr>
          <w:rFonts w:ascii="Courier New" w:hAnsi="Courier New"/>
          <w:sz w:val="19"/>
          <w:szCs w:val="19"/>
        </w:rPr>
        <w:t xml:space="preserve">configs/smoke/</w:t>
      </w:r>
      <w:r>
        <w:rPr>
          <w:rFonts w:ascii="Times New Roman" w:hAnsi="Times New Roman"/>
          <w:sz w:val="22"/>
          <w:szCs w:val="22"/>
        </w:rPr>
        <w:t xml:space="preserve">.</w:t>
      </w:r>
    </w:p>
    <w:p>
      <w:r>
        <w:br w:type="page"/>
      </w:r>
    </w:p>
    <w:p>
      <w:pPr>
        <w:pStyle w:val="Title"/>
        <w:jc w:val="center"/>
      </w:pPr>
      <w:r>
        <w:rPr>
          <w:b/>
          <w:rFonts w:ascii="Times New Roman" w:hAnsi="Times New Roman"/>
          <w:sz w:val="32"/>
          <w:szCs w:val="32"/>
        </w:rPr>
        <w:t xml:space="preserve">References</w:t>
      </w:r>
    </w:p>
    <w:p>
      <w:pPr>
        <w:jc w:val="both"/>
      </w:pPr>
      <w:r>
        <w:rPr>
          <w:rFonts w:ascii="Times New Roman" w:hAnsi="Times New Roman"/>
          <w:sz w:val="22"/>
          <w:szCs w:val="22"/>
        </w:rPr>
        <w:t xml:space="preserve">Harvard author–year entries corresponding to citations used in Chapters 1–5. Entries are listed alphabetically by first author surname.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Balci, B., Saadati, D. and Shiferaw, D. (2017) 'Handwritten text recognition using deep learning', </w:t>
      </w:r>
      <w:r>
        <w:rPr>
          <w:rFonts w:ascii="Times New Roman" w:hAnsi="Times New Roman"/>
          <w:sz w:val="22"/>
          <w:szCs w:val="22"/>
          <w:i/>
        </w:rPr>
        <w:t xml:space="preserve">CS231n: Convolutional Neural Networks for Visual Recognition</w:t>
      </w:r>
      <w:r>
        <w:rPr>
          <w:rFonts w:ascii="Times New Roman" w:hAnsi="Times New Roman"/>
          <w:sz w:val="22"/>
          <w:szCs w:val="22"/>
        </w:rPr>
        <w:t xml:space="preserve">, Stanford University, Course Project Report.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Barrere, K., Soullard, Y., Lemaitre, A. and Coüasnon, B. (2022) 'A light transformer-based architecture for handwritten text recognition', in </w:t>
      </w:r>
      <w:r>
        <w:rPr>
          <w:rFonts w:ascii="Times New Roman" w:hAnsi="Times New Roman"/>
          <w:sz w:val="22"/>
          <w:szCs w:val="22"/>
          <w:i/>
        </w:rPr>
        <w:t xml:space="preserve">Document Analysis Systems (DAS 2022)</w:t>
      </w:r>
      <w:r>
        <w:rPr>
          <w:rFonts w:ascii="Times New Roman" w:hAnsi="Times New Roman"/>
          <w:sz w:val="22"/>
          <w:szCs w:val="22"/>
        </w:rPr>
        <w:t xml:space="preserve">. Lecture Notes in Computer Science, vol. 13237. Cham: Springer, pp. 275–290. Available at: https://doi.org/10.1007/978-3-031-06555-2_19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Bhunia, A.K., Khan, S., Cholakkal, H., Anwer, R.M., Khan, F.S. and Shah, M. (2021) 'Handwriting transformers', in </w:t>
      </w:r>
      <w:r>
        <w:rPr>
          <w:rFonts w:ascii="Times New Roman" w:hAnsi="Times New Roman"/>
          <w:sz w:val="22"/>
          <w:szCs w:val="22"/>
          <w:i/>
        </w:rPr>
        <w:t xml:space="preserve">Proceedings of the IEEE/CVF International Conference on Computer Vision (ICCV)</w:t>
      </w:r>
      <w:r>
        <w:rPr>
          <w:rFonts w:ascii="Times New Roman" w:hAnsi="Times New Roman"/>
          <w:sz w:val="22"/>
          <w:szCs w:val="22"/>
        </w:rPr>
        <w:t xml:space="preserve">. IEEE, pp. 1376–1385.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Coquenet, D., Chatelain, C. and Paquet, T. (2020) 'Recurrence-free unconstrained handwritten text recognition using gated fully convolutional network', in </w:t>
      </w:r>
      <w:r>
        <w:rPr>
          <w:rFonts w:ascii="Times New Roman" w:hAnsi="Times New Roman"/>
          <w:sz w:val="22"/>
          <w:szCs w:val="22"/>
          <w:i/>
        </w:rPr>
        <w:t xml:space="preserve">17th International Conference on Frontiers in Handwriting Recognition (ICFHR)</w:t>
      </w:r>
      <w:r>
        <w:rPr>
          <w:rFonts w:ascii="Times New Roman" w:hAnsi="Times New Roman"/>
          <w:sz w:val="22"/>
          <w:szCs w:val="22"/>
        </w:rPr>
        <w:t xml:space="preserve">. IEEE, pp. 19–24. Available at: https://doi.org/10.1109/ICFHR2020.2020.00015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Covington, M.A. (2009) </w:t>
      </w:r>
      <w:r>
        <w:rPr>
          <w:rFonts w:ascii="Times New Roman" w:hAnsi="Times New Roman"/>
          <w:sz w:val="22"/>
          <w:szCs w:val="22"/>
          <w:i/>
        </w:rPr>
        <w:t xml:space="preserve">Digital SLR Astrophotography</w:t>
      </w:r>
      <w:r>
        <w:rPr>
          <w:rFonts w:ascii="Times New Roman" w:hAnsi="Times New Roman"/>
          <w:sz w:val="22"/>
          <w:szCs w:val="22"/>
        </w:rPr>
        <w:t xml:space="preserve">. Cambridge: Cambridge University Press.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de Sousa Neto, A.F., Bezerra, B.L.D., Toselli, A.H. and Lima, E. (2020) 'HTR-Flor: a deep learning system for offline handwritten text recognition', in </w:t>
      </w:r>
      <w:r>
        <w:rPr>
          <w:rFonts w:ascii="Times New Roman" w:hAnsi="Times New Roman"/>
          <w:sz w:val="22"/>
          <w:szCs w:val="22"/>
          <w:i/>
        </w:rPr>
        <w:t xml:space="preserve">33rd SIBGRAPI Conference on Graphics, Patterns and Images (SIBGRAPI)</w:t>
      </w:r>
      <w:r>
        <w:rPr>
          <w:rFonts w:ascii="Times New Roman" w:hAnsi="Times New Roman"/>
          <w:sz w:val="22"/>
          <w:szCs w:val="22"/>
        </w:rPr>
        <w:t xml:space="preserve">. IEEE, pp. 54–61. Available at: https://doi.org/10.1109/SIBGRAPI51738.2020.00016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Isheawy, N.A.M. and Hasan, H. (2015) 'Optical character recognition (OCR) system', </w:t>
      </w:r>
      <w:r>
        <w:rPr>
          <w:rFonts w:ascii="Times New Roman" w:hAnsi="Times New Roman"/>
          <w:sz w:val="22"/>
          <w:szCs w:val="22"/>
          <w:i/>
        </w:rPr>
        <w:t xml:space="preserve">IOSR Journal of Computer Engineering (IOSR-JCE)</w:t>
      </w:r>
      <w:r>
        <w:rPr>
          <w:rFonts w:ascii="Times New Roman" w:hAnsi="Times New Roman"/>
          <w:sz w:val="22"/>
          <w:szCs w:val="22"/>
        </w:rPr>
        <w:t xml:space="preserve">, 17(2), pp. 22–26.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Kass, D. and Vats, E. (2022) 'AttentionHTR: handwritten text recognition based on attention encoder-decoder networks', in </w:t>
      </w:r>
      <w:r>
        <w:rPr>
          <w:rFonts w:ascii="Times New Roman" w:hAnsi="Times New Roman"/>
          <w:sz w:val="22"/>
          <w:szCs w:val="22"/>
          <w:i/>
        </w:rPr>
        <w:t xml:space="preserve">Document Analysis Systems (DAS 2022)</w:t>
      </w:r>
      <w:r>
        <w:rPr>
          <w:rFonts w:ascii="Times New Roman" w:hAnsi="Times New Roman"/>
          <w:sz w:val="22"/>
          <w:szCs w:val="22"/>
        </w:rPr>
        <w:t xml:space="preserve">. Lecture Notes in Computer Science, vol. 13237. Cham: Springer, pp. 507–522. Available at: https://doi.org/10.1007/978-3-031-06555-2_34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Li, M., Lv, T., Chen, J., Cui, L., Lu, Y., Florencio, D., Zhang, C., Li, Z. and Wei, F. (2023) 'TrOCR: transformer-based optical character recognition with pre-trained models', </w:t>
      </w:r>
      <w:r>
        <w:rPr>
          <w:rFonts w:ascii="Times New Roman" w:hAnsi="Times New Roman"/>
          <w:sz w:val="22"/>
          <w:szCs w:val="22"/>
          <w:i/>
        </w:rPr>
        <w:t xml:space="preserve">Proceedings of the AAAI Conference on Artificial Intelligence</w:t>
      </w:r>
      <w:r>
        <w:rPr>
          <w:rFonts w:ascii="Times New Roman" w:hAnsi="Times New Roman"/>
          <w:sz w:val="22"/>
          <w:szCs w:val="22"/>
        </w:rPr>
        <w:t xml:space="preserve">, 37(11), pp. 13094–13102. Available at: https://doi.org/10.1609/aaai.v37i11.26538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Manchala, S.Y., Kinthali, J., Kotha, K., Kumar, K.S. and Jayalaxmi, J. (2020) 'Handwritten text recognition using deep learning with TensorFlow', </w:t>
      </w:r>
      <w:r>
        <w:rPr>
          <w:rFonts w:ascii="Times New Roman" w:hAnsi="Times New Roman"/>
          <w:sz w:val="22"/>
          <w:szCs w:val="22"/>
          <w:i/>
        </w:rPr>
        <w:t xml:space="preserve">International Journal of Engineering Research &amp; Technology (IJERT)</w:t>
      </w:r>
      <w:r>
        <w:rPr>
          <w:rFonts w:ascii="Times New Roman" w:hAnsi="Times New Roman"/>
          <w:sz w:val="22"/>
          <w:szCs w:val="22"/>
        </w:rPr>
        <w:t xml:space="preserve">, 9(5), pp. 585–590.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Marti, U.-V. and Bunke, H. (2002) 'The IAM-database: an English sentence database for offline handwriting recognition', </w:t>
      </w:r>
      <w:r>
        <w:rPr>
          <w:rFonts w:ascii="Times New Roman" w:hAnsi="Times New Roman"/>
          <w:sz w:val="22"/>
          <w:szCs w:val="22"/>
          <w:i/>
        </w:rPr>
        <w:t xml:space="preserve">International Journal on Document Analysis and Recognition</w:t>
      </w:r>
      <w:r>
        <w:rPr>
          <w:rFonts w:ascii="Times New Roman" w:hAnsi="Times New Roman"/>
          <w:sz w:val="22"/>
          <w:szCs w:val="22"/>
        </w:rPr>
        <w:t xml:space="preserve">, 5(1), pp. 39–46. Available at: https://doi.org/10.1007/s100320200071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Naveenkumar, M. and Ayyasamy, V. (2016) 'OpenCV for computer vision applications', in </w:t>
      </w:r>
      <w:r>
        <w:rPr>
          <w:rFonts w:ascii="Times New Roman" w:hAnsi="Times New Roman"/>
          <w:sz w:val="22"/>
          <w:szCs w:val="22"/>
          <w:i/>
        </w:rPr>
        <w:t xml:space="preserve">Proceedings of the National Conference on Big Data and Cloud Computing (NCBDC)</w:t>
      </w:r>
      <w:r>
        <w:rPr>
          <w:rFonts w:ascii="Times New Roman" w:hAnsi="Times New Roman"/>
          <w:sz w:val="22"/>
          <w:szCs w:val="22"/>
        </w:rPr>
        <w:t xml:space="preserve">. pp. 52–56.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Parres, D. and Paredes, R. (2023) 'Fine-tuning vision encoder–decoder transformers for handwriting text recognition on historical documents', in </w:t>
      </w:r>
      <w:r>
        <w:rPr>
          <w:rFonts w:ascii="Times New Roman" w:hAnsi="Times New Roman"/>
          <w:sz w:val="22"/>
          <w:szCs w:val="22"/>
          <w:i/>
        </w:rPr>
        <w:t xml:space="preserve">Document Analysis and Recognition – ICDAR 2023</w:t>
      </w:r>
      <w:r>
        <w:rPr>
          <w:rFonts w:ascii="Times New Roman" w:hAnsi="Times New Roman"/>
          <w:sz w:val="22"/>
          <w:szCs w:val="22"/>
        </w:rPr>
        <w:t xml:space="preserve">. Lecture Notes in Computer Science, vol. 14191. Cham: Springer, pp. 253–268. Available at: https://doi.org/10.1007/978-3-031-41685-9_16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Sahare, P., Dhok, S.B. and Dhok, S. (2018) 'Review of text extraction algorithms for scene-text and document images', </w:t>
      </w:r>
      <w:r>
        <w:rPr>
          <w:rFonts w:ascii="Times New Roman" w:hAnsi="Times New Roman"/>
          <w:sz w:val="22"/>
          <w:szCs w:val="22"/>
          <w:i/>
        </w:rPr>
        <w:t xml:space="preserve">IETE Technical Review</w:t>
      </w:r>
      <w:r>
        <w:rPr>
          <w:rFonts w:ascii="Times New Roman" w:hAnsi="Times New Roman"/>
          <w:sz w:val="22"/>
          <w:szCs w:val="22"/>
        </w:rPr>
        <w:t xml:space="preserve">, 35(3), pp. 1–22.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Skala, V., Singh, T.P., Choudhury, T., Tomar, R. and Bashar, A. (eds.) (2022) </w:t>
      </w:r>
      <w:r>
        <w:rPr>
          <w:rFonts w:ascii="Times New Roman" w:hAnsi="Times New Roman"/>
          <w:sz w:val="22"/>
          <w:szCs w:val="22"/>
          <w:i/>
        </w:rPr>
        <w:t xml:space="preserve">Machine Intelligence and Data Science Applications</w:t>
      </w:r>
      <w:r>
        <w:rPr>
          <w:rFonts w:ascii="Times New Roman" w:hAnsi="Times New Roman"/>
          <w:sz w:val="22"/>
          <w:szCs w:val="22"/>
        </w:rPr>
        <w:t xml:space="preserve">. Lecture Notes on Data Engineering and Communications Technologies. Singapore: Springer.</w:t>
      </w:r>
    </w:p>
    <w:p>
      <w:pPr>
        <w:ind w:left="720" w:hanging="720"/>
        <w:jc w:val="both"/>
      </w:pPr>
      <w:r>
        <w:rPr>
          <w:rFonts w:ascii="Times New Roman" w:hAnsi="Times New Roman"/>
          <w:sz w:val="22"/>
          <w:szCs w:val="22"/>
        </w:rPr>
        <w:t xml:space="preserve">Smith, R. (2007) 'An overview of the Tesseract OCR engine', in </w:t>
      </w:r>
      <w:r>
        <w:rPr>
          <w:rFonts w:ascii="Times New Roman" w:hAnsi="Times New Roman"/>
          <w:sz w:val="22"/>
          <w:szCs w:val="22"/>
          <w:i/>
        </w:rPr>
        <w:t xml:space="preserve">Ninth International Conference on Document Analysis and Recognition (ICDAR)</w:t>
      </w:r>
      <w:r>
        <w:rPr>
          <w:rFonts w:ascii="Times New Roman" w:hAnsi="Times New Roman"/>
          <w:sz w:val="22"/>
          <w:szCs w:val="22"/>
        </w:rPr>
        <w:t xml:space="preserve">. IEEE, pp. 629–633. Available at: https://doi.org/10.1109/ICDAR.2007.4376991</w:t>
      </w:r>
    </w:p>
    <w:sectPr>
      <w:pgSz w:w="11906" w:h="16838"/>
      <w:pgMar w:top="1440" w:right="1440" w:bottom="1440" w:left="1440"/>
    </w:sectPr>
  </w:body>
</w:document>
</file>