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"/>
        <w:jc w:val="center"/>
      </w:pPr>
      <w:r>
        <w:rPr>
          <w:b/>
          <w:rFonts w:ascii="Times New Roman" w:hAnsi="Times New Roman"/>
          <w:sz w:val="32"/>
          <w:szCs w:val="32"/>
        </w:rPr>
        <w:t xml:space="preserve">References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Harvard author–year entries corresponding to citations used in Chapters 1–5. Entries are listed alphabetically by first author surname.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Balci, B., Saadati, D. and Shiferaw, D. (2017) 'Handwritten text recognition using deep learning', </w:t>
      </w:r>
      <w:r>
        <w:rPr>
          <w:rFonts w:ascii="Times New Roman" w:hAnsi="Times New Roman"/>
          <w:sz w:val="22"/>
          <w:szCs w:val="22"/>
          <w:i/>
        </w:rPr>
        <w:t xml:space="preserve">CS231n: Convolutional Neural Networks for Visual Recognition</w:t>
      </w:r>
      <w:r>
        <w:rPr>
          <w:rFonts w:ascii="Times New Roman" w:hAnsi="Times New Roman"/>
          <w:sz w:val="22"/>
          <w:szCs w:val="22"/>
        </w:rPr>
        <w:t xml:space="preserve">, Stanford University, Course Project Report.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Barrere, K., Soullard, Y., Lemaitre, A. and Coüasnon, B. (2022) 'A light transformer-based architecture for handwritten text recognition', in </w:t>
      </w:r>
      <w:r>
        <w:rPr>
          <w:rFonts w:ascii="Times New Roman" w:hAnsi="Times New Roman"/>
          <w:sz w:val="22"/>
          <w:szCs w:val="22"/>
          <w:i/>
        </w:rPr>
        <w:t xml:space="preserve">Document Analysis Systems (DAS 2022)</w:t>
      </w:r>
      <w:r>
        <w:rPr>
          <w:rFonts w:ascii="Times New Roman" w:hAnsi="Times New Roman"/>
          <w:sz w:val="22"/>
          <w:szCs w:val="22"/>
        </w:rPr>
        <w:t xml:space="preserve">. Lecture Notes in Computer Science, vol. 13237. Cham: Springer, pp. 275–290. Available at: https://doi.org/10.1007/978-3-031-06555-2_19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Bhunia, A.K., Khan, S., Cholakkal, H., Anwer, R.M., Khan, F.S. and Shah, M. (2021) 'Handwriting transformers', in </w:t>
      </w:r>
      <w:r>
        <w:rPr>
          <w:rFonts w:ascii="Times New Roman" w:hAnsi="Times New Roman"/>
          <w:sz w:val="22"/>
          <w:szCs w:val="22"/>
          <w:i/>
        </w:rPr>
        <w:t xml:space="preserve">Proceedings of the IEEE/CVF International Conference on Computer Vision (ICCV)</w:t>
      </w:r>
      <w:r>
        <w:rPr>
          <w:rFonts w:ascii="Times New Roman" w:hAnsi="Times New Roman"/>
          <w:sz w:val="22"/>
          <w:szCs w:val="22"/>
        </w:rPr>
        <w:t xml:space="preserve">. IEEE, pp. 1376–1385.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Coquenet, D., Chatelain, C. and Paquet, T. (2020) 'Recurrence-free unconstrained handwritten text recognition using gated fully convolutional network', in </w:t>
      </w:r>
      <w:r>
        <w:rPr>
          <w:rFonts w:ascii="Times New Roman" w:hAnsi="Times New Roman"/>
          <w:sz w:val="22"/>
          <w:szCs w:val="22"/>
          <w:i/>
        </w:rPr>
        <w:t xml:space="preserve">17th International Conference on Frontiers in Handwriting Recognition (ICFHR)</w:t>
      </w:r>
      <w:r>
        <w:rPr>
          <w:rFonts w:ascii="Times New Roman" w:hAnsi="Times New Roman"/>
          <w:sz w:val="22"/>
          <w:szCs w:val="22"/>
        </w:rPr>
        <w:t xml:space="preserve">. IEEE, pp. 19–24. Available at: https://doi.org/10.1109/ICFHR2020.2020.00015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Covington, M.A. (2009) </w:t>
      </w:r>
      <w:r>
        <w:rPr>
          <w:rFonts w:ascii="Times New Roman" w:hAnsi="Times New Roman"/>
          <w:sz w:val="22"/>
          <w:szCs w:val="22"/>
          <w:i/>
        </w:rPr>
        <w:t xml:space="preserve">Digital SLR Astrophotography</w:t>
      </w:r>
      <w:r>
        <w:rPr>
          <w:rFonts w:ascii="Times New Roman" w:hAnsi="Times New Roman"/>
          <w:sz w:val="22"/>
          <w:szCs w:val="22"/>
        </w:rPr>
        <w:t xml:space="preserve">. Cambridge: Cambridge University Press.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de Sousa Neto, A.F., Bezerra, B.L.D., Toselli, A.H. and Lima, E. (2020) 'HTR-Flor: a deep learning system for offline handwritten text recognition', in </w:t>
      </w:r>
      <w:r>
        <w:rPr>
          <w:rFonts w:ascii="Times New Roman" w:hAnsi="Times New Roman"/>
          <w:sz w:val="22"/>
          <w:szCs w:val="22"/>
          <w:i/>
        </w:rPr>
        <w:t xml:space="preserve">33rd SIBGRAPI Conference on Graphics, Patterns and Images (SIBGRAPI)</w:t>
      </w:r>
      <w:r>
        <w:rPr>
          <w:rFonts w:ascii="Times New Roman" w:hAnsi="Times New Roman"/>
          <w:sz w:val="22"/>
          <w:szCs w:val="22"/>
        </w:rPr>
        <w:t xml:space="preserve">. IEEE, pp. 54–61. Available at: https://doi.org/10.1109/SIBGRAPI51738.2020.00016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Isheawy, N.A.M. and Hasan, H. (2015) 'Optical character recognition (OCR) system', </w:t>
      </w:r>
      <w:r>
        <w:rPr>
          <w:rFonts w:ascii="Times New Roman" w:hAnsi="Times New Roman"/>
          <w:sz w:val="22"/>
          <w:szCs w:val="22"/>
          <w:i/>
        </w:rPr>
        <w:t xml:space="preserve">IOSR Journal of Computer Engineering (IOSR-JCE)</w:t>
      </w:r>
      <w:r>
        <w:rPr>
          <w:rFonts w:ascii="Times New Roman" w:hAnsi="Times New Roman"/>
          <w:sz w:val="22"/>
          <w:szCs w:val="22"/>
        </w:rPr>
        <w:t xml:space="preserve">, 17(2), pp. 22–26.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Kass, D. and Vats, E. (2022) 'AttentionHTR: handwritten text recognition based on attention encoder-decoder networks', in </w:t>
      </w:r>
      <w:r>
        <w:rPr>
          <w:rFonts w:ascii="Times New Roman" w:hAnsi="Times New Roman"/>
          <w:sz w:val="22"/>
          <w:szCs w:val="22"/>
          <w:i/>
        </w:rPr>
        <w:t xml:space="preserve">Document Analysis Systems (DAS 2022)</w:t>
      </w:r>
      <w:r>
        <w:rPr>
          <w:rFonts w:ascii="Times New Roman" w:hAnsi="Times New Roman"/>
          <w:sz w:val="22"/>
          <w:szCs w:val="22"/>
        </w:rPr>
        <w:t xml:space="preserve">. Lecture Notes in Computer Science, vol. 13237. Cham: Springer, pp. 507–522. Available at: https://doi.org/10.1007/978-3-031-06555-2_34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Li, M., Lv, T., Chen, J., Cui, L., Lu, Y., Florencio, D., Zhang, C., Li, Z. and Wei, F. (2023) 'TrOCR: transformer-based optical character recognition with pre-trained models', </w:t>
      </w:r>
      <w:r>
        <w:rPr>
          <w:rFonts w:ascii="Times New Roman" w:hAnsi="Times New Roman"/>
          <w:sz w:val="22"/>
          <w:szCs w:val="22"/>
          <w:i/>
        </w:rPr>
        <w:t xml:space="preserve">Proceedings of the AAAI Conference on Artificial Intelligence</w:t>
      </w:r>
      <w:r>
        <w:rPr>
          <w:rFonts w:ascii="Times New Roman" w:hAnsi="Times New Roman"/>
          <w:sz w:val="22"/>
          <w:szCs w:val="22"/>
        </w:rPr>
        <w:t xml:space="preserve">, 37(11), pp. 13094–13102. Available at: https://doi.org/10.1609/aaai.v37i11.26538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Manchala, S.Y., Kinthali, J., Kotha, K., Kumar, K.S. and Jayalaxmi, J. (2020) 'Handwritten text recognition using deep learning with TensorFlow', </w:t>
      </w:r>
      <w:r>
        <w:rPr>
          <w:rFonts w:ascii="Times New Roman" w:hAnsi="Times New Roman"/>
          <w:sz w:val="22"/>
          <w:szCs w:val="22"/>
          <w:i/>
        </w:rPr>
        <w:t xml:space="preserve">International Journal of Engineering Research &amp; Technology (IJERT)</w:t>
      </w:r>
      <w:r>
        <w:rPr>
          <w:rFonts w:ascii="Times New Roman" w:hAnsi="Times New Roman"/>
          <w:sz w:val="22"/>
          <w:szCs w:val="22"/>
        </w:rPr>
        <w:t xml:space="preserve">, 9(5), pp. 585–590.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Marti, U.-V. and Bunke, H. (2002) 'The IAM-database: an English sentence database for offline handwriting recognition', </w:t>
      </w:r>
      <w:r>
        <w:rPr>
          <w:rFonts w:ascii="Times New Roman" w:hAnsi="Times New Roman"/>
          <w:sz w:val="22"/>
          <w:szCs w:val="22"/>
          <w:i/>
        </w:rPr>
        <w:t xml:space="preserve">International Journal on Document Analysis and Recognition</w:t>
      </w:r>
      <w:r>
        <w:rPr>
          <w:rFonts w:ascii="Times New Roman" w:hAnsi="Times New Roman"/>
          <w:sz w:val="22"/>
          <w:szCs w:val="22"/>
        </w:rPr>
        <w:t xml:space="preserve">, 5(1), pp. 39–46. Available at: https://doi.org/10.1007/s100320200071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Naveenkumar, M. and Ayyasamy, V. (2016) 'OpenCV for computer vision applications', in </w:t>
      </w:r>
      <w:r>
        <w:rPr>
          <w:rFonts w:ascii="Times New Roman" w:hAnsi="Times New Roman"/>
          <w:sz w:val="22"/>
          <w:szCs w:val="22"/>
          <w:i/>
        </w:rPr>
        <w:t xml:space="preserve">Proceedings of the National Conference on Big Data and Cloud Computing (NCBDC)</w:t>
      </w:r>
      <w:r>
        <w:rPr>
          <w:rFonts w:ascii="Times New Roman" w:hAnsi="Times New Roman"/>
          <w:sz w:val="22"/>
          <w:szCs w:val="22"/>
        </w:rPr>
        <w:t xml:space="preserve">. pp. 52–56.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Parres, D. and Paredes, R. (2023) 'Fine-tuning vision encoder–decoder transformers for handwriting text recognition on historical documents', in </w:t>
      </w:r>
      <w:r>
        <w:rPr>
          <w:rFonts w:ascii="Times New Roman" w:hAnsi="Times New Roman"/>
          <w:sz w:val="22"/>
          <w:szCs w:val="22"/>
          <w:i/>
        </w:rPr>
        <w:t xml:space="preserve">Document Analysis and Recognition – ICDAR 2023</w:t>
      </w:r>
      <w:r>
        <w:rPr>
          <w:rFonts w:ascii="Times New Roman" w:hAnsi="Times New Roman"/>
          <w:sz w:val="22"/>
          <w:szCs w:val="22"/>
        </w:rPr>
        <w:t xml:space="preserve">. Lecture Notes in Computer Science, vol. 14191. Cham: Springer, pp. 253–268. Available at: https://doi.org/10.1007/978-3-031-41685-9_16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Sahare, P., Dhok, S.B. and Dhok, S. (2018) 'Review of text extraction algorithms for scene-text and document images', </w:t>
      </w:r>
      <w:r>
        <w:rPr>
          <w:rFonts w:ascii="Times New Roman" w:hAnsi="Times New Roman"/>
          <w:sz w:val="22"/>
          <w:szCs w:val="22"/>
          <w:i/>
        </w:rPr>
        <w:t xml:space="preserve">IETE Technical Review</w:t>
      </w:r>
      <w:r>
        <w:rPr>
          <w:rFonts w:ascii="Times New Roman" w:hAnsi="Times New Roman"/>
          <w:sz w:val="22"/>
          <w:szCs w:val="22"/>
        </w:rPr>
        <w:t xml:space="preserve">, 35(3), pp. 1–22.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Skala, V., Singh, T.P., Choudhury, T., Tomar, R. and Bashar, A. (eds.) (2022) </w:t>
      </w:r>
      <w:r>
        <w:rPr>
          <w:rFonts w:ascii="Times New Roman" w:hAnsi="Times New Roman"/>
          <w:sz w:val="22"/>
          <w:szCs w:val="22"/>
          <w:i/>
        </w:rPr>
        <w:t xml:space="preserve">Machine Intelligence and Data Science Applications</w:t>
      </w:r>
      <w:r>
        <w:rPr>
          <w:rFonts w:ascii="Times New Roman" w:hAnsi="Times New Roman"/>
          <w:sz w:val="22"/>
          <w:szCs w:val="22"/>
        </w:rPr>
        <w:t xml:space="preserve">. Lecture Notes on Data Engineering and Communications Technologies. Singapore: Springer.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Smith, R. (2007) 'An overview of the Tesseract OCR engine', in </w:t>
      </w:r>
      <w:r>
        <w:rPr>
          <w:rFonts w:ascii="Times New Roman" w:hAnsi="Times New Roman"/>
          <w:sz w:val="22"/>
          <w:szCs w:val="22"/>
          <w:i/>
        </w:rPr>
        <w:t xml:space="preserve">Ninth International Conference on Document Analysis and Recognition (ICDAR)</w:t>
      </w:r>
      <w:r>
        <w:rPr>
          <w:rFonts w:ascii="Times New Roman" w:hAnsi="Times New Roman"/>
          <w:sz w:val="22"/>
          <w:szCs w:val="22"/>
        </w:rPr>
        <w:t xml:space="preserve">. IEEE, pp. 629–633. Available at: https://doi.org/10.1109/ICDAR.2007.4376991</w:t>
      </w:r>
    </w:p>
    <w:sectPr>
      <w:pgSz w:w="11906" w:h="16838"/>
      <w:pgMar w:top="1440" w:right="1440" w:bottom="1440" w:left="1440"/>
    </w:sectPr>
  </w:body>
</w:document>
</file>