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DE02F" w14:textId="2D6C7DE8" w:rsidR="007A28C3" w:rsidRPr="00F13E77" w:rsidRDefault="00F13E77">
      <w:pPr>
        <w:rPr>
          <w:rFonts w:ascii="Times New Roman" w:hAnsi="Times New Roman" w:cs="Times New Roman"/>
          <w:b/>
        </w:rPr>
      </w:pPr>
      <w:r>
        <w:rPr>
          <w:rFonts w:ascii="Times New Roman" w:hAnsi="Times New Roman" w:cs="Times New Roman"/>
          <w:b/>
        </w:rPr>
        <w:t>1)</w:t>
      </w:r>
    </w:p>
    <w:p w14:paraId="0C7AF826" w14:textId="412209BF" w:rsidR="00AD4FB1" w:rsidRDefault="007A28C3" w:rsidP="00C20DCA">
      <w:pPr>
        <w:spacing w:line="480" w:lineRule="auto"/>
        <w:ind w:firstLine="720"/>
        <w:rPr>
          <w:rFonts w:ascii="Times New Roman" w:hAnsi="Times New Roman" w:cs="Times New Roman"/>
        </w:rPr>
      </w:pPr>
      <w:r>
        <w:rPr>
          <w:rFonts w:ascii="Times New Roman" w:hAnsi="Times New Roman" w:cs="Times New Roman"/>
        </w:rPr>
        <w:t>The distribution of ha</w:t>
      </w:r>
      <w:r w:rsidR="006A348E">
        <w:rPr>
          <w:rFonts w:ascii="Times New Roman" w:hAnsi="Times New Roman" w:cs="Times New Roman"/>
        </w:rPr>
        <w:t xml:space="preserve">zardous waste within the U.S. </w:t>
      </w:r>
      <w:r w:rsidR="00A972F6">
        <w:rPr>
          <w:rFonts w:ascii="Times New Roman" w:hAnsi="Times New Roman" w:cs="Times New Roman"/>
        </w:rPr>
        <w:t>is</w:t>
      </w:r>
      <w:r>
        <w:rPr>
          <w:rFonts w:ascii="Times New Roman" w:hAnsi="Times New Roman" w:cs="Times New Roman"/>
        </w:rPr>
        <w:t xml:space="preserve"> motivated by the interplay of political, economic, prejudicial, and classist </w:t>
      </w:r>
      <w:r w:rsidR="00A3442F">
        <w:rPr>
          <w:rFonts w:ascii="Times New Roman" w:hAnsi="Times New Roman" w:cs="Times New Roman"/>
        </w:rPr>
        <w:t>forces</w:t>
      </w:r>
      <w:r>
        <w:rPr>
          <w:rFonts w:ascii="Times New Roman" w:hAnsi="Times New Roman" w:cs="Times New Roman"/>
        </w:rPr>
        <w:t>.</w:t>
      </w:r>
      <w:r w:rsidR="00CD17F5">
        <w:rPr>
          <w:rFonts w:ascii="Times New Roman" w:hAnsi="Times New Roman" w:cs="Times New Roman"/>
        </w:rPr>
        <w:t xml:space="preserve"> The elements of prejudice and classism are, however, </w:t>
      </w:r>
      <w:r w:rsidR="006A348E">
        <w:rPr>
          <w:rFonts w:ascii="Times New Roman" w:hAnsi="Times New Roman" w:cs="Times New Roman"/>
        </w:rPr>
        <w:t xml:space="preserve">structurally </w:t>
      </w:r>
      <w:r w:rsidR="00CD17F5">
        <w:rPr>
          <w:rFonts w:ascii="Times New Roman" w:hAnsi="Times New Roman" w:cs="Times New Roman"/>
        </w:rPr>
        <w:t>hidden under</w:t>
      </w:r>
      <w:r w:rsidR="00A972F6">
        <w:rPr>
          <w:rFonts w:ascii="Times New Roman" w:hAnsi="Times New Roman" w:cs="Times New Roman"/>
        </w:rPr>
        <w:t xml:space="preserve"> the</w:t>
      </w:r>
      <w:r w:rsidR="00CD17F5">
        <w:rPr>
          <w:rFonts w:ascii="Times New Roman" w:hAnsi="Times New Roman" w:cs="Times New Roman"/>
        </w:rPr>
        <w:t xml:space="preserve"> economic and political machinery that </w:t>
      </w:r>
      <w:r w:rsidR="00A27BB5">
        <w:rPr>
          <w:rFonts w:ascii="Times New Roman" w:hAnsi="Times New Roman" w:cs="Times New Roman"/>
        </w:rPr>
        <w:t>directly control waste management</w:t>
      </w:r>
      <w:r w:rsidR="00027B2B">
        <w:rPr>
          <w:rFonts w:ascii="Times New Roman" w:hAnsi="Times New Roman" w:cs="Times New Roman"/>
        </w:rPr>
        <w:t xml:space="preserve"> (Pulido, 33). </w:t>
      </w:r>
      <w:r w:rsidR="00D24F67">
        <w:rPr>
          <w:rFonts w:ascii="Times New Roman" w:hAnsi="Times New Roman" w:cs="Times New Roman"/>
        </w:rPr>
        <w:t>First among these in</w:t>
      </w:r>
      <w:r w:rsidR="00AD4FB1">
        <w:rPr>
          <w:rFonts w:ascii="Times New Roman" w:hAnsi="Times New Roman" w:cs="Times New Roman"/>
        </w:rPr>
        <w:t xml:space="preserve">stitutions are the companies constituting </w:t>
      </w:r>
      <w:r w:rsidR="00E614A2">
        <w:rPr>
          <w:rFonts w:ascii="Times New Roman" w:hAnsi="Times New Roman" w:cs="Times New Roman"/>
        </w:rPr>
        <w:t>the waste industry:</w:t>
      </w:r>
      <w:r w:rsidR="00A972F6">
        <w:rPr>
          <w:rFonts w:ascii="Times New Roman" w:hAnsi="Times New Roman" w:cs="Times New Roman"/>
        </w:rPr>
        <w:t xml:space="preserve"> Waste Management</w:t>
      </w:r>
      <w:r w:rsidR="00A3442F">
        <w:rPr>
          <w:rFonts w:ascii="Times New Roman" w:hAnsi="Times New Roman" w:cs="Times New Roman"/>
        </w:rPr>
        <w:t>, Newalta</w:t>
      </w:r>
      <w:r w:rsidR="00AD4FB1">
        <w:rPr>
          <w:rFonts w:ascii="Times New Roman" w:hAnsi="Times New Roman" w:cs="Times New Roman"/>
        </w:rPr>
        <w:t xml:space="preserve">, </w:t>
      </w:r>
      <w:r w:rsidR="00B21CF3">
        <w:rPr>
          <w:rFonts w:ascii="Times New Roman" w:hAnsi="Times New Roman" w:cs="Times New Roman"/>
        </w:rPr>
        <w:t>etc</w:t>
      </w:r>
      <w:r w:rsidR="00E614A2">
        <w:rPr>
          <w:rFonts w:ascii="Times New Roman" w:hAnsi="Times New Roman" w:cs="Times New Roman"/>
        </w:rPr>
        <w:t>. Being for-profit, these companie</w:t>
      </w:r>
      <w:r w:rsidR="00B21CF3">
        <w:rPr>
          <w:rFonts w:ascii="Times New Roman" w:hAnsi="Times New Roman" w:cs="Times New Roman"/>
        </w:rPr>
        <w:t xml:space="preserve">s not surprisingly seek out </w:t>
      </w:r>
      <w:r w:rsidR="00AD4FB1">
        <w:rPr>
          <w:rFonts w:ascii="Times New Roman" w:hAnsi="Times New Roman" w:cs="Times New Roman"/>
        </w:rPr>
        <w:t>monetarily</w:t>
      </w:r>
      <w:r w:rsidR="00E614A2">
        <w:rPr>
          <w:rFonts w:ascii="Times New Roman" w:hAnsi="Times New Roman" w:cs="Times New Roman"/>
        </w:rPr>
        <w:t xml:space="preserve"> efficient locations </w:t>
      </w:r>
      <w:r w:rsidR="00A972F6">
        <w:rPr>
          <w:rFonts w:ascii="Times New Roman" w:hAnsi="Times New Roman" w:cs="Times New Roman"/>
        </w:rPr>
        <w:t>for</w:t>
      </w:r>
      <w:r w:rsidR="00E614A2">
        <w:rPr>
          <w:rFonts w:ascii="Times New Roman" w:hAnsi="Times New Roman" w:cs="Times New Roman"/>
        </w:rPr>
        <w:t xml:space="preserve"> waste disposal.</w:t>
      </w:r>
      <w:r w:rsidR="00C20DCA">
        <w:rPr>
          <w:rFonts w:ascii="Times New Roman" w:hAnsi="Times New Roman" w:cs="Times New Roman"/>
        </w:rPr>
        <w:t xml:space="preserve"> Many, more maliciously, </w:t>
      </w:r>
      <w:r w:rsidR="00A3442F">
        <w:rPr>
          <w:rFonts w:ascii="Times New Roman" w:hAnsi="Times New Roman" w:cs="Times New Roman"/>
        </w:rPr>
        <w:t xml:space="preserve">‘target’ those locations </w:t>
      </w:r>
      <w:r w:rsidR="00C20DCA">
        <w:rPr>
          <w:rFonts w:ascii="Times New Roman" w:hAnsi="Times New Roman" w:cs="Times New Roman"/>
        </w:rPr>
        <w:t xml:space="preserve">least </w:t>
      </w:r>
      <w:r w:rsidR="00A972F6">
        <w:rPr>
          <w:rFonts w:ascii="Times New Roman" w:hAnsi="Times New Roman" w:cs="Times New Roman"/>
        </w:rPr>
        <w:t>able</w:t>
      </w:r>
      <w:r w:rsidR="00C20DCA">
        <w:rPr>
          <w:rFonts w:ascii="Times New Roman" w:hAnsi="Times New Roman" w:cs="Times New Roman"/>
        </w:rPr>
        <w:t xml:space="preserve"> to </w:t>
      </w:r>
      <w:r w:rsidR="00A14B33">
        <w:rPr>
          <w:rFonts w:ascii="Times New Roman" w:hAnsi="Times New Roman" w:cs="Times New Roman"/>
        </w:rPr>
        <w:t>challenge them legally</w:t>
      </w:r>
      <w:r w:rsidR="00B41C39">
        <w:rPr>
          <w:rFonts w:ascii="Times New Roman" w:hAnsi="Times New Roman" w:cs="Times New Roman"/>
        </w:rPr>
        <w:t>.</w:t>
      </w:r>
      <w:r w:rsidR="00E614A2">
        <w:rPr>
          <w:rFonts w:ascii="Times New Roman" w:hAnsi="Times New Roman" w:cs="Times New Roman"/>
        </w:rPr>
        <w:t xml:space="preserve"> </w:t>
      </w:r>
      <w:r w:rsidR="00B41C39">
        <w:rPr>
          <w:rFonts w:ascii="Times New Roman" w:hAnsi="Times New Roman" w:cs="Times New Roman"/>
        </w:rPr>
        <w:t>Regardless of intent</w:t>
      </w:r>
      <w:r w:rsidR="00E614A2">
        <w:rPr>
          <w:rFonts w:ascii="Times New Roman" w:hAnsi="Times New Roman" w:cs="Times New Roman"/>
        </w:rPr>
        <w:t xml:space="preserve">, the locations </w:t>
      </w:r>
      <w:r w:rsidR="00D171EB">
        <w:rPr>
          <w:rFonts w:ascii="Times New Roman" w:hAnsi="Times New Roman" w:cs="Times New Roman"/>
        </w:rPr>
        <w:t xml:space="preserve">chosen are </w:t>
      </w:r>
      <w:r w:rsidR="00A14B33">
        <w:rPr>
          <w:rFonts w:ascii="Times New Roman" w:hAnsi="Times New Roman" w:cs="Times New Roman"/>
        </w:rPr>
        <w:t xml:space="preserve">overwhelmingly </w:t>
      </w:r>
      <w:r w:rsidR="00D171EB">
        <w:rPr>
          <w:rFonts w:ascii="Times New Roman" w:hAnsi="Times New Roman" w:cs="Times New Roman"/>
        </w:rPr>
        <w:t xml:space="preserve">those harboring </w:t>
      </w:r>
      <w:r w:rsidR="00366427">
        <w:rPr>
          <w:rFonts w:ascii="Times New Roman" w:hAnsi="Times New Roman" w:cs="Times New Roman"/>
        </w:rPr>
        <w:t>communities ill-</w:t>
      </w:r>
      <w:r w:rsidR="00E614A2">
        <w:rPr>
          <w:rFonts w:ascii="Times New Roman" w:hAnsi="Times New Roman" w:cs="Times New Roman"/>
        </w:rPr>
        <w:t>equipped</w:t>
      </w:r>
      <w:r w:rsidR="00AD4FB1">
        <w:rPr>
          <w:rFonts w:ascii="Times New Roman" w:hAnsi="Times New Roman" w:cs="Times New Roman"/>
        </w:rPr>
        <w:t xml:space="preserve"> to protect themselves</w:t>
      </w:r>
      <w:r w:rsidR="00D171EB">
        <w:rPr>
          <w:rFonts w:ascii="Times New Roman" w:hAnsi="Times New Roman" w:cs="Times New Roman"/>
        </w:rPr>
        <w:t xml:space="preserve">. These communities are </w:t>
      </w:r>
      <w:r w:rsidR="00AD4FB1">
        <w:rPr>
          <w:rFonts w:ascii="Times New Roman" w:hAnsi="Times New Roman" w:cs="Times New Roman"/>
        </w:rPr>
        <w:t>commonly</w:t>
      </w:r>
      <w:r w:rsidR="00D171EB">
        <w:rPr>
          <w:rFonts w:ascii="Times New Roman" w:hAnsi="Times New Roman" w:cs="Times New Roman"/>
        </w:rPr>
        <w:t xml:space="preserve"> </w:t>
      </w:r>
      <w:r w:rsidR="00A14B33">
        <w:rPr>
          <w:rFonts w:ascii="Times New Roman" w:hAnsi="Times New Roman" w:cs="Times New Roman"/>
        </w:rPr>
        <w:t>without healthcare</w:t>
      </w:r>
      <w:r w:rsidR="00D171EB">
        <w:rPr>
          <w:rFonts w:ascii="Times New Roman" w:hAnsi="Times New Roman" w:cs="Times New Roman"/>
        </w:rPr>
        <w:t xml:space="preserve"> and with insufficient political weight to resist the </w:t>
      </w:r>
      <w:r w:rsidR="00366427">
        <w:rPr>
          <w:rFonts w:ascii="Times New Roman" w:hAnsi="Times New Roman" w:cs="Times New Roman"/>
        </w:rPr>
        <w:t xml:space="preserve">industries </w:t>
      </w:r>
      <w:r w:rsidR="00D171EB">
        <w:rPr>
          <w:rFonts w:ascii="Times New Roman" w:hAnsi="Times New Roman" w:cs="Times New Roman"/>
        </w:rPr>
        <w:t xml:space="preserve">endangering their </w:t>
      </w:r>
      <w:r w:rsidR="00A27BB5">
        <w:rPr>
          <w:rFonts w:ascii="Times New Roman" w:hAnsi="Times New Roman" w:cs="Times New Roman"/>
        </w:rPr>
        <w:t>health</w:t>
      </w:r>
      <w:r w:rsidR="00D171EB">
        <w:rPr>
          <w:rFonts w:ascii="Times New Roman" w:hAnsi="Times New Roman" w:cs="Times New Roman"/>
        </w:rPr>
        <w:t>.</w:t>
      </w:r>
      <w:r w:rsidR="00873406">
        <w:rPr>
          <w:rFonts w:ascii="Times New Roman" w:hAnsi="Times New Roman" w:cs="Times New Roman"/>
        </w:rPr>
        <w:t xml:space="preserve"> </w:t>
      </w:r>
    </w:p>
    <w:p w14:paraId="64BC5574" w14:textId="09527204" w:rsidR="00025341" w:rsidRDefault="00C20DCA" w:rsidP="00025341">
      <w:pPr>
        <w:spacing w:line="480" w:lineRule="auto"/>
        <w:ind w:firstLine="720"/>
        <w:rPr>
          <w:rFonts w:ascii="Times New Roman" w:hAnsi="Times New Roman" w:cs="Times New Roman"/>
        </w:rPr>
      </w:pPr>
      <w:r>
        <w:rPr>
          <w:rFonts w:ascii="Times New Roman" w:hAnsi="Times New Roman" w:cs="Times New Roman"/>
        </w:rPr>
        <w:t xml:space="preserve">Far from being causeless, </w:t>
      </w:r>
      <w:r w:rsidR="00416BB1">
        <w:rPr>
          <w:rFonts w:ascii="Times New Roman" w:hAnsi="Times New Roman" w:cs="Times New Roman"/>
        </w:rPr>
        <w:t>the</w:t>
      </w:r>
      <w:r>
        <w:rPr>
          <w:rFonts w:ascii="Times New Roman" w:hAnsi="Times New Roman" w:cs="Times New Roman"/>
        </w:rPr>
        <w:t xml:space="preserve"> vulnerabil</w:t>
      </w:r>
      <w:r w:rsidR="00366427">
        <w:rPr>
          <w:rFonts w:ascii="Times New Roman" w:hAnsi="Times New Roman" w:cs="Times New Roman"/>
        </w:rPr>
        <w:t>ities</w:t>
      </w:r>
      <w:r w:rsidR="00416BB1">
        <w:rPr>
          <w:rFonts w:ascii="Times New Roman" w:hAnsi="Times New Roman" w:cs="Times New Roman"/>
        </w:rPr>
        <w:t xml:space="preserve"> </w:t>
      </w:r>
      <w:r w:rsidR="00B21CF3">
        <w:rPr>
          <w:rFonts w:ascii="Times New Roman" w:hAnsi="Times New Roman" w:cs="Times New Roman"/>
        </w:rPr>
        <w:t>listed (those that have allowed the distribution of waste to develop so unevenly)</w:t>
      </w:r>
      <w:r w:rsidR="00416BB1">
        <w:rPr>
          <w:rFonts w:ascii="Times New Roman" w:hAnsi="Times New Roman" w:cs="Times New Roman"/>
        </w:rPr>
        <w:t xml:space="preserve"> can be originated in the failures of</w:t>
      </w:r>
      <w:r w:rsidR="00EB1CBE">
        <w:rPr>
          <w:rFonts w:ascii="Times New Roman" w:hAnsi="Times New Roman" w:cs="Times New Roman"/>
        </w:rPr>
        <w:t xml:space="preserve"> socio</w:t>
      </w:r>
      <w:r w:rsidR="00366427">
        <w:rPr>
          <w:rFonts w:ascii="Times New Roman" w:hAnsi="Times New Roman" w:cs="Times New Roman"/>
        </w:rPr>
        <w:t xml:space="preserve">political institutions </w:t>
      </w:r>
      <w:r w:rsidR="00416BB1">
        <w:rPr>
          <w:rFonts w:ascii="Times New Roman" w:hAnsi="Times New Roman" w:cs="Times New Roman"/>
        </w:rPr>
        <w:t xml:space="preserve">to </w:t>
      </w:r>
      <w:r w:rsidR="00CC4AF9">
        <w:rPr>
          <w:rFonts w:ascii="Times New Roman" w:hAnsi="Times New Roman" w:cs="Times New Roman"/>
        </w:rPr>
        <w:t>provide j</w:t>
      </w:r>
      <w:r w:rsidR="00EB1CBE">
        <w:rPr>
          <w:rFonts w:ascii="Times New Roman" w:hAnsi="Times New Roman" w:cs="Times New Roman"/>
        </w:rPr>
        <w:t xml:space="preserve">ust treatment to </w:t>
      </w:r>
      <w:r w:rsidR="00F618DE">
        <w:rPr>
          <w:rFonts w:ascii="Times New Roman" w:hAnsi="Times New Roman" w:cs="Times New Roman"/>
        </w:rPr>
        <w:t>low-income communities</w:t>
      </w:r>
      <w:r w:rsidR="00D32C94">
        <w:rPr>
          <w:rFonts w:ascii="Times New Roman" w:hAnsi="Times New Roman" w:cs="Times New Roman"/>
        </w:rPr>
        <w:t xml:space="preserve"> (Saha, xii)</w:t>
      </w:r>
      <w:r w:rsidR="00CC4AF9">
        <w:rPr>
          <w:rFonts w:ascii="Times New Roman" w:hAnsi="Times New Roman" w:cs="Times New Roman"/>
        </w:rPr>
        <w:t xml:space="preserve">. The most obvious and indeed </w:t>
      </w:r>
      <w:r w:rsidR="00A27BB5">
        <w:rPr>
          <w:rFonts w:ascii="Times New Roman" w:hAnsi="Times New Roman" w:cs="Times New Roman"/>
        </w:rPr>
        <w:t>farce-</w:t>
      </w:r>
      <w:r w:rsidR="00E963B3">
        <w:rPr>
          <w:rFonts w:ascii="Times New Roman" w:hAnsi="Times New Roman" w:cs="Times New Roman"/>
        </w:rPr>
        <w:t xml:space="preserve">like of these unjust </w:t>
      </w:r>
      <w:r w:rsidR="00EB1CBE">
        <w:rPr>
          <w:rFonts w:ascii="Times New Roman" w:hAnsi="Times New Roman" w:cs="Times New Roman"/>
        </w:rPr>
        <w:t>institutions is</w:t>
      </w:r>
      <w:r w:rsidR="00CC4AF9">
        <w:rPr>
          <w:rFonts w:ascii="Times New Roman" w:hAnsi="Times New Roman" w:cs="Times New Roman"/>
        </w:rPr>
        <w:t xml:space="preserve"> public education</w:t>
      </w:r>
      <w:r w:rsidR="00EB1CBE">
        <w:rPr>
          <w:rFonts w:ascii="Times New Roman" w:hAnsi="Times New Roman" w:cs="Times New Roman"/>
        </w:rPr>
        <w:t xml:space="preserve">, in which the funding disparity between high-income and low-income districts is </w:t>
      </w:r>
      <w:r w:rsidR="00B21CF3">
        <w:rPr>
          <w:rFonts w:ascii="Times New Roman" w:hAnsi="Times New Roman" w:cs="Times New Roman"/>
        </w:rPr>
        <w:t>over</w:t>
      </w:r>
      <w:r w:rsidR="00EB1CBE">
        <w:rPr>
          <w:rFonts w:ascii="Times New Roman" w:hAnsi="Times New Roman" w:cs="Times New Roman"/>
        </w:rPr>
        <w:t xml:space="preserve"> $10,000 per student</w:t>
      </w:r>
      <w:r w:rsidR="00530761">
        <w:rPr>
          <w:rFonts w:ascii="Times New Roman" w:hAnsi="Times New Roman" w:cs="Times New Roman"/>
        </w:rPr>
        <w:t xml:space="preserve"> (Baker)</w:t>
      </w:r>
      <w:r w:rsidR="00EB1CBE">
        <w:rPr>
          <w:rFonts w:ascii="Times New Roman" w:hAnsi="Times New Roman" w:cs="Times New Roman"/>
        </w:rPr>
        <w:t xml:space="preserve">. </w:t>
      </w:r>
      <w:r w:rsidR="00A14B33">
        <w:rPr>
          <w:rFonts w:ascii="Times New Roman" w:hAnsi="Times New Roman" w:cs="Times New Roman"/>
        </w:rPr>
        <w:t xml:space="preserve">A 1991 study </w:t>
      </w:r>
      <w:r w:rsidR="008C055F">
        <w:rPr>
          <w:rFonts w:ascii="Times New Roman" w:hAnsi="Times New Roman" w:cs="Times New Roman"/>
        </w:rPr>
        <w:t xml:space="preserve">concluded that </w:t>
      </w:r>
      <w:r w:rsidR="00BE5BC1">
        <w:rPr>
          <w:rFonts w:ascii="Times New Roman" w:hAnsi="Times New Roman" w:cs="Times New Roman"/>
        </w:rPr>
        <w:t xml:space="preserve">a 10% increase in funding </w:t>
      </w:r>
      <w:r w:rsidR="008C055F">
        <w:rPr>
          <w:rFonts w:ascii="Times New Roman" w:hAnsi="Times New Roman" w:cs="Times New Roman"/>
        </w:rPr>
        <w:t xml:space="preserve">corresponds </w:t>
      </w:r>
      <w:r w:rsidR="00B21CF3">
        <w:rPr>
          <w:rFonts w:ascii="Times New Roman" w:hAnsi="Times New Roman" w:cs="Times New Roman"/>
        </w:rPr>
        <w:t>to an increase</w:t>
      </w:r>
      <w:r w:rsidR="00EB1CBE">
        <w:rPr>
          <w:rFonts w:ascii="Times New Roman" w:hAnsi="Times New Roman" w:cs="Times New Roman"/>
        </w:rPr>
        <w:t xml:space="preserve"> in graduation rates and test scores </w:t>
      </w:r>
      <w:r w:rsidR="00530761">
        <w:rPr>
          <w:rFonts w:ascii="Times New Roman" w:hAnsi="Times New Roman" w:cs="Times New Roman"/>
        </w:rPr>
        <w:t>–</w:t>
      </w:r>
      <w:r w:rsidR="00BE5BC1">
        <w:rPr>
          <w:rFonts w:ascii="Times New Roman" w:hAnsi="Times New Roman" w:cs="Times New Roman"/>
        </w:rPr>
        <w:t>both of which have been conclusively correlated to</w:t>
      </w:r>
      <w:r w:rsidR="00F618DE">
        <w:rPr>
          <w:rFonts w:ascii="Times New Roman" w:hAnsi="Times New Roman" w:cs="Times New Roman"/>
        </w:rPr>
        <w:t xml:space="preserve"> future </w:t>
      </w:r>
      <w:r w:rsidR="00A14B33">
        <w:rPr>
          <w:rFonts w:ascii="Times New Roman" w:hAnsi="Times New Roman" w:cs="Times New Roman"/>
        </w:rPr>
        <w:t>employment and accordingly political influence</w:t>
      </w:r>
      <w:r w:rsidR="00530761">
        <w:rPr>
          <w:rFonts w:ascii="Times New Roman" w:hAnsi="Times New Roman" w:cs="Times New Roman"/>
        </w:rPr>
        <w:t xml:space="preserve"> (Ferguson, 487)</w:t>
      </w:r>
      <w:r w:rsidR="008C055F">
        <w:rPr>
          <w:rFonts w:ascii="Times New Roman" w:hAnsi="Times New Roman" w:cs="Times New Roman"/>
        </w:rPr>
        <w:t>.</w:t>
      </w:r>
      <w:r w:rsidR="00025341">
        <w:rPr>
          <w:rFonts w:ascii="Times New Roman" w:hAnsi="Times New Roman" w:cs="Times New Roman"/>
        </w:rPr>
        <w:t xml:space="preserve"> </w:t>
      </w:r>
      <w:r w:rsidR="00EB1CBE">
        <w:rPr>
          <w:rFonts w:ascii="Times New Roman" w:hAnsi="Times New Roman" w:cs="Times New Roman"/>
        </w:rPr>
        <w:t>It is therefore</w:t>
      </w:r>
      <w:r w:rsidR="00BE5BC1">
        <w:rPr>
          <w:rFonts w:ascii="Times New Roman" w:hAnsi="Times New Roman" w:cs="Times New Roman"/>
        </w:rPr>
        <w:t xml:space="preserve"> unsurprising that </w:t>
      </w:r>
      <w:r w:rsidR="00EB1CBE">
        <w:rPr>
          <w:rFonts w:ascii="Times New Roman" w:hAnsi="Times New Roman" w:cs="Times New Roman"/>
        </w:rPr>
        <w:t>low-</w:t>
      </w:r>
      <w:r w:rsidR="00BE5BC1">
        <w:rPr>
          <w:rFonts w:ascii="Times New Roman" w:hAnsi="Times New Roman" w:cs="Times New Roman"/>
        </w:rPr>
        <w:t xml:space="preserve">income regions chosen by the waste industries are </w:t>
      </w:r>
      <w:r w:rsidR="00EB1CBE">
        <w:rPr>
          <w:rFonts w:ascii="Times New Roman" w:hAnsi="Times New Roman" w:cs="Times New Roman"/>
        </w:rPr>
        <w:t xml:space="preserve">also </w:t>
      </w:r>
      <w:r w:rsidR="00BE5BC1">
        <w:rPr>
          <w:rFonts w:ascii="Times New Roman" w:hAnsi="Times New Roman" w:cs="Times New Roman"/>
        </w:rPr>
        <w:t>those with the least healthcare and political weight.</w:t>
      </w:r>
      <w:r w:rsidR="00EB1CBE">
        <w:rPr>
          <w:rFonts w:ascii="Times New Roman" w:hAnsi="Times New Roman" w:cs="Times New Roman"/>
        </w:rPr>
        <w:t xml:space="preserve"> </w:t>
      </w:r>
    </w:p>
    <w:p w14:paraId="5D620F2B" w14:textId="24453619" w:rsidR="00F13E77" w:rsidRDefault="00025341" w:rsidP="00F13E77">
      <w:pPr>
        <w:spacing w:line="480" w:lineRule="auto"/>
        <w:ind w:firstLine="720"/>
        <w:rPr>
          <w:rFonts w:ascii="Times New Roman" w:hAnsi="Times New Roman" w:cs="Times New Roman"/>
        </w:rPr>
      </w:pPr>
      <w:r>
        <w:rPr>
          <w:rFonts w:ascii="Times New Roman" w:hAnsi="Times New Roman" w:cs="Times New Roman"/>
        </w:rPr>
        <w:t xml:space="preserve">Finally, it must be noted that </w:t>
      </w:r>
      <w:r w:rsidR="00A972F6">
        <w:rPr>
          <w:rFonts w:ascii="Times New Roman" w:hAnsi="Times New Roman" w:cs="Times New Roman"/>
        </w:rPr>
        <w:t>the distribution often has</w:t>
      </w:r>
      <w:r>
        <w:rPr>
          <w:rFonts w:ascii="Times New Roman" w:hAnsi="Times New Roman" w:cs="Times New Roman"/>
        </w:rPr>
        <w:t xml:space="preserve"> political </w:t>
      </w:r>
      <w:r w:rsidR="00A27BB5">
        <w:rPr>
          <w:rFonts w:ascii="Times New Roman" w:hAnsi="Times New Roman" w:cs="Times New Roman"/>
        </w:rPr>
        <w:t>motivations rather than fisca</w:t>
      </w:r>
      <w:r w:rsidR="00B21CF3">
        <w:rPr>
          <w:rFonts w:ascii="Times New Roman" w:hAnsi="Times New Roman" w:cs="Times New Roman"/>
        </w:rPr>
        <w:t>l. California companies</w:t>
      </w:r>
      <w:r w:rsidR="00A27BB5">
        <w:rPr>
          <w:rFonts w:ascii="Times New Roman" w:hAnsi="Times New Roman" w:cs="Times New Roman"/>
        </w:rPr>
        <w:t>, for example,</w:t>
      </w:r>
      <w:r w:rsidR="006A348E">
        <w:rPr>
          <w:rFonts w:ascii="Times New Roman" w:hAnsi="Times New Roman" w:cs="Times New Roman"/>
        </w:rPr>
        <w:t xml:space="preserve"> were recommended by the </w:t>
      </w:r>
      <w:r w:rsidR="00A27BB5">
        <w:rPr>
          <w:rFonts w:ascii="Times New Roman" w:hAnsi="Times New Roman" w:cs="Times New Roman"/>
        </w:rPr>
        <w:t>taxpayer</w:t>
      </w:r>
      <w:r w:rsidR="006A348E">
        <w:rPr>
          <w:rFonts w:ascii="Times New Roman" w:hAnsi="Times New Roman" w:cs="Times New Roman"/>
        </w:rPr>
        <w:t xml:space="preserve"> </w:t>
      </w:r>
      <w:r w:rsidR="006A348E">
        <w:rPr>
          <w:rFonts w:ascii="Times New Roman" w:hAnsi="Times New Roman" w:cs="Times New Roman"/>
        </w:rPr>
        <w:lastRenderedPageBreak/>
        <w:t>funded Cerell Report to locate facilities</w:t>
      </w:r>
      <w:r>
        <w:rPr>
          <w:rFonts w:ascii="Times New Roman" w:hAnsi="Times New Roman" w:cs="Times New Roman"/>
        </w:rPr>
        <w:t xml:space="preserve"> </w:t>
      </w:r>
      <w:r w:rsidR="006A348E">
        <w:rPr>
          <w:rFonts w:ascii="Times New Roman" w:hAnsi="Times New Roman" w:cs="Times New Roman"/>
        </w:rPr>
        <w:t>in communities of least resistance</w:t>
      </w:r>
      <w:r w:rsidR="00A27BB5">
        <w:rPr>
          <w:rFonts w:ascii="Times New Roman" w:hAnsi="Times New Roman" w:cs="Times New Roman"/>
        </w:rPr>
        <w:t xml:space="preserve">: </w:t>
      </w:r>
      <w:r w:rsidR="006A348E">
        <w:rPr>
          <w:rFonts w:ascii="Times New Roman" w:hAnsi="Times New Roman" w:cs="Times New Roman"/>
        </w:rPr>
        <w:t xml:space="preserve">those that would pose the </w:t>
      </w:r>
      <w:r w:rsidR="00A972F6">
        <w:rPr>
          <w:rFonts w:ascii="Times New Roman" w:hAnsi="Times New Roman" w:cs="Times New Roman"/>
        </w:rPr>
        <w:t>least</w:t>
      </w:r>
      <w:r w:rsidR="006A348E">
        <w:rPr>
          <w:rFonts w:ascii="Times New Roman" w:hAnsi="Times New Roman" w:cs="Times New Roman"/>
        </w:rPr>
        <w:t xml:space="preserve"> </w:t>
      </w:r>
      <w:r w:rsidR="00B21CF3">
        <w:rPr>
          <w:rFonts w:ascii="Times New Roman" w:hAnsi="Times New Roman" w:cs="Times New Roman"/>
        </w:rPr>
        <w:t xml:space="preserve">‘nimby’ </w:t>
      </w:r>
      <w:r w:rsidR="006A348E">
        <w:rPr>
          <w:rFonts w:ascii="Times New Roman" w:hAnsi="Times New Roman" w:cs="Times New Roman"/>
        </w:rPr>
        <w:t>thre</w:t>
      </w:r>
      <w:r w:rsidR="00A27BB5">
        <w:rPr>
          <w:rFonts w:ascii="Times New Roman" w:hAnsi="Times New Roman" w:cs="Times New Roman"/>
        </w:rPr>
        <w:t>at to the involved politicians</w:t>
      </w:r>
      <w:r w:rsidR="003768A3">
        <w:rPr>
          <w:rFonts w:ascii="Times New Roman" w:hAnsi="Times New Roman" w:cs="Times New Roman"/>
        </w:rPr>
        <w:t xml:space="preserve"> (Cole, The Struggle for Kettleman)</w:t>
      </w:r>
      <w:bookmarkStart w:id="0" w:name="_GoBack"/>
      <w:bookmarkEnd w:id="0"/>
      <w:r w:rsidR="00A27BB5">
        <w:rPr>
          <w:rFonts w:ascii="Times New Roman" w:hAnsi="Times New Roman" w:cs="Times New Roman"/>
        </w:rPr>
        <w:t>.</w:t>
      </w:r>
      <w:r w:rsidR="00DC1B1E">
        <w:rPr>
          <w:rFonts w:ascii="Times New Roman" w:hAnsi="Times New Roman" w:cs="Times New Roman"/>
        </w:rPr>
        <w:t xml:space="preserve"> It was not until 2003 that community participation in California was mandated in the siting of waste facilities (Bonorris, 27). </w:t>
      </w:r>
      <w:r w:rsidR="00A27BB5">
        <w:rPr>
          <w:rFonts w:ascii="Times New Roman" w:hAnsi="Times New Roman" w:cs="Times New Roman"/>
        </w:rPr>
        <w:t>Thus there are inherent sources of distributional injustice in both halves of the intimately wedded political and economic structure.</w:t>
      </w:r>
    </w:p>
    <w:p w14:paraId="149F28BE" w14:textId="3A167B37" w:rsidR="00477923" w:rsidRPr="00F13E77" w:rsidRDefault="00F13E77" w:rsidP="00F13E77">
      <w:pPr>
        <w:spacing w:line="480" w:lineRule="auto"/>
        <w:jc w:val="both"/>
        <w:rPr>
          <w:rFonts w:ascii="Times New Roman" w:hAnsi="Times New Roman" w:cs="Times New Roman"/>
          <w:b/>
        </w:rPr>
      </w:pPr>
      <w:r>
        <w:rPr>
          <w:rFonts w:ascii="Times New Roman" w:hAnsi="Times New Roman" w:cs="Times New Roman"/>
          <w:b/>
        </w:rPr>
        <w:t>2)</w:t>
      </w:r>
    </w:p>
    <w:p w14:paraId="1458EEF0" w14:textId="52F623F4" w:rsidR="00BB65E8" w:rsidRDefault="00477923" w:rsidP="00A972F6">
      <w:pPr>
        <w:spacing w:line="480" w:lineRule="auto"/>
        <w:ind w:firstLine="720"/>
        <w:rPr>
          <w:rFonts w:ascii="Times New Roman" w:hAnsi="Times New Roman" w:cs="Times New Roman"/>
        </w:rPr>
      </w:pPr>
      <w:r>
        <w:rPr>
          <w:rFonts w:ascii="Times New Roman" w:hAnsi="Times New Roman" w:cs="Times New Roman"/>
        </w:rPr>
        <w:t xml:space="preserve">In any study, </w:t>
      </w:r>
      <w:r w:rsidR="00BB65E8">
        <w:rPr>
          <w:rFonts w:ascii="Times New Roman" w:hAnsi="Times New Roman" w:cs="Times New Roman"/>
        </w:rPr>
        <w:t xml:space="preserve">it is important </w:t>
      </w:r>
      <w:r w:rsidR="00296F9A">
        <w:rPr>
          <w:rFonts w:ascii="Times New Roman" w:hAnsi="Times New Roman" w:cs="Times New Roman"/>
        </w:rPr>
        <w:t xml:space="preserve">to </w:t>
      </w:r>
      <w:r>
        <w:rPr>
          <w:rFonts w:ascii="Times New Roman" w:hAnsi="Times New Roman" w:cs="Times New Roman"/>
        </w:rPr>
        <w:t xml:space="preserve">collect accurate data </w:t>
      </w:r>
      <w:r w:rsidR="00EB24B9">
        <w:rPr>
          <w:rFonts w:ascii="Times New Roman" w:hAnsi="Times New Roman" w:cs="Times New Roman"/>
        </w:rPr>
        <w:t xml:space="preserve">on variables chosen to illuminate the question </w:t>
      </w:r>
      <w:r w:rsidR="00296F9A">
        <w:rPr>
          <w:rFonts w:ascii="Times New Roman" w:hAnsi="Times New Roman" w:cs="Times New Roman"/>
        </w:rPr>
        <w:t xml:space="preserve">of the </w:t>
      </w:r>
      <w:r w:rsidR="00EB24B9">
        <w:rPr>
          <w:rFonts w:ascii="Times New Roman" w:hAnsi="Times New Roman" w:cs="Times New Roman"/>
        </w:rPr>
        <w:t>study (in this case the potential danger to the community and the injustice of the facility’s placement).</w:t>
      </w:r>
      <w:r>
        <w:rPr>
          <w:rFonts w:ascii="Times New Roman" w:hAnsi="Times New Roman" w:cs="Times New Roman"/>
        </w:rPr>
        <w:t xml:space="preserve"> I would subdivide </w:t>
      </w:r>
      <w:r w:rsidR="00296F9A">
        <w:rPr>
          <w:rFonts w:ascii="Times New Roman" w:hAnsi="Times New Roman" w:cs="Times New Roman"/>
        </w:rPr>
        <w:t>the needed</w:t>
      </w:r>
      <w:r>
        <w:rPr>
          <w:rFonts w:ascii="Times New Roman" w:hAnsi="Times New Roman" w:cs="Times New Roman"/>
        </w:rPr>
        <w:t xml:space="preserve"> data into output (the </w:t>
      </w:r>
      <w:r w:rsidR="00EB24B9">
        <w:rPr>
          <w:rFonts w:ascii="Times New Roman" w:hAnsi="Times New Roman" w:cs="Times New Roman"/>
        </w:rPr>
        <w:t>flux</w:t>
      </w:r>
      <w:r>
        <w:rPr>
          <w:rFonts w:ascii="Times New Roman" w:hAnsi="Times New Roman" w:cs="Times New Roman"/>
        </w:rPr>
        <w:t xml:space="preserve"> of hazardous materials from the industrial facility), input (</w:t>
      </w:r>
      <w:r w:rsidR="00EB24B9">
        <w:rPr>
          <w:rFonts w:ascii="Times New Roman" w:hAnsi="Times New Roman" w:cs="Times New Roman"/>
        </w:rPr>
        <w:t>the proportion of those</w:t>
      </w:r>
      <w:r>
        <w:rPr>
          <w:rFonts w:ascii="Times New Roman" w:hAnsi="Times New Roman" w:cs="Times New Roman"/>
        </w:rPr>
        <w:t xml:space="preserve"> materials coming into contact with the community), and community </w:t>
      </w:r>
      <w:r w:rsidR="00296F9A">
        <w:rPr>
          <w:rFonts w:ascii="Times New Roman" w:hAnsi="Times New Roman" w:cs="Times New Roman"/>
        </w:rPr>
        <w:t>vulnerability</w:t>
      </w:r>
      <w:r w:rsidR="00EB24B9">
        <w:rPr>
          <w:rFonts w:ascii="Times New Roman" w:hAnsi="Times New Roman" w:cs="Times New Roman"/>
        </w:rPr>
        <w:t xml:space="preserve">: potential stressors, cumulative effects, </w:t>
      </w:r>
      <w:r w:rsidR="00A645A8">
        <w:rPr>
          <w:rFonts w:ascii="Times New Roman" w:hAnsi="Times New Roman" w:cs="Times New Roman"/>
        </w:rPr>
        <w:t>and the health of the community members</w:t>
      </w:r>
      <w:r w:rsidR="00431C59">
        <w:rPr>
          <w:rFonts w:ascii="Times New Roman" w:hAnsi="Times New Roman" w:cs="Times New Roman"/>
        </w:rPr>
        <w:t xml:space="preserve"> (Morello</w:t>
      </w:r>
      <w:r w:rsidR="00827442">
        <w:rPr>
          <w:rFonts w:ascii="Times New Roman" w:hAnsi="Times New Roman" w:cs="Times New Roman"/>
        </w:rPr>
        <w:t>-Frosch</w:t>
      </w:r>
      <w:r w:rsidR="00431C59">
        <w:rPr>
          <w:rFonts w:ascii="Times New Roman" w:hAnsi="Times New Roman" w:cs="Times New Roman"/>
        </w:rPr>
        <w:t>, 882)</w:t>
      </w:r>
      <w:r w:rsidR="00EB24B9">
        <w:rPr>
          <w:rFonts w:ascii="Times New Roman" w:hAnsi="Times New Roman" w:cs="Times New Roman"/>
        </w:rPr>
        <w:t xml:space="preserve">. For the first of these data sets, it makes sense to employ the traditional methods of research: </w:t>
      </w:r>
      <w:r w:rsidR="00BB65E8">
        <w:rPr>
          <w:rFonts w:ascii="Times New Roman" w:hAnsi="Times New Roman" w:cs="Times New Roman"/>
        </w:rPr>
        <w:t>analyzing samples at a lab</w:t>
      </w:r>
      <w:r w:rsidR="00EB24B9">
        <w:rPr>
          <w:rFonts w:ascii="Times New Roman" w:hAnsi="Times New Roman" w:cs="Times New Roman"/>
        </w:rPr>
        <w:t xml:space="preserve"> (looking for known hazards), </w:t>
      </w:r>
      <w:r w:rsidR="00296F9A">
        <w:rPr>
          <w:rFonts w:ascii="Times New Roman" w:hAnsi="Times New Roman" w:cs="Times New Roman"/>
        </w:rPr>
        <w:t>and performing air quality tests in the vicinity of the facility</w:t>
      </w:r>
      <w:r w:rsidR="00B86D55">
        <w:rPr>
          <w:rFonts w:ascii="Times New Roman" w:hAnsi="Times New Roman" w:cs="Times New Roman"/>
        </w:rPr>
        <w:t xml:space="preserve">. Results from this initial study could be written up in traditional academic format and sent out for peer review while the rest of the study </w:t>
      </w:r>
      <w:r w:rsidR="008721FC">
        <w:rPr>
          <w:rFonts w:ascii="Times New Roman" w:hAnsi="Times New Roman" w:cs="Times New Roman"/>
        </w:rPr>
        <w:t xml:space="preserve">was </w:t>
      </w:r>
      <w:r w:rsidR="00B86D55">
        <w:rPr>
          <w:rFonts w:ascii="Times New Roman" w:hAnsi="Times New Roman" w:cs="Times New Roman"/>
        </w:rPr>
        <w:t>underway</w:t>
      </w:r>
      <w:r w:rsidR="00296F9A">
        <w:rPr>
          <w:rFonts w:ascii="Times New Roman" w:hAnsi="Times New Roman" w:cs="Times New Roman"/>
        </w:rPr>
        <w:t xml:space="preserve">. </w:t>
      </w:r>
    </w:p>
    <w:p w14:paraId="38EABD31" w14:textId="7E498604" w:rsidR="00477923" w:rsidRDefault="00B86D55" w:rsidP="00A972F6">
      <w:pPr>
        <w:spacing w:line="480" w:lineRule="auto"/>
        <w:ind w:firstLine="720"/>
        <w:rPr>
          <w:rFonts w:ascii="Times New Roman" w:hAnsi="Times New Roman" w:cs="Times New Roman"/>
        </w:rPr>
      </w:pPr>
      <w:r>
        <w:rPr>
          <w:rFonts w:ascii="Times New Roman" w:hAnsi="Times New Roman" w:cs="Times New Roman"/>
        </w:rPr>
        <w:t>For the second data set,</w:t>
      </w:r>
      <w:r w:rsidR="00F4138F">
        <w:rPr>
          <w:rFonts w:ascii="Times New Roman" w:hAnsi="Times New Roman" w:cs="Times New Roman"/>
        </w:rPr>
        <w:t xml:space="preserve"> community involvement makes intuitive sense (it is the community being exposed after all). </w:t>
      </w:r>
      <w:r w:rsidR="008721FC">
        <w:rPr>
          <w:rFonts w:ascii="Times New Roman" w:hAnsi="Times New Roman" w:cs="Times New Roman"/>
        </w:rPr>
        <w:t>The data is, however, more traditionally analytical</w:t>
      </w:r>
      <w:r w:rsidR="00BB65E8">
        <w:rPr>
          <w:rFonts w:ascii="Times New Roman" w:hAnsi="Times New Roman" w:cs="Times New Roman"/>
        </w:rPr>
        <w:t xml:space="preserve"> </w:t>
      </w:r>
      <w:r w:rsidR="008721FC">
        <w:rPr>
          <w:rFonts w:ascii="Times New Roman" w:hAnsi="Times New Roman" w:cs="Times New Roman"/>
        </w:rPr>
        <w:t>–so in fact it makes the most sense to pursue a mix of community based and traditional methods. A sch</w:t>
      </w:r>
      <w:r w:rsidR="00296F9A">
        <w:rPr>
          <w:rFonts w:ascii="Times New Roman" w:hAnsi="Times New Roman" w:cs="Times New Roman"/>
        </w:rPr>
        <w:t xml:space="preserve">ematic in which researchers developed </w:t>
      </w:r>
      <w:r w:rsidR="008721FC">
        <w:rPr>
          <w:rFonts w:ascii="Times New Roman" w:hAnsi="Times New Roman" w:cs="Times New Roman"/>
        </w:rPr>
        <w:t xml:space="preserve">a training program for </w:t>
      </w:r>
      <w:r w:rsidR="00BB65E8">
        <w:rPr>
          <w:rFonts w:ascii="Times New Roman" w:hAnsi="Times New Roman" w:cs="Times New Roman"/>
        </w:rPr>
        <w:t xml:space="preserve">paid </w:t>
      </w:r>
      <w:r w:rsidR="008721FC">
        <w:rPr>
          <w:rFonts w:ascii="Times New Roman" w:hAnsi="Times New Roman" w:cs="Times New Roman"/>
        </w:rPr>
        <w:t>community members to monitor the</w:t>
      </w:r>
      <w:r w:rsidR="00296F9A">
        <w:rPr>
          <w:rFonts w:ascii="Times New Roman" w:hAnsi="Times New Roman" w:cs="Times New Roman"/>
        </w:rPr>
        <w:t xml:space="preserve"> air</w:t>
      </w:r>
      <w:r w:rsidR="008721FC">
        <w:rPr>
          <w:rFonts w:ascii="Times New Roman" w:hAnsi="Times New Roman" w:cs="Times New Roman"/>
        </w:rPr>
        <w:t xml:space="preserve"> </w:t>
      </w:r>
      <w:r w:rsidR="00296F9A">
        <w:rPr>
          <w:rFonts w:ascii="Times New Roman" w:hAnsi="Times New Roman" w:cs="Times New Roman"/>
        </w:rPr>
        <w:t>for</w:t>
      </w:r>
      <w:r w:rsidR="008721FC">
        <w:rPr>
          <w:rFonts w:ascii="Times New Roman" w:hAnsi="Times New Roman" w:cs="Times New Roman"/>
        </w:rPr>
        <w:t xml:space="preserve"> dangerous chemicals</w:t>
      </w:r>
      <w:r w:rsidR="00296F9A">
        <w:rPr>
          <w:rFonts w:ascii="Times New Roman" w:hAnsi="Times New Roman" w:cs="Times New Roman"/>
        </w:rPr>
        <w:t xml:space="preserve"> </w:t>
      </w:r>
      <w:r w:rsidR="005C2300">
        <w:rPr>
          <w:rFonts w:ascii="Times New Roman" w:hAnsi="Times New Roman" w:cs="Times New Roman"/>
        </w:rPr>
        <w:t>would be ideal –</w:t>
      </w:r>
      <w:r w:rsidR="008721FC">
        <w:rPr>
          <w:rFonts w:ascii="Times New Roman" w:hAnsi="Times New Roman" w:cs="Times New Roman"/>
        </w:rPr>
        <w:t xml:space="preserve"> </w:t>
      </w:r>
      <w:r w:rsidR="005C2300">
        <w:rPr>
          <w:rFonts w:ascii="Times New Roman" w:hAnsi="Times New Roman" w:cs="Times New Roman"/>
        </w:rPr>
        <w:t>researchers could use the enormous influx of data</w:t>
      </w:r>
      <w:r w:rsidR="008721FC">
        <w:rPr>
          <w:rFonts w:ascii="Times New Roman" w:hAnsi="Times New Roman" w:cs="Times New Roman"/>
        </w:rPr>
        <w:t xml:space="preserve"> to build a m</w:t>
      </w:r>
      <w:r w:rsidR="005C2300">
        <w:rPr>
          <w:rFonts w:ascii="Times New Roman" w:hAnsi="Times New Roman" w:cs="Times New Roman"/>
        </w:rPr>
        <w:t xml:space="preserve">ap of the </w:t>
      </w:r>
      <w:r w:rsidR="00296F9A">
        <w:rPr>
          <w:rFonts w:ascii="Times New Roman" w:hAnsi="Times New Roman" w:cs="Times New Roman"/>
        </w:rPr>
        <w:t>chemical hotspots</w:t>
      </w:r>
      <w:r w:rsidR="00406089">
        <w:rPr>
          <w:rFonts w:ascii="Times New Roman" w:hAnsi="Times New Roman" w:cs="Times New Roman"/>
        </w:rPr>
        <w:t xml:space="preserve"> </w:t>
      </w:r>
      <w:r w:rsidR="005C2300">
        <w:rPr>
          <w:rFonts w:ascii="Times New Roman" w:hAnsi="Times New Roman" w:cs="Times New Roman"/>
        </w:rPr>
        <w:t xml:space="preserve">for the purpose of </w:t>
      </w:r>
      <w:r w:rsidR="00406089">
        <w:rPr>
          <w:rFonts w:ascii="Times New Roman" w:hAnsi="Times New Roman" w:cs="Times New Roman"/>
        </w:rPr>
        <w:t>correlating the income distribution with the distribution of hazards,</w:t>
      </w:r>
      <w:r w:rsidR="005C2300">
        <w:rPr>
          <w:rFonts w:ascii="Times New Roman" w:hAnsi="Times New Roman" w:cs="Times New Roman"/>
        </w:rPr>
        <w:t xml:space="preserve"> but also to give the community members </w:t>
      </w:r>
      <w:r w:rsidR="00296F9A">
        <w:rPr>
          <w:rFonts w:ascii="Times New Roman" w:hAnsi="Times New Roman" w:cs="Times New Roman"/>
        </w:rPr>
        <w:t>a way to lessen exposure</w:t>
      </w:r>
      <w:r w:rsidR="00406089">
        <w:rPr>
          <w:rFonts w:ascii="Times New Roman" w:hAnsi="Times New Roman" w:cs="Times New Roman"/>
        </w:rPr>
        <w:t xml:space="preserve"> (Pastor, 16)</w:t>
      </w:r>
      <w:r w:rsidR="005C2300">
        <w:rPr>
          <w:rFonts w:ascii="Times New Roman" w:hAnsi="Times New Roman" w:cs="Times New Roman"/>
        </w:rPr>
        <w:t>.</w:t>
      </w:r>
      <w:r w:rsidR="00F80E32">
        <w:rPr>
          <w:rFonts w:ascii="Times New Roman" w:hAnsi="Times New Roman" w:cs="Times New Roman"/>
        </w:rPr>
        <w:t xml:space="preserve"> Finally, the third component of the study would require the most </w:t>
      </w:r>
      <w:r w:rsidR="00A645A8">
        <w:rPr>
          <w:rFonts w:ascii="Times New Roman" w:hAnsi="Times New Roman" w:cs="Times New Roman"/>
        </w:rPr>
        <w:t>extensive community involvement</w:t>
      </w:r>
      <w:r w:rsidR="00296F9A">
        <w:rPr>
          <w:rFonts w:ascii="Times New Roman" w:hAnsi="Times New Roman" w:cs="Times New Roman"/>
        </w:rPr>
        <w:t xml:space="preserve"> in order to build a picture of the health of the community</w:t>
      </w:r>
      <w:r w:rsidR="00A645A8">
        <w:rPr>
          <w:rFonts w:ascii="Times New Roman" w:hAnsi="Times New Roman" w:cs="Times New Roman"/>
        </w:rPr>
        <w:t xml:space="preserve"> –with community members providing insight </w:t>
      </w:r>
      <w:r w:rsidR="00BB65E8">
        <w:rPr>
          <w:rFonts w:ascii="Times New Roman" w:hAnsi="Times New Roman" w:cs="Times New Roman"/>
        </w:rPr>
        <w:t xml:space="preserve">through interviews and surveys </w:t>
      </w:r>
      <w:r w:rsidR="00A645A8">
        <w:rPr>
          <w:rFonts w:ascii="Times New Roman" w:hAnsi="Times New Roman" w:cs="Times New Roman"/>
        </w:rPr>
        <w:t>into the stressors in their lives, into their anxiety and depression</w:t>
      </w:r>
      <w:r w:rsidR="00296F9A">
        <w:rPr>
          <w:rFonts w:ascii="Times New Roman" w:hAnsi="Times New Roman" w:cs="Times New Roman"/>
        </w:rPr>
        <w:t>, into the status of their healthcare, and into past health issues</w:t>
      </w:r>
      <w:r w:rsidR="00406089">
        <w:rPr>
          <w:rFonts w:ascii="Times New Roman" w:hAnsi="Times New Roman" w:cs="Times New Roman"/>
        </w:rPr>
        <w:t xml:space="preserve"> (Sexton 4038-4039)</w:t>
      </w:r>
      <w:r w:rsidR="00296F9A">
        <w:rPr>
          <w:rFonts w:ascii="Times New Roman" w:hAnsi="Times New Roman" w:cs="Times New Roman"/>
        </w:rPr>
        <w:t>.</w:t>
      </w:r>
      <w:r w:rsidR="00BB65E8">
        <w:rPr>
          <w:rFonts w:ascii="Times New Roman" w:hAnsi="Times New Roman" w:cs="Times New Roman"/>
        </w:rPr>
        <w:t xml:space="preserve"> Combining the perspectives of the three components of the study it would be possible to build a correlation between the presence of the facility and the unjust presence of dangerous chemicals in the air of a conclusively vulnerable community.</w:t>
      </w:r>
    </w:p>
    <w:p w14:paraId="1F275A7B" w14:textId="3626F583" w:rsidR="005025AD" w:rsidRPr="00F13E77" w:rsidRDefault="00F13E77" w:rsidP="00F13E77">
      <w:pPr>
        <w:spacing w:line="480" w:lineRule="auto"/>
        <w:rPr>
          <w:rFonts w:ascii="Times New Roman" w:hAnsi="Times New Roman" w:cs="Times New Roman"/>
          <w:b/>
        </w:rPr>
      </w:pPr>
      <w:r>
        <w:rPr>
          <w:rFonts w:ascii="Times New Roman" w:hAnsi="Times New Roman" w:cs="Times New Roman"/>
          <w:b/>
        </w:rPr>
        <w:t>3)</w:t>
      </w:r>
    </w:p>
    <w:p w14:paraId="37E92F2E" w14:textId="0E85A692" w:rsidR="00AF1509" w:rsidRDefault="00AF1509" w:rsidP="00AF1509">
      <w:pPr>
        <w:spacing w:line="480" w:lineRule="auto"/>
        <w:rPr>
          <w:rFonts w:ascii="Times New Roman" w:hAnsi="Times New Roman" w:cs="Times New Roman"/>
        </w:rPr>
      </w:pPr>
      <w:r>
        <w:rPr>
          <w:rFonts w:ascii="Times New Roman" w:hAnsi="Times New Roman" w:cs="Times New Roman"/>
        </w:rPr>
        <w:tab/>
        <w:t>The most effective campaign strategies employed by the Environmental Justice Movement have been those that h</w:t>
      </w:r>
      <w:r w:rsidR="009F4918">
        <w:rPr>
          <w:rFonts w:ascii="Times New Roman" w:hAnsi="Times New Roman" w:cs="Times New Roman"/>
        </w:rPr>
        <w:t xml:space="preserve">ave </w:t>
      </w:r>
      <w:r w:rsidR="00FF4FC8">
        <w:rPr>
          <w:rFonts w:ascii="Times New Roman" w:hAnsi="Times New Roman" w:cs="Times New Roman"/>
        </w:rPr>
        <w:t>successfully</w:t>
      </w:r>
      <w:r w:rsidR="009F4918">
        <w:rPr>
          <w:rFonts w:ascii="Times New Roman" w:hAnsi="Times New Roman" w:cs="Times New Roman"/>
        </w:rPr>
        <w:t xml:space="preserve"> involved a large number of community members: Having the complaints of professional activists and technical experts be backed up by hundreds or thousands of families directly experiencing</w:t>
      </w:r>
      <w:r w:rsidR="00F31063">
        <w:rPr>
          <w:rFonts w:ascii="Times New Roman" w:hAnsi="Times New Roman" w:cs="Times New Roman"/>
        </w:rPr>
        <w:t xml:space="preserve"> the injustice</w:t>
      </w:r>
      <w:r w:rsidR="009F4918">
        <w:rPr>
          <w:rFonts w:ascii="Times New Roman" w:hAnsi="Times New Roman" w:cs="Times New Roman"/>
        </w:rPr>
        <w:t xml:space="preserve"> engenders significantly </w:t>
      </w:r>
      <w:r w:rsidR="00F13E77">
        <w:rPr>
          <w:rFonts w:ascii="Times New Roman" w:hAnsi="Times New Roman" w:cs="Times New Roman"/>
        </w:rPr>
        <w:t>more media traction and potential for change then does a movement external to the people of the affected community.</w:t>
      </w:r>
      <w:r w:rsidR="009F4918">
        <w:rPr>
          <w:rFonts w:ascii="Times New Roman" w:hAnsi="Times New Roman" w:cs="Times New Roman"/>
        </w:rPr>
        <w:t xml:space="preserve"> </w:t>
      </w:r>
      <w:r w:rsidR="00714817">
        <w:rPr>
          <w:rFonts w:ascii="Times New Roman" w:hAnsi="Times New Roman" w:cs="Times New Roman"/>
        </w:rPr>
        <w:t>The first core principle of any Environmental Justice campaign is therefore the empowerment of the community being threatened –through education and leadership of the movement</w:t>
      </w:r>
      <w:r w:rsidR="00A65BDB">
        <w:rPr>
          <w:rFonts w:ascii="Times New Roman" w:hAnsi="Times New Roman" w:cs="Times New Roman"/>
        </w:rPr>
        <w:t xml:space="preserve"> (Cole, 661)</w:t>
      </w:r>
      <w:r w:rsidR="00714817">
        <w:rPr>
          <w:rFonts w:ascii="Times New Roman" w:hAnsi="Times New Roman" w:cs="Times New Roman"/>
        </w:rPr>
        <w:t>.</w:t>
      </w:r>
      <w:r w:rsidR="00A65BDB">
        <w:rPr>
          <w:rFonts w:ascii="Times New Roman" w:hAnsi="Times New Roman" w:cs="Times New Roman"/>
        </w:rPr>
        <w:t xml:space="preserve"> This endows permanence to the campaign. T</w:t>
      </w:r>
      <w:r w:rsidR="00F31063">
        <w:rPr>
          <w:rFonts w:ascii="Times New Roman" w:hAnsi="Times New Roman" w:cs="Times New Roman"/>
        </w:rPr>
        <w:t xml:space="preserve">he community members will keep fighting </w:t>
      </w:r>
      <w:r w:rsidR="00A65BDB">
        <w:rPr>
          <w:rFonts w:ascii="Times New Roman" w:hAnsi="Times New Roman" w:cs="Times New Roman"/>
        </w:rPr>
        <w:t>for the safety of their</w:t>
      </w:r>
      <w:r w:rsidR="00F31063">
        <w:rPr>
          <w:rFonts w:ascii="Times New Roman" w:hAnsi="Times New Roman" w:cs="Times New Roman"/>
        </w:rPr>
        <w:t xml:space="preserve"> homes and their children long after activists and experts have given up or</w:t>
      </w:r>
      <w:r w:rsidR="00A65BDB">
        <w:rPr>
          <w:rFonts w:ascii="Times New Roman" w:hAnsi="Times New Roman" w:cs="Times New Roman"/>
        </w:rPr>
        <w:t xml:space="preserve"> decided to pursue other causes –and perhaps engage in community environmental policing to ensure that future businesses tread carefully around the health of the community (O’Rourke, 386). </w:t>
      </w:r>
      <w:r w:rsidR="00AB5B52">
        <w:rPr>
          <w:rFonts w:ascii="Times New Roman" w:hAnsi="Times New Roman" w:cs="Times New Roman"/>
        </w:rPr>
        <w:t xml:space="preserve"> Furthermore, </w:t>
      </w:r>
      <w:r w:rsidR="00993A5F">
        <w:rPr>
          <w:rFonts w:ascii="Times New Roman" w:hAnsi="Times New Roman" w:cs="Times New Roman"/>
        </w:rPr>
        <w:t>it is imperative for the campaign to frame its argument in such a way that it is clear to all which government and/or corporate policies need to change.</w:t>
      </w:r>
      <w:r w:rsidR="00264B20">
        <w:rPr>
          <w:rFonts w:ascii="Times New Roman" w:hAnsi="Times New Roman" w:cs="Times New Roman"/>
        </w:rPr>
        <w:t xml:space="preserve"> Thus the second core principle of an effective Environmental Justice campaign is clarity of </w:t>
      </w:r>
      <w:r w:rsidR="00F31063">
        <w:rPr>
          <w:rFonts w:ascii="Times New Roman" w:hAnsi="Times New Roman" w:cs="Times New Roman"/>
        </w:rPr>
        <w:t>ambitions</w:t>
      </w:r>
      <w:r w:rsidR="00264B20">
        <w:rPr>
          <w:rFonts w:ascii="Times New Roman" w:hAnsi="Times New Roman" w:cs="Times New Roman"/>
        </w:rPr>
        <w:t xml:space="preserve"> – this will in turn help to create enthusiasm in the community as the movement achieves larger and larger goals.  The third and by no means least important core principle of any Environmental Justice campaign must be </w:t>
      </w:r>
      <w:r w:rsidR="00A65BDB">
        <w:rPr>
          <w:rFonts w:ascii="Times New Roman" w:hAnsi="Times New Roman" w:cs="Times New Roman"/>
        </w:rPr>
        <w:t>that its</w:t>
      </w:r>
      <w:r w:rsidR="00264B20">
        <w:rPr>
          <w:rFonts w:ascii="Times New Roman" w:hAnsi="Times New Roman" w:cs="Times New Roman"/>
        </w:rPr>
        <w:t xml:space="preserve"> ethical foundation – that its goals are </w:t>
      </w:r>
      <w:r w:rsidR="00027B2B">
        <w:rPr>
          <w:rFonts w:ascii="Times New Roman" w:hAnsi="Times New Roman" w:cs="Times New Roman"/>
        </w:rPr>
        <w:t>those that</w:t>
      </w:r>
      <w:r w:rsidR="00264B20">
        <w:rPr>
          <w:rFonts w:ascii="Times New Roman" w:hAnsi="Times New Roman" w:cs="Times New Roman"/>
        </w:rPr>
        <w:t xml:space="preserve"> are best for (and determined by) the community in question</w:t>
      </w:r>
      <w:r w:rsidR="00A65BDB">
        <w:rPr>
          <w:rFonts w:ascii="Times New Roman" w:hAnsi="Times New Roman" w:cs="Times New Roman"/>
        </w:rPr>
        <w:t>, connects it to all the other diverse Environmental Justice campaigns</w:t>
      </w:r>
      <w:r w:rsidR="009A1C65">
        <w:rPr>
          <w:rFonts w:ascii="Times New Roman" w:hAnsi="Times New Roman" w:cs="Times New Roman"/>
        </w:rPr>
        <w:t xml:space="preserve"> (Brulle, 300)</w:t>
      </w:r>
      <w:r w:rsidR="00264B20">
        <w:rPr>
          <w:rFonts w:ascii="Times New Roman" w:hAnsi="Times New Roman" w:cs="Times New Roman"/>
        </w:rPr>
        <w:t>.</w:t>
      </w:r>
      <w:r w:rsidR="00A65BDB">
        <w:rPr>
          <w:rFonts w:ascii="Times New Roman" w:hAnsi="Times New Roman" w:cs="Times New Roman"/>
        </w:rPr>
        <w:t xml:space="preserve"> T</w:t>
      </w:r>
      <w:r w:rsidR="009A1C65">
        <w:rPr>
          <w:rFonts w:ascii="Times New Roman" w:hAnsi="Times New Roman" w:cs="Times New Roman"/>
        </w:rPr>
        <w:t>hey are fighting the same fight.</w:t>
      </w:r>
      <w:r w:rsidR="00743BBC">
        <w:rPr>
          <w:rFonts w:ascii="Times New Roman" w:hAnsi="Times New Roman" w:cs="Times New Roman"/>
        </w:rPr>
        <w:t xml:space="preserve"> It follows naturally from these principles that the role of technical experts – lawyers, researchers, even activists, would be secondary to the role of community members. The experts would help to achieve the goals of the movement and </w:t>
      </w:r>
      <w:r w:rsidR="00F31063">
        <w:rPr>
          <w:rFonts w:ascii="Times New Roman" w:hAnsi="Times New Roman" w:cs="Times New Roman"/>
        </w:rPr>
        <w:t>interact with the incredibly inertial and complicated governmental system</w:t>
      </w:r>
      <w:r w:rsidR="00743BBC">
        <w:rPr>
          <w:rFonts w:ascii="Times New Roman" w:hAnsi="Times New Roman" w:cs="Times New Roman"/>
        </w:rPr>
        <w:t xml:space="preserve">, but they </w:t>
      </w:r>
      <w:r w:rsidR="00F31063">
        <w:rPr>
          <w:rFonts w:ascii="Times New Roman" w:hAnsi="Times New Roman" w:cs="Times New Roman"/>
        </w:rPr>
        <w:t>would</w:t>
      </w:r>
      <w:r w:rsidR="00743BBC">
        <w:rPr>
          <w:rFonts w:ascii="Times New Roman" w:hAnsi="Times New Roman" w:cs="Times New Roman"/>
        </w:rPr>
        <w:t xml:space="preserve"> not determine those goals.</w:t>
      </w:r>
    </w:p>
    <w:p w14:paraId="4B252AC2" w14:textId="77777777" w:rsidR="00530761" w:rsidRDefault="00530761" w:rsidP="00AF1509">
      <w:pPr>
        <w:spacing w:line="480" w:lineRule="auto"/>
        <w:rPr>
          <w:rFonts w:ascii="Times New Roman" w:hAnsi="Times New Roman" w:cs="Times New Roman"/>
        </w:rPr>
      </w:pPr>
    </w:p>
    <w:p w14:paraId="6BE62087" w14:textId="77777777" w:rsidR="00530761" w:rsidRDefault="00530761" w:rsidP="00AF1509">
      <w:pPr>
        <w:spacing w:line="480" w:lineRule="auto"/>
        <w:rPr>
          <w:rFonts w:ascii="Times New Roman" w:hAnsi="Times New Roman" w:cs="Times New Roman"/>
        </w:rPr>
      </w:pPr>
    </w:p>
    <w:p w14:paraId="3BC26B35" w14:textId="77777777" w:rsidR="00CD4BE0" w:rsidRPr="00CD4BE0" w:rsidRDefault="00CD4BE0" w:rsidP="00CD4BE0">
      <w:pPr>
        <w:shd w:val="clear" w:color="auto" w:fill="FFFFFF"/>
        <w:spacing w:line="480" w:lineRule="atLeast"/>
        <w:jc w:val="center"/>
        <w:rPr>
          <w:rFonts w:ascii="Times New Roman" w:eastAsia="Times New Roman" w:hAnsi="Times New Roman" w:cs="Times New Roman"/>
          <w:color w:val="000000"/>
        </w:rPr>
      </w:pPr>
      <w:r w:rsidRPr="00CD4BE0">
        <w:rPr>
          <w:rFonts w:ascii="Times New Roman" w:eastAsia="Times New Roman" w:hAnsi="Times New Roman" w:cs="Times New Roman"/>
          <w:color w:val="000000"/>
        </w:rPr>
        <w:t>Works Cited</w:t>
      </w:r>
    </w:p>
    <w:p w14:paraId="2C97B3AF" w14:textId="77777777" w:rsidR="00CD4BE0" w:rsidRPr="00CD4BE0" w:rsidRDefault="00CD4BE0" w:rsidP="00CD4BE0">
      <w:pPr>
        <w:shd w:val="clear" w:color="auto" w:fill="FFFFFF"/>
        <w:spacing w:line="480" w:lineRule="atLeast"/>
        <w:ind w:hanging="600"/>
        <w:rPr>
          <w:rFonts w:ascii="Times New Roman" w:eastAsia="Times New Roman" w:hAnsi="Times New Roman" w:cs="Times New Roman"/>
          <w:color w:val="000000"/>
        </w:rPr>
      </w:pPr>
      <w:r w:rsidRPr="00CD4BE0">
        <w:rPr>
          <w:rFonts w:ascii="Times New Roman" w:eastAsia="Times New Roman" w:hAnsi="Times New Roman" w:cs="Times New Roman"/>
          <w:color w:val="000000"/>
        </w:rPr>
        <w:t>Baker, Bruce, and David Sciarra. "National Report Card - Introduction." </w:t>
      </w:r>
      <w:r w:rsidRPr="00CD4BE0">
        <w:rPr>
          <w:rFonts w:ascii="Times New Roman" w:eastAsia="Times New Roman" w:hAnsi="Times New Roman" w:cs="Times New Roman"/>
          <w:i/>
          <w:iCs/>
          <w:color w:val="000000"/>
        </w:rPr>
        <w:t>National Report Card - Introduction</w:t>
      </w:r>
      <w:r w:rsidRPr="00CD4BE0">
        <w:rPr>
          <w:rFonts w:ascii="Times New Roman" w:eastAsia="Times New Roman" w:hAnsi="Times New Roman" w:cs="Times New Roman"/>
          <w:color w:val="000000"/>
        </w:rPr>
        <w:t>. The National Report Card, n.d. Web. 16 May 2014.</w:t>
      </w:r>
    </w:p>
    <w:p w14:paraId="52D51BD6" w14:textId="77777777" w:rsidR="00CD4BE0" w:rsidRPr="00CD4BE0" w:rsidRDefault="00CD4BE0" w:rsidP="00CD4BE0">
      <w:pPr>
        <w:shd w:val="clear" w:color="auto" w:fill="FFFFFF"/>
        <w:spacing w:line="480" w:lineRule="atLeast"/>
        <w:ind w:hanging="600"/>
        <w:rPr>
          <w:rFonts w:ascii="Times New Roman" w:eastAsia="Times New Roman" w:hAnsi="Times New Roman" w:cs="Times New Roman"/>
          <w:color w:val="000000"/>
        </w:rPr>
      </w:pPr>
      <w:r w:rsidRPr="00CD4BE0">
        <w:rPr>
          <w:rFonts w:ascii="Times New Roman" w:eastAsia="Times New Roman" w:hAnsi="Times New Roman" w:cs="Times New Roman"/>
          <w:color w:val="000000"/>
        </w:rPr>
        <w:t>Bonorris, Steven. "State EJ." (2010): n. pag. Web.</w:t>
      </w:r>
    </w:p>
    <w:p w14:paraId="5499C3B9" w14:textId="77777777" w:rsidR="00CD4BE0" w:rsidRPr="00CD4BE0" w:rsidRDefault="00CD4BE0" w:rsidP="00CD4BE0">
      <w:pPr>
        <w:shd w:val="clear" w:color="auto" w:fill="FFFFFF"/>
        <w:spacing w:line="480" w:lineRule="atLeast"/>
        <w:ind w:hanging="600"/>
        <w:rPr>
          <w:rFonts w:ascii="Times New Roman" w:eastAsia="Times New Roman" w:hAnsi="Times New Roman" w:cs="Times New Roman"/>
          <w:color w:val="000000"/>
        </w:rPr>
      </w:pPr>
      <w:r w:rsidRPr="00CD4BE0">
        <w:rPr>
          <w:rFonts w:ascii="Times New Roman" w:eastAsia="Times New Roman" w:hAnsi="Times New Roman" w:cs="Times New Roman"/>
          <w:color w:val="000000"/>
        </w:rPr>
        <w:t>Brulle, Robert J. "The Future of the Environmental Justice Movement." (2004): n. pag. Print.</w:t>
      </w:r>
    </w:p>
    <w:p w14:paraId="29F66806" w14:textId="77777777" w:rsidR="00CD4BE0" w:rsidRPr="00CD4BE0" w:rsidRDefault="00CD4BE0" w:rsidP="00CD4BE0">
      <w:pPr>
        <w:shd w:val="clear" w:color="auto" w:fill="FFFFFF"/>
        <w:spacing w:line="480" w:lineRule="atLeast"/>
        <w:ind w:hanging="600"/>
        <w:rPr>
          <w:rFonts w:ascii="Times New Roman" w:eastAsia="Times New Roman" w:hAnsi="Times New Roman" w:cs="Times New Roman"/>
          <w:color w:val="000000"/>
        </w:rPr>
      </w:pPr>
      <w:r w:rsidRPr="00CD4BE0">
        <w:rPr>
          <w:rFonts w:ascii="Times New Roman" w:eastAsia="Times New Roman" w:hAnsi="Times New Roman" w:cs="Times New Roman"/>
          <w:color w:val="000000"/>
        </w:rPr>
        <w:t>Cole, Luke W. "Empowerment as the Key to Environmental Protection." (1992): n. pag. Web.</w:t>
      </w:r>
    </w:p>
    <w:p w14:paraId="6D018385" w14:textId="77777777" w:rsidR="00CD4BE0" w:rsidRPr="00CD4BE0" w:rsidRDefault="00CD4BE0" w:rsidP="00CD4BE0">
      <w:pPr>
        <w:shd w:val="clear" w:color="auto" w:fill="FFFFFF"/>
        <w:spacing w:line="480" w:lineRule="atLeast"/>
        <w:ind w:hanging="600"/>
        <w:rPr>
          <w:rFonts w:ascii="Times New Roman" w:eastAsia="Times New Roman" w:hAnsi="Times New Roman" w:cs="Times New Roman"/>
          <w:color w:val="000000"/>
        </w:rPr>
      </w:pPr>
      <w:r w:rsidRPr="00CD4BE0">
        <w:rPr>
          <w:rFonts w:ascii="Times New Roman" w:eastAsia="Times New Roman" w:hAnsi="Times New Roman" w:cs="Times New Roman"/>
          <w:color w:val="000000"/>
        </w:rPr>
        <w:t>Cole, Luke W. "The Struggle of Kettleman City: Lessons for the Movement." </w:t>
      </w:r>
      <w:r w:rsidRPr="00CD4BE0">
        <w:rPr>
          <w:rFonts w:ascii="Times New Roman" w:eastAsia="Times New Roman" w:hAnsi="Times New Roman" w:cs="Times New Roman"/>
          <w:i/>
          <w:iCs/>
          <w:color w:val="000000"/>
        </w:rPr>
        <w:t>Maryland Journal of Contemporary Legal Issues</w:t>
      </w:r>
      <w:r w:rsidRPr="00CD4BE0">
        <w:rPr>
          <w:rFonts w:ascii="Times New Roman" w:eastAsia="Times New Roman" w:hAnsi="Times New Roman" w:cs="Times New Roman"/>
          <w:color w:val="000000"/>
        </w:rPr>
        <w:t> 5 (1994): n. pag.</w:t>
      </w:r>
      <w:r w:rsidRPr="00CD4BE0">
        <w:rPr>
          <w:rFonts w:ascii="Times New Roman" w:eastAsia="Times New Roman" w:hAnsi="Times New Roman" w:cs="Times New Roman"/>
          <w:i/>
          <w:iCs/>
          <w:color w:val="000000"/>
        </w:rPr>
        <w:t>HeinOnline</w:t>
      </w:r>
      <w:r w:rsidRPr="00CD4BE0">
        <w:rPr>
          <w:rFonts w:ascii="Times New Roman" w:eastAsia="Times New Roman" w:hAnsi="Times New Roman" w:cs="Times New Roman"/>
          <w:color w:val="000000"/>
        </w:rPr>
        <w:t>. Web. 15 May 2014. &lt;http://heinonline.org/HOL/Page?handle=hein.journals/mjcolei5&amp;div=10&amp;g_sent=1&amp;collection=journals#74&gt;.</w:t>
      </w:r>
    </w:p>
    <w:p w14:paraId="6E1F813F" w14:textId="77777777" w:rsidR="00CD4BE0" w:rsidRPr="00CD4BE0" w:rsidRDefault="00CD4BE0" w:rsidP="00CD4BE0">
      <w:pPr>
        <w:shd w:val="clear" w:color="auto" w:fill="FFFFFF"/>
        <w:spacing w:line="480" w:lineRule="atLeast"/>
        <w:ind w:hanging="600"/>
        <w:rPr>
          <w:rFonts w:ascii="Times New Roman" w:eastAsia="Times New Roman" w:hAnsi="Times New Roman" w:cs="Times New Roman"/>
          <w:color w:val="000000"/>
        </w:rPr>
      </w:pPr>
      <w:r w:rsidRPr="00CD4BE0">
        <w:rPr>
          <w:rFonts w:ascii="Times New Roman" w:eastAsia="Times New Roman" w:hAnsi="Times New Roman" w:cs="Times New Roman"/>
          <w:color w:val="000000"/>
        </w:rPr>
        <w:t>Ferguson, Ronald F. "Paying For Public Education." </w:t>
      </w:r>
      <w:r w:rsidRPr="00CD4BE0">
        <w:rPr>
          <w:rFonts w:ascii="Times New Roman" w:eastAsia="Times New Roman" w:hAnsi="Times New Roman" w:cs="Times New Roman"/>
          <w:i/>
          <w:iCs/>
          <w:color w:val="000000"/>
        </w:rPr>
        <w:t>Harvard Journal on Legislation</w:t>
      </w:r>
      <w:r w:rsidRPr="00CD4BE0">
        <w:rPr>
          <w:rFonts w:ascii="Times New Roman" w:eastAsia="Times New Roman" w:hAnsi="Times New Roman" w:cs="Times New Roman"/>
          <w:color w:val="000000"/>
        </w:rPr>
        <w:t> 28 (1991): n. pag. </w:t>
      </w:r>
      <w:r w:rsidRPr="00CD4BE0">
        <w:rPr>
          <w:rFonts w:ascii="Times New Roman" w:eastAsia="Times New Roman" w:hAnsi="Times New Roman" w:cs="Times New Roman"/>
          <w:i/>
          <w:iCs/>
          <w:color w:val="000000"/>
        </w:rPr>
        <w:t>HeinOnline</w:t>
      </w:r>
      <w:r w:rsidRPr="00CD4BE0">
        <w:rPr>
          <w:rFonts w:ascii="Times New Roman" w:eastAsia="Times New Roman" w:hAnsi="Times New Roman" w:cs="Times New Roman"/>
          <w:color w:val="000000"/>
        </w:rPr>
        <w:t>. Web. 15 May 2014. &lt;http://heinonline.org/HOL/Page?handle=hein.journals/hjl28&amp;div=24&amp;g_sent=1&amp;collection=journals#493&gt;.</w:t>
      </w:r>
    </w:p>
    <w:p w14:paraId="49AE3882" w14:textId="77777777" w:rsidR="00CD4BE0" w:rsidRPr="00CD4BE0" w:rsidRDefault="00CD4BE0" w:rsidP="00CD4BE0">
      <w:pPr>
        <w:shd w:val="clear" w:color="auto" w:fill="FFFFFF"/>
        <w:spacing w:line="480" w:lineRule="atLeast"/>
        <w:ind w:hanging="600"/>
        <w:rPr>
          <w:rFonts w:ascii="Times New Roman" w:eastAsia="Times New Roman" w:hAnsi="Times New Roman" w:cs="Times New Roman"/>
          <w:color w:val="000000"/>
        </w:rPr>
      </w:pPr>
      <w:r w:rsidRPr="00CD4BE0">
        <w:rPr>
          <w:rFonts w:ascii="Times New Roman" w:eastAsia="Times New Roman" w:hAnsi="Times New Roman" w:cs="Times New Roman"/>
          <w:color w:val="000000"/>
        </w:rPr>
        <w:t>"List of Hazardous Waste Disposal Companies Worldwide." </w:t>
      </w:r>
      <w:r w:rsidRPr="00CD4BE0">
        <w:rPr>
          <w:rFonts w:ascii="Times New Roman" w:eastAsia="Times New Roman" w:hAnsi="Times New Roman" w:cs="Times New Roman"/>
          <w:i/>
          <w:iCs/>
          <w:color w:val="000000"/>
        </w:rPr>
        <w:t>Bloomberg.com</w:t>
      </w:r>
      <w:r w:rsidRPr="00CD4BE0">
        <w:rPr>
          <w:rFonts w:ascii="Times New Roman" w:eastAsia="Times New Roman" w:hAnsi="Times New Roman" w:cs="Times New Roman"/>
          <w:color w:val="000000"/>
        </w:rPr>
        <w:t>. Bloomberg, 15 Jan. 2014. Web. 16 May 2014.</w:t>
      </w:r>
    </w:p>
    <w:p w14:paraId="3BBABF59" w14:textId="77777777" w:rsidR="00CD4BE0" w:rsidRPr="00CD4BE0" w:rsidRDefault="00CD4BE0" w:rsidP="00CD4BE0">
      <w:pPr>
        <w:shd w:val="clear" w:color="auto" w:fill="FFFFFF"/>
        <w:spacing w:line="480" w:lineRule="atLeast"/>
        <w:ind w:hanging="600"/>
        <w:rPr>
          <w:rFonts w:ascii="Times New Roman" w:eastAsia="Times New Roman" w:hAnsi="Times New Roman" w:cs="Times New Roman"/>
          <w:color w:val="000000"/>
        </w:rPr>
      </w:pPr>
      <w:r w:rsidRPr="00CD4BE0">
        <w:rPr>
          <w:rFonts w:ascii="Times New Roman" w:eastAsia="Times New Roman" w:hAnsi="Times New Roman" w:cs="Times New Roman"/>
          <w:color w:val="000000"/>
        </w:rPr>
        <w:t>Morello-Frosch, Rachel. "Cumulative Impacts." (2011): n. pag. Web.</w:t>
      </w:r>
    </w:p>
    <w:p w14:paraId="064B974C" w14:textId="77777777" w:rsidR="00CD4BE0" w:rsidRPr="00CD4BE0" w:rsidRDefault="00CD4BE0" w:rsidP="00CD4BE0">
      <w:pPr>
        <w:shd w:val="clear" w:color="auto" w:fill="FFFFFF"/>
        <w:spacing w:line="480" w:lineRule="atLeast"/>
        <w:ind w:hanging="600"/>
        <w:rPr>
          <w:rFonts w:ascii="Times New Roman" w:eastAsia="Times New Roman" w:hAnsi="Times New Roman" w:cs="Times New Roman"/>
          <w:color w:val="000000"/>
        </w:rPr>
      </w:pPr>
      <w:r w:rsidRPr="00CD4BE0">
        <w:rPr>
          <w:rFonts w:ascii="Times New Roman" w:eastAsia="Times New Roman" w:hAnsi="Times New Roman" w:cs="Times New Roman"/>
          <w:color w:val="000000"/>
        </w:rPr>
        <w:t>O'Rourke, Dara, and Gregg P. Macey. "Community Environmental Policing: Assessing New Strategies of Public Participation in Environmental Regulation." </w:t>
      </w:r>
      <w:r w:rsidRPr="00CD4BE0">
        <w:rPr>
          <w:rFonts w:ascii="Times New Roman" w:eastAsia="Times New Roman" w:hAnsi="Times New Roman" w:cs="Times New Roman"/>
          <w:i/>
          <w:iCs/>
          <w:color w:val="000000"/>
        </w:rPr>
        <w:t>Journal of Policy Analysis and Management</w:t>
      </w:r>
      <w:r w:rsidRPr="00CD4BE0">
        <w:rPr>
          <w:rFonts w:ascii="Times New Roman" w:eastAsia="Times New Roman" w:hAnsi="Times New Roman" w:cs="Times New Roman"/>
          <w:color w:val="000000"/>
        </w:rPr>
        <w:t> 22.3 (2003): n. pag. Print.</w:t>
      </w:r>
    </w:p>
    <w:p w14:paraId="1CF7E98C" w14:textId="77777777" w:rsidR="00CD4BE0" w:rsidRPr="00CD4BE0" w:rsidRDefault="00CD4BE0" w:rsidP="00CD4BE0">
      <w:pPr>
        <w:shd w:val="clear" w:color="auto" w:fill="FFFFFF"/>
        <w:spacing w:line="480" w:lineRule="atLeast"/>
        <w:ind w:hanging="600"/>
        <w:rPr>
          <w:rFonts w:ascii="Times New Roman" w:eastAsia="Times New Roman" w:hAnsi="Times New Roman" w:cs="Times New Roman"/>
          <w:color w:val="000000"/>
        </w:rPr>
      </w:pPr>
      <w:r w:rsidRPr="00CD4BE0">
        <w:rPr>
          <w:rFonts w:ascii="Times New Roman" w:eastAsia="Times New Roman" w:hAnsi="Times New Roman" w:cs="Times New Roman"/>
          <w:color w:val="000000"/>
        </w:rPr>
        <w:t>Pastor, Manuel. "Screening for Justice." N.p., 2013. Web.</w:t>
      </w:r>
    </w:p>
    <w:p w14:paraId="6DC75668" w14:textId="77777777" w:rsidR="00CD4BE0" w:rsidRPr="00CD4BE0" w:rsidRDefault="00CD4BE0" w:rsidP="00CD4BE0">
      <w:pPr>
        <w:shd w:val="clear" w:color="auto" w:fill="FFFFFF"/>
        <w:spacing w:line="480" w:lineRule="atLeast"/>
        <w:ind w:hanging="600"/>
        <w:rPr>
          <w:rFonts w:ascii="Times New Roman" w:eastAsia="Times New Roman" w:hAnsi="Times New Roman" w:cs="Times New Roman"/>
          <w:color w:val="000000"/>
        </w:rPr>
      </w:pPr>
      <w:r w:rsidRPr="00CD4BE0">
        <w:rPr>
          <w:rFonts w:ascii="Times New Roman" w:eastAsia="Times New Roman" w:hAnsi="Times New Roman" w:cs="Times New Roman"/>
          <w:color w:val="000000"/>
        </w:rPr>
        <w:t>Pulido, Laura. "Rethinking Environmental Racism." (2000): n. pag. Print.</w:t>
      </w:r>
    </w:p>
    <w:p w14:paraId="134AB69D" w14:textId="77777777" w:rsidR="00CD4BE0" w:rsidRPr="00CD4BE0" w:rsidRDefault="00CD4BE0" w:rsidP="00CD4BE0">
      <w:pPr>
        <w:shd w:val="clear" w:color="auto" w:fill="FFFFFF"/>
        <w:spacing w:line="480" w:lineRule="atLeast"/>
        <w:ind w:hanging="600"/>
        <w:rPr>
          <w:rFonts w:ascii="Times New Roman" w:eastAsia="Times New Roman" w:hAnsi="Times New Roman" w:cs="Times New Roman"/>
          <w:color w:val="000000"/>
        </w:rPr>
      </w:pPr>
      <w:r w:rsidRPr="00CD4BE0">
        <w:rPr>
          <w:rFonts w:ascii="Times New Roman" w:eastAsia="Times New Roman" w:hAnsi="Times New Roman" w:cs="Times New Roman"/>
          <w:color w:val="000000"/>
        </w:rPr>
        <w:t>Saha, Robin. "Racial and Socioeconomic Disparities in the Distribution of Environmental Hazards." (2007): n. pag. Web.</w:t>
      </w:r>
    </w:p>
    <w:p w14:paraId="344C6EFE" w14:textId="77777777" w:rsidR="00CD4BE0" w:rsidRPr="00CD4BE0" w:rsidRDefault="00CD4BE0" w:rsidP="00CD4BE0">
      <w:pPr>
        <w:shd w:val="clear" w:color="auto" w:fill="FFFFFF"/>
        <w:spacing w:line="480" w:lineRule="atLeast"/>
        <w:ind w:hanging="600"/>
        <w:rPr>
          <w:rFonts w:ascii="Times New Roman" w:eastAsia="Times New Roman" w:hAnsi="Times New Roman" w:cs="Times New Roman"/>
          <w:color w:val="000000"/>
        </w:rPr>
      </w:pPr>
      <w:r w:rsidRPr="00CD4BE0">
        <w:rPr>
          <w:rFonts w:ascii="Times New Roman" w:eastAsia="Times New Roman" w:hAnsi="Times New Roman" w:cs="Times New Roman"/>
          <w:color w:val="000000"/>
        </w:rPr>
        <w:t>Sexton, Ken. "Cumulative Risk Assessment." (2010): n. pag. Web.</w:t>
      </w:r>
    </w:p>
    <w:p w14:paraId="767AC2E4" w14:textId="77777777" w:rsidR="00530761" w:rsidRPr="00025341" w:rsidRDefault="00530761" w:rsidP="00CD4BE0">
      <w:pPr>
        <w:shd w:val="clear" w:color="auto" w:fill="FFFFFF"/>
        <w:spacing w:line="480" w:lineRule="atLeast"/>
        <w:jc w:val="center"/>
        <w:rPr>
          <w:rFonts w:ascii="Times New Roman" w:hAnsi="Times New Roman" w:cs="Times New Roman"/>
        </w:rPr>
      </w:pPr>
    </w:p>
    <w:sectPr w:rsidR="00530761" w:rsidRPr="00025341" w:rsidSect="00E80F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8C3"/>
    <w:rsid w:val="00025341"/>
    <w:rsid w:val="00027B2B"/>
    <w:rsid w:val="00264B20"/>
    <w:rsid w:val="00296F9A"/>
    <w:rsid w:val="00366427"/>
    <w:rsid w:val="003768A3"/>
    <w:rsid w:val="00406089"/>
    <w:rsid w:val="00416BB1"/>
    <w:rsid w:val="00431C59"/>
    <w:rsid w:val="00477923"/>
    <w:rsid w:val="005025AD"/>
    <w:rsid w:val="00530761"/>
    <w:rsid w:val="005C2300"/>
    <w:rsid w:val="006043A9"/>
    <w:rsid w:val="006A348E"/>
    <w:rsid w:val="00714817"/>
    <w:rsid w:val="00743BBC"/>
    <w:rsid w:val="007A28C3"/>
    <w:rsid w:val="00827442"/>
    <w:rsid w:val="008721FC"/>
    <w:rsid w:val="00873406"/>
    <w:rsid w:val="008C055F"/>
    <w:rsid w:val="00993A5F"/>
    <w:rsid w:val="009A1C65"/>
    <w:rsid w:val="009F4918"/>
    <w:rsid w:val="00A14B33"/>
    <w:rsid w:val="00A27BB5"/>
    <w:rsid w:val="00A3442F"/>
    <w:rsid w:val="00A645A8"/>
    <w:rsid w:val="00A65BDB"/>
    <w:rsid w:val="00A972F6"/>
    <w:rsid w:val="00AB5B52"/>
    <w:rsid w:val="00AD4FB1"/>
    <w:rsid w:val="00AF1509"/>
    <w:rsid w:val="00B21CF3"/>
    <w:rsid w:val="00B41C39"/>
    <w:rsid w:val="00B86D55"/>
    <w:rsid w:val="00BB65E8"/>
    <w:rsid w:val="00BE5BC1"/>
    <w:rsid w:val="00C20DCA"/>
    <w:rsid w:val="00CC4AF9"/>
    <w:rsid w:val="00CD17F5"/>
    <w:rsid w:val="00CD4BE0"/>
    <w:rsid w:val="00D171EB"/>
    <w:rsid w:val="00D24F67"/>
    <w:rsid w:val="00D32C94"/>
    <w:rsid w:val="00DC1B1E"/>
    <w:rsid w:val="00E614A2"/>
    <w:rsid w:val="00E80F64"/>
    <w:rsid w:val="00E963B3"/>
    <w:rsid w:val="00EB1CBE"/>
    <w:rsid w:val="00EB24B9"/>
    <w:rsid w:val="00F13E77"/>
    <w:rsid w:val="00F31063"/>
    <w:rsid w:val="00F4138F"/>
    <w:rsid w:val="00F618DE"/>
    <w:rsid w:val="00F80E32"/>
    <w:rsid w:val="00FF4F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454B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076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0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060938">
      <w:bodyDiv w:val="1"/>
      <w:marLeft w:val="0"/>
      <w:marRight w:val="0"/>
      <w:marTop w:val="0"/>
      <w:marBottom w:val="0"/>
      <w:divBdr>
        <w:top w:val="none" w:sz="0" w:space="0" w:color="auto"/>
        <w:left w:val="none" w:sz="0" w:space="0" w:color="auto"/>
        <w:bottom w:val="none" w:sz="0" w:space="0" w:color="auto"/>
        <w:right w:val="none" w:sz="0" w:space="0" w:color="auto"/>
      </w:divBdr>
      <w:divsChild>
        <w:div w:id="847870639">
          <w:marLeft w:val="600"/>
          <w:marRight w:val="0"/>
          <w:marTop w:val="0"/>
          <w:marBottom w:val="0"/>
          <w:divBdr>
            <w:top w:val="none" w:sz="0" w:space="0" w:color="auto"/>
            <w:left w:val="none" w:sz="0" w:space="0" w:color="auto"/>
            <w:bottom w:val="none" w:sz="0" w:space="0" w:color="auto"/>
            <w:right w:val="none" w:sz="0" w:space="0" w:color="auto"/>
          </w:divBdr>
        </w:div>
        <w:div w:id="827483508">
          <w:marLeft w:val="600"/>
          <w:marRight w:val="0"/>
          <w:marTop w:val="0"/>
          <w:marBottom w:val="0"/>
          <w:divBdr>
            <w:top w:val="none" w:sz="0" w:space="0" w:color="auto"/>
            <w:left w:val="none" w:sz="0" w:space="0" w:color="auto"/>
            <w:bottom w:val="none" w:sz="0" w:space="0" w:color="auto"/>
            <w:right w:val="none" w:sz="0" w:space="0" w:color="auto"/>
          </w:divBdr>
        </w:div>
        <w:div w:id="1267738258">
          <w:marLeft w:val="600"/>
          <w:marRight w:val="0"/>
          <w:marTop w:val="0"/>
          <w:marBottom w:val="0"/>
          <w:divBdr>
            <w:top w:val="none" w:sz="0" w:space="0" w:color="auto"/>
            <w:left w:val="none" w:sz="0" w:space="0" w:color="auto"/>
            <w:bottom w:val="none" w:sz="0" w:space="0" w:color="auto"/>
            <w:right w:val="none" w:sz="0" w:space="0" w:color="auto"/>
          </w:divBdr>
        </w:div>
        <w:div w:id="1050112804">
          <w:marLeft w:val="600"/>
          <w:marRight w:val="0"/>
          <w:marTop w:val="0"/>
          <w:marBottom w:val="0"/>
          <w:divBdr>
            <w:top w:val="none" w:sz="0" w:space="0" w:color="auto"/>
            <w:left w:val="none" w:sz="0" w:space="0" w:color="auto"/>
            <w:bottom w:val="none" w:sz="0" w:space="0" w:color="auto"/>
            <w:right w:val="none" w:sz="0" w:space="0" w:color="auto"/>
          </w:divBdr>
        </w:div>
        <w:div w:id="1742211279">
          <w:marLeft w:val="600"/>
          <w:marRight w:val="0"/>
          <w:marTop w:val="0"/>
          <w:marBottom w:val="0"/>
          <w:divBdr>
            <w:top w:val="none" w:sz="0" w:space="0" w:color="auto"/>
            <w:left w:val="none" w:sz="0" w:space="0" w:color="auto"/>
            <w:bottom w:val="none" w:sz="0" w:space="0" w:color="auto"/>
            <w:right w:val="none" w:sz="0" w:space="0" w:color="auto"/>
          </w:divBdr>
        </w:div>
        <w:div w:id="2057005498">
          <w:marLeft w:val="600"/>
          <w:marRight w:val="0"/>
          <w:marTop w:val="0"/>
          <w:marBottom w:val="0"/>
          <w:divBdr>
            <w:top w:val="none" w:sz="0" w:space="0" w:color="auto"/>
            <w:left w:val="none" w:sz="0" w:space="0" w:color="auto"/>
            <w:bottom w:val="none" w:sz="0" w:space="0" w:color="auto"/>
            <w:right w:val="none" w:sz="0" w:space="0" w:color="auto"/>
          </w:divBdr>
        </w:div>
        <w:div w:id="629358190">
          <w:marLeft w:val="600"/>
          <w:marRight w:val="0"/>
          <w:marTop w:val="0"/>
          <w:marBottom w:val="0"/>
          <w:divBdr>
            <w:top w:val="none" w:sz="0" w:space="0" w:color="auto"/>
            <w:left w:val="none" w:sz="0" w:space="0" w:color="auto"/>
            <w:bottom w:val="none" w:sz="0" w:space="0" w:color="auto"/>
            <w:right w:val="none" w:sz="0" w:space="0" w:color="auto"/>
          </w:divBdr>
        </w:div>
        <w:div w:id="684015826">
          <w:marLeft w:val="600"/>
          <w:marRight w:val="0"/>
          <w:marTop w:val="0"/>
          <w:marBottom w:val="0"/>
          <w:divBdr>
            <w:top w:val="none" w:sz="0" w:space="0" w:color="auto"/>
            <w:left w:val="none" w:sz="0" w:space="0" w:color="auto"/>
            <w:bottom w:val="none" w:sz="0" w:space="0" w:color="auto"/>
            <w:right w:val="none" w:sz="0" w:space="0" w:color="auto"/>
          </w:divBdr>
        </w:div>
        <w:div w:id="1577089600">
          <w:marLeft w:val="600"/>
          <w:marRight w:val="0"/>
          <w:marTop w:val="0"/>
          <w:marBottom w:val="0"/>
          <w:divBdr>
            <w:top w:val="none" w:sz="0" w:space="0" w:color="auto"/>
            <w:left w:val="none" w:sz="0" w:space="0" w:color="auto"/>
            <w:bottom w:val="none" w:sz="0" w:space="0" w:color="auto"/>
            <w:right w:val="none" w:sz="0" w:space="0" w:color="auto"/>
          </w:divBdr>
        </w:div>
        <w:div w:id="424956360">
          <w:marLeft w:val="600"/>
          <w:marRight w:val="0"/>
          <w:marTop w:val="0"/>
          <w:marBottom w:val="0"/>
          <w:divBdr>
            <w:top w:val="none" w:sz="0" w:space="0" w:color="auto"/>
            <w:left w:val="none" w:sz="0" w:space="0" w:color="auto"/>
            <w:bottom w:val="none" w:sz="0" w:space="0" w:color="auto"/>
            <w:right w:val="none" w:sz="0" w:space="0" w:color="auto"/>
          </w:divBdr>
        </w:div>
        <w:div w:id="382406603">
          <w:marLeft w:val="600"/>
          <w:marRight w:val="0"/>
          <w:marTop w:val="0"/>
          <w:marBottom w:val="0"/>
          <w:divBdr>
            <w:top w:val="none" w:sz="0" w:space="0" w:color="auto"/>
            <w:left w:val="none" w:sz="0" w:space="0" w:color="auto"/>
            <w:bottom w:val="none" w:sz="0" w:space="0" w:color="auto"/>
            <w:right w:val="none" w:sz="0" w:space="0" w:color="auto"/>
          </w:divBdr>
        </w:div>
        <w:div w:id="2021201911">
          <w:marLeft w:val="600"/>
          <w:marRight w:val="0"/>
          <w:marTop w:val="0"/>
          <w:marBottom w:val="0"/>
          <w:divBdr>
            <w:top w:val="none" w:sz="0" w:space="0" w:color="auto"/>
            <w:left w:val="none" w:sz="0" w:space="0" w:color="auto"/>
            <w:bottom w:val="none" w:sz="0" w:space="0" w:color="auto"/>
            <w:right w:val="none" w:sz="0" w:space="0" w:color="auto"/>
          </w:divBdr>
        </w:div>
        <w:div w:id="2099597257">
          <w:marLeft w:val="600"/>
          <w:marRight w:val="0"/>
          <w:marTop w:val="0"/>
          <w:marBottom w:val="0"/>
          <w:divBdr>
            <w:top w:val="none" w:sz="0" w:space="0" w:color="auto"/>
            <w:left w:val="none" w:sz="0" w:space="0" w:color="auto"/>
            <w:bottom w:val="none" w:sz="0" w:space="0" w:color="auto"/>
            <w:right w:val="none" w:sz="0" w:space="0" w:color="auto"/>
          </w:divBdr>
        </w:div>
      </w:divsChild>
    </w:div>
    <w:div w:id="1645887686">
      <w:bodyDiv w:val="1"/>
      <w:marLeft w:val="0"/>
      <w:marRight w:val="0"/>
      <w:marTop w:val="0"/>
      <w:marBottom w:val="0"/>
      <w:divBdr>
        <w:top w:val="none" w:sz="0" w:space="0" w:color="auto"/>
        <w:left w:val="none" w:sz="0" w:space="0" w:color="auto"/>
        <w:bottom w:val="none" w:sz="0" w:space="0" w:color="auto"/>
        <w:right w:val="none" w:sz="0" w:space="0" w:color="auto"/>
      </w:divBdr>
      <w:divsChild>
        <w:div w:id="2004239077">
          <w:marLeft w:val="600"/>
          <w:marRight w:val="0"/>
          <w:marTop w:val="0"/>
          <w:marBottom w:val="0"/>
          <w:divBdr>
            <w:top w:val="none" w:sz="0" w:space="0" w:color="auto"/>
            <w:left w:val="none" w:sz="0" w:space="0" w:color="auto"/>
            <w:bottom w:val="none" w:sz="0" w:space="0" w:color="auto"/>
            <w:right w:val="none" w:sz="0" w:space="0" w:color="auto"/>
          </w:divBdr>
        </w:div>
        <w:div w:id="1889993161">
          <w:marLeft w:val="600"/>
          <w:marRight w:val="0"/>
          <w:marTop w:val="0"/>
          <w:marBottom w:val="0"/>
          <w:divBdr>
            <w:top w:val="none" w:sz="0" w:space="0" w:color="auto"/>
            <w:left w:val="none" w:sz="0" w:space="0" w:color="auto"/>
            <w:bottom w:val="none" w:sz="0" w:space="0" w:color="auto"/>
            <w:right w:val="none" w:sz="0" w:space="0" w:color="auto"/>
          </w:divBdr>
        </w:div>
        <w:div w:id="337386180">
          <w:marLeft w:val="600"/>
          <w:marRight w:val="0"/>
          <w:marTop w:val="0"/>
          <w:marBottom w:val="0"/>
          <w:divBdr>
            <w:top w:val="none" w:sz="0" w:space="0" w:color="auto"/>
            <w:left w:val="none" w:sz="0" w:space="0" w:color="auto"/>
            <w:bottom w:val="none" w:sz="0" w:space="0" w:color="auto"/>
            <w:right w:val="none" w:sz="0" w:space="0" w:color="auto"/>
          </w:divBdr>
        </w:div>
        <w:div w:id="1486631241">
          <w:marLeft w:val="6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5</Pages>
  <Words>1238</Words>
  <Characters>7060</Characters>
  <Application>Microsoft Macintosh Word</Application>
  <DocSecurity>0</DocSecurity>
  <Lines>58</Lines>
  <Paragraphs>16</Paragraphs>
  <ScaleCrop>false</ScaleCrop>
  <Company/>
  <LinksUpToDate>false</LinksUpToDate>
  <CharactersWithSpaces>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Barton Dock</dc:creator>
  <cp:keywords/>
  <dc:description/>
  <cp:lastModifiedBy>Chris Barton Dock</cp:lastModifiedBy>
  <cp:revision>21</cp:revision>
  <dcterms:created xsi:type="dcterms:W3CDTF">2014-05-15T20:18:00Z</dcterms:created>
  <dcterms:modified xsi:type="dcterms:W3CDTF">2014-05-16T21:28:00Z</dcterms:modified>
</cp:coreProperties>
</file>