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1539B3" w:rsidRDefault="001539B3" w:rsidP="00EA772C">
      <w:bookmarkStart w:id="1" w:name="_GoBack"/>
      <w:bookmarkEnd w:id="1"/>
    </w:p>
    <w:p w:rsidR="00643EED" w:rsidRPr="00EA772C" w:rsidRDefault="00643EED" w:rsidP="00EA772C"/>
    <w:p w:rsidR="00523E43" w:rsidRPr="00523E43" w:rsidRDefault="00523E43" w:rsidP="00A44EF1">
      <w:pPr>
        <w:rPr>
          <w:b/>
          <w:u w:val="single"/>
        </w:rPr>
      </w:pPr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lastRenderedPageBreak/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67055"/>
    <w:rsid w:val="00070AA2"/>
    <w:rsid w:val="00087C2F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E45B4"/>
    <w:rsid w:val="000F6EF1"/>
    <w:rsid w:val="00104893"/>
    <w:rsid w:val="001217AE"/>
    <w:rsid w:val="001269B7"/>
    <w:rsid w:val="00126A24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96"/>
    <w:rsid w:val="00173D96"/>
    <w:rsid w:val="001749B4"/>
    <w:rsid w:val="00193D62"/>
    <w:rsid w:val="001946AE"/>
    <w:rsid w:val="00195CA1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D1384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34A4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D6C14"/>
    <w:rsid w:val="004E4102"/>
    <w:rsid w:val="004E477B"/>
    <w:rsid w:val="004E6BB3"/>
    <w:rsid w:val="004F2721"/>
    <w:rsid w:val="004F45E5"/>
    <w:rsid w:val="00501C3C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A2BEC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3EED"/>
    <w:rsid w:val="0064787B"/>
    <w:rsid w:val="0065528D"/>
    <w:rsid w:val="006558D2"/>
    <w:rsid w:val="00660ED0"/>
    <w:rsid w:val="00671B39"/>
    <w:rsid w:val="0067234A"/>
    <w:rsid w:val="00675F4C"/>
    <w:rsid w:val="006764DB"/>
    <w:rsid w:val="00683CE7"/>
    <w:rsid w:val="00684B01"/>
    <w:rsid w:val="00685565"/>
    <w:rsid w:val="006873C5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17779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1B82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96924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17ED"/>
    <w:rsid w:val="00C06931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2220"/>
    <w:rsid w:val="00C76A59"/>
    <w:rsid w:val="00C8003E"/>
    <w:rsid w:val="00C86EE9"/>
    <w:rsid w:val="00C87491"/>
    <w:rsid w:val="00C91527"/>
    <w:rsid w:val="00C934BF"/>
    <w:rsid w:val="00C974B8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F255B"/>
    <w:rsid w:val="00CF3EE6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118"/>
    <w:rsid w:val="00D30808"/>
    <w:rsid w:val="00D41D22"/>
    <w:rsid w:val="00D47C07"/>
    <w:rsid w:val="00D524FB"/>
    <w:rsid w:val="00D52C00"/>
    <w:rsid w:val="00D5464B"/>
    <w:rsid w:val="00D6396E"/>
    <w:rsid w:val="00D76513"/>
    <w:rsid w:val="00D90423"/>
    <w:rsid w:val="00DA1C18"/>
    <w:rsid w:val="00DA250E"/>
    <w:rsid w:val="00DA6166"/>
    <w:rsid w:val="00DA747F"/>
    <w:rsid w:val="00DB4262"/>
    <w:rsid w:val="00DC5E9E"/>
    <w:rsid w:val="00DD5BD9"/>
    <w:rsid w:val="00DD7EA8"/>
    <w:rsid w:val="00DD7F9B"/>
    <w:rsid w:val="00DF2C8A"/>
    <w:rsid w:val="00DF33FF"/>
    <w:rsid w:val="00DF481B"/>
    <w:rsid w:val="00DF7CA2"/>
    <w:rsid w:val="00E15B7E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5945"/>
    <w:rsid w:val="00E96BB0"/>
    <w:rsid w:val="00EA0ABF"/>
    <w:rsid w:val="00EA772C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B4A2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6880</Words>
  <Characters>39217</Characters>
  <Application>Microsoft Office Word</Application>
  <DocSecurity>0</DocSecurity>
  <Lines>326</Lines>
  <Paragraphs>92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2021-02-09T19:09:00Z</dcterms:created>
  <dcterms:modified xsi:type="dcterms:W3CDTF">2021-02-24T19:20:00Z</dcterms:modified>
</cp:coreProperties>
</file>