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13/04/2024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213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123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              123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«123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