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10.05.2024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фыывфывфыфвв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Описание проекта       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21313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фыывфывфыфвв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