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3840" w14:textId="77777777" w:rsidR="00CE3CA3" w:rsidRDefault="00CE3CA3" w:rsidP="00B93512">
      <w:pPr>
        <w:jc w:val="center"/>
        <w:rPr>
          <w:b/>
          <w:bCs/>
          <w:u w:val="single"/>
        </w:rPr>
      </w:pPr>
    </w:p>
    <w:p w14:paraId="28ACE964" w14:textId="3D1EEC83" w:rsidR="00B93512" w:rsidRPr="00B93512" w:rsidRDefault="002C4D74" w:rsidP="00B93512">
      <w:pPr>
        <w:jc w:val="center"/>
        <w:rPr>
          <w:b/>
          <w:bCs/>
          <w:u w:val="single"/>
        </w:rPr>
      </w:pPr>
      <w:r w:rsidRPr="00B93512">
        <w:rPr>
          <w:b/>
          <w:bCs/>
          <w:u w:val="single"/>
        </w:rPr>
        <w:t xml:space="preserve">Data Processing </w:t>
      </w:r>
      <w:r w:rsidR="00B93512">
        <w:rPr>
          <w:b/>
          <w:bCs/>
          <w:u w:val="single"/>
        </w:rPr>
        <w:t>Protocol</w:t>
      </w:r>
      <w:r w:rsidRPr="00B93512">
        <w:rPr>
          <w:b/>
          <w:bCs/>
          <w:u w:val="single"/>
        </w:rPr>
        <w:t xml:space="preserve"> for CATS Data Factory Importation</w:t>
      </w:r>
    </w:p>
    <w:p w14:paraId="041AC914" w14:textId="12A0B9EB" w:rsidR="002C4D74" w:rsidRDefault="002C4D74" w:rsidP="002C4D74">
      <w:pPr>
        <w:jc w:val="center"/>
      </w:pPr>
    </w:p>
    <w:p w14:paraId="1D7E2F7B" w14:textId="114C42C2" w:rsidR="002C4D74" w:rsidRDefault="002C4D74" w:rsidP="002C4D74">
      <w:pPr>
        <w:pStyle w:val="ListParagraph"/>
        <w:numPr>
          <w:ilvl w:val="0"/>
          <w:numId w:val="1"/>
        </w:numPr>
      </w:pPr>
      <w:r>
        <w:t>Import raw GDELT data</w:t>
      </w:r>
      <w:r w:rsidR="008074BB">
        <w:t>.</w:t>
      </w:r>
    </w:p>
    <w:p w14:paraId="75E97AED" w14:textId="253300B3" w:rsidR="002C4D74" w:rsidRPr="002C4D74" w:rsidRDefault="002C4D74" w:rsidP="002C4D74">
      <w:pPr>
        <w:pStyle w:val="ListParagraph"/>
        <w:numPr>
          <w:ilvl w:val="1"/>
          <w:numId w:val="1"/>
        </w:numPr>
      </w:pPr>
      <w:r>
        <w:t xml:space="preserve">Microsoft </w:t>
      </w:r>
      <w:r w:rsidRPr="002C4D74">
        <w:t>Server Name: </w:t>
      </w:r>
      <w:r w:rsidRPr="002C4D74">
        <w:rPr>
          <w:b/>
          <w:bCs/>
        </w:rPr>
        <w:t>uniictdatdb01.database.windows.net</w:t>
      </w:r>
      <w:r>
        <w:rPr>
          <w:b/>
          <w:bCs/>
        </w:rPr>
        <w:t xml:space="preserve"> </w:t>
      </w:r>
    </w:p>
    <w:p w14:paraId="773BEE23" w14:textId="4D9FFDC3" w:rsidR="00B93512" w:rsidRDefault="002C4D74" w:rsidP="00B93512">
      <w:pPr>
        <w:pStyle w:val="ListParagraph"/>
        <w:numPr>
          <w:ilvl w:val="1"/>
          <w:numId w:val="1"/>
        </w:numPr>
      </w:pPr>
      <w:r>
        <w:t xml:space="preserve">Microsoft SQL </w:t>
      </w:r>
      <w:r w:rsidRPr="002C4D74">
        <w:t>Database: </w:t>
      </w:r>
      <w:proofErr w:type="spellStart"/>
      <w:r w:rsidRPr="002C4D74">
        <w:rPr>
          <w:b/>
          <w:bCs/>
        </w:rPr>
        <w:t>uni</w:t>
      </w:r>
      <w:proofErr w:type="spellEnd"/>
      <w:r w:rsidRPr="002C4D74">
        <w:rPr>
          <w:b/>
          <w:bCs/>
        </w:rPr>
        <w:t>-</w:t>
      </w:r>
      <w:proofErr w:type="spellStart"/>
      <w:r w:rsidRPr="002C4D74">
        <w:rPr>
          <w:b/>
          <w:bCs/>
        </w:rPr>
        <w:t>oia</w:t>
      </w:r>
      <w:proofErr w:type="spellEnd"/>
      <w:r w:rsidRPr="002C4D74">
        <w:rPr>
          <w:b/>
          <w:bCs/>
        </w:rPr>
        <w:t>-cats-</w:t>
      </w:r>
      <w:proofErr w:type="spellStart"/>
      <w:r w:rsidRPr="002C4D74">
        <w:rPr>
          <w:b/>
          <w:bCs/>
        </w:rPr>
        <w:t>datastgdb</w:t>
      </w:r>
      <w:proofErr w:type="spellEnd"/>
    </w:p>
    <w:p w14:paraId="028B6B84" w14:textId="77777777" w:rsidR="00B93512" w:rsidRPr="002C4D74" w:rsidRDefault="00B93512" w:rsidP="00B93512">
      <w:pPr>
        <w:pStyle w:val="ListParagraph"/>
        <w:ind w:left="1440"/>
      </w:pPr>
    </w:p>
    <w:p w14:paraId="3DC090C8" w14:textId="6CC3CA19" w:rsidR="002C4D74" w:rsidRDefault="002C4D74" w:rsidP="008074BB">
      <w:pPr>
        <w:pStyle w:val="ListParagraph"/>
        <w:numPr>
          <w:ilvl w:val="0"/>
          <w:numId w:val="1"/>
        </w:numPr>
      </w:pPr>
      <w:r>
        <w:t xml:space="preserve">Merge </w:t>
      </w:r>
      <w:r>
        <w:rPr>
          <w:b/>
          <w:bCs/>
        </w:rPr>
        <w:t>mentions</w:t>
      </w:r>
      <w:r>
        <w:t xml:space="preserve"> data with </w:t>
      </w:r>
      <w:r>
        <w:rPr>
          <w:b/>
          <w:bCs/>
        </w:rPr>
        <w:t>exports</w:t>
      </w:r>
      <w:r>
        <w:t xml:space="preserve"> data</w:t>
      </w:r>
      <w:r w:rsidR="008074BB">
        <w:t>.</w:t>
      </w:r>
    </w:p>
    <w:tbl>
      <w:tblPr>
        <w:tblW w:w="0" w:type="auto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4"/>
      </w:tblGrid>
      <w:tr w:rsidR="002C4D74" w14:paraId="05613727" w14:textId="77777777" w:rsidTr="00B13F57">
        <w:trPr>
          <w:trHeight w:val="5249"/>
        </w:trPr>
        <w:tc>
          <w:tcPr>
            <w:tcW w:w="5154" w:type="dxa"/>
          </w:tcPr>
          <w:p w14:paraId="7D8D82AB" w14:textId="77777777" w:rsidR="002C4D74" w:rsidRPr="002C4D74" w:rsidRDefault="002C4D74" w:rsidP="002C4D74">
            <w:pPr>
              <w:ind w:left="227"/>
              <w:rPr>
                <w:b/>
                <w:bCs/>
              </w:rPr>
            </w:pPr>
            <w:r w:rsidRPr="002C4D74">
              <w:rPr>
                <w:b/>
                <w:bCs/>
              </w:rPr>
              <w:t>SELECT</w:t>
            </w:r>
          </w:p>
          <w:p w14:paraId="38DAE078" w14:textId="77777777" w:rsidR="002C4D74" w:rsidRPr="00B13F57" w:rsidRDefault="002C4D74" w:rsidP="002C4D74">
            <w:pPr>
              <w:ind w:left="227"/>
            </w:pPr>
            <w:r w:rsidRPr="002C4D74">
              <w:rPr>
                <w:b/>
                <w:bCs/>
              </w:rPr>
              <w:t xml:space="preserve">  </w:t>
            </w:r>
            <w:proofErr w:type="spellStart"/>
            <w:proofErr w:type="gramStart"/>
            <w:r w:rsidRPr="00B13F57">
              <w:t>e.GLOBALEVENTID</w:t>
            </w:r>
            <w:proofErr w:type="spellEnd"/>
            <w:proofErr w:type="gramEnd"/>
            <w:r w:rsidRPr="00B13F57">
              <w:t>,</w:t>
            </w:r>
          </w:p>
          <w:p w14:paraId="3FE2294B" w14:textId="77777777" w:rsidR="002C4D74" w:rsidRPr="00B13F57" w:rsidRDefault="002C4D74" w:rsidP="002C4D74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EventTimeDate</w:t>
            </w:r>
            <w:proofErr w:type="spellEnd"/>
            <w:r w:rsidRPr="00B13F57">
              <w:t>,</w:t>
            </w:r>
          </w:p>
          <w:p w14:paraId="625709F2" w14:textId="77777777" w:rsidR="002C4D74" w:rsidRPr="00B13F57" w:rsidRDefault="002C4D74" w:rsidP="002C4D74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MentionTimeDate</w:t>
            </w:r>
            <w:proofErr w:type="spellEnd"/>
            <w:r w:rsidRPr="00B13F57">
              <w:t>,</w:t>
            </w:r>
          </w:p>
          <w:p w14:paraId="402571BD" w14:textId="77777777" w:rsidR="002C4D74" w:rsidRPr="00B13F57" w:rsidRDefault="002C4D74" w:rsidP="002C4D74">
            <w:pPr>
              <w:ind w:left="227"/>
            </w:pPr>
            <w:r w:rsidRPr="00B13F57">
              <w:t xml:space="preserve">  Confidence,</w:t>
            </w:r>
          </w:p>
          <w:p w14:paraId="77893DEB" w14:textId="77777777" w:rsidR="002C4D74" w:rsidRPr="00B13F57" w:rsidRDefault="002C4D74" w:rsidP="002C4D74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MentionDocTone</w:t>
            </w:r>
            <w:proofErr w:type="spellEnd"/>
            <w:r w:rsidRPr="00B13F57">
              <w:t>,</w:t>
            </w:r>
          </w:p>
          <w:p w14:paraId="67194D8A" w14:textId="77777777" w:rsidR="002C4D74" w:rsidRPr="00B13F57" w:rsidRDefault="002C4D74" w:rsidP="002C4D74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EventCode</w:t>
            </w:r>
            <w:proofErr w:type="spellEnd"/>
            <w:r w:rsidRPr="00B13F57">
              <w:t>,</w:t>
            </w:r>
          </w:p>
          <w:p w14:paraId="50C099FF" w14:textId="77777777" w:rsidR="002C4D74" w:rsidRPr="00B13F57" w:rsidRDefault="002C4D74" w:rsidP="002C4D74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EventRootCode</w:t>
            </w:r>
            <w:proofErr w:type="spellEnd"/>
            <w:r w:rsidRPr="00B13F57">
              <w:t>,</w:t>
            </w:r>
          </w:p>
          <w:p w14:paraId="07E0B6F0" w14:textId="77777777" w:rsidR="002C4D74" w:rsidRPr="00B13F57" w:rsidRDefault="002C4D74" w:rsidP="002C4D74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QuadClass</w:t>
            </w:r>
            <w:proofErr w:type="spellEnd"/>
            <w:r w:rsidRPr="00B13F57">
              <w:t>,</w:t>
            </w:r>
          </w:p>
          <w:p w14:paraId="52D6CCDC" w14:textId="77777777" w:rsidR="002C4D74" w:rsidRPr="00B13F57" w:rsidRDefault="002C4D74" w:rsidP="002C4D74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GoldsteinScale</w:t>
            </w:r>
            <w:proofErr w:type="spellEnd"/>
            <w:r w:rsidRPr="00B13F57">
              <w:t>,</w:t>
            </w:r>
          </w:p>
          <w:p w14:paraId="1ADAC63B" w14:textId="1A1DBEA8" w:rsidR="002C4D74" w:rsidRPr="00B13F57" w:rsidRDefault="002C4D74" w:rsidP="00B13F57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ActionGeo_Type</w:t>
            </w:r>
            <w:proofErr w:type="spellEnd"/>
            <w:r w:rsidRPr="00B13F57">
              <w:t>,</w:t>
            </w:r>
          </w:p>
          <w:p w14:paraId="6AB2C9A5" w14:textId="1AB12D26" w:rsidR="002C4D74" w:rsidRPr="00B13F57" w:rsidRDefault="002C4D74" w:rsidP="00B13F57">
            <w:pPr>
              <w:ind w:left="227"/>
            </w:pPr>
            <w:r w:rsidRPr="00B13F57">
              <w:t xml:space="preserve">  </w:t>
            </w:r>
            <w:proofErr w:type="spellStart"/>
            <w:r w:rsidRPr="00B13F57">
              <w:t>ActionGeo_CountryCode</w:t>
            </w:r>
            <w:proofErr w:type="spellEnd"/>
          </w:p>
          <w:p w14:paraId="67EEACC9" w14:textId="77777777" w:rsidR="002C4D74" w:rsidRPr="002C4D74" w:rsidRDefault="002C4D74" w:rsidP="002C4D74">
            <w:pPr>
              <w:ind w:left="227"/>
              <w:rPr>
                <w:b/>
                <w:bCs/>
              </w:rPr>
            </w:pPr>
            <w:r w:rsidRPr="002C4D74">
              <w:rPr>
                <w:b/>
                <w:bCs/>
              </w:rPr>
              <w:t>FROM</w:t>
            </w:r>
          </w:p>
          <w:p w14:paraId="4A677FCC" w14:textId="77777777" w:rsidR="002C4D74" w:rsidRPr="002C4D74" w:rsidRDefault="002C4D74" w:rsidP="002C4D74">
            <w:pPr>
              <w:ind w:left="227"/>
              <w:rPr>
                <w:b/>
                <w:bCs/>
              </w:rPr>
            </w:pPr>
            <w:r w:rsidRPr="002C4D74">
              <w:rPr>
                <w:b/>
                <w:bCs/>
              </w:rPr>
              <w:t xml:space="preserve">  `gdelt-</w:t>
            </w:r>
            <w:proofErr w:type="gramStart"/>
            <w:r w:rsidRPr="002C4D74">
              <w:rPr>
                <w:b/>
                <w:bCs/>
              </w:rPr>
              <w:t>bq.gdeltv2.events</w:t>
            </w:r>
            <w:proofErr w:type="gramEnd"/>
            <w:r w:rsidRPr="002C4D74">
              <w:rPr>
                <w:b/>
                <w:bCs/>
              </w:rPr>
              <w:t>` e</w:t>
            </w:r>
          </w:p>
          <w:p w14:paraId="7F9E9AB5" w14:textId="77777777" w:rsidR="002C4D74" w:rsidRPr="002C4D74" w:rsidRDefault="002C4D74" w:rsidP="002C4D74">
            <w:pPr>
              <w:ind w:left="227"/>
              <w:rPr>
                <w:b/>
                <w:bCs/>
              </w:rPr>
            </w:pPr>
            <w:r w:rsidRPr="002C4D74">
              <w:rPr>
                <w:b/>
                <w:bCs/>
              </w:rPr>
              <w:t xml:space="preserve">JOIN </w:t>
            </w:r>
          </w:p>
          <w:p w14:paraId="02A21DA6" w14:textId="77777777" w:rsidR="002C4D74" w:rsidRPr="002C4D74" w:rsidRDefault="002C4D74" w:rsidP="002C4D74">
            <w:pPr>
              <w:ind w:left="227"/>
              <w:rPr>
                <w:b/>
                <w:bCs/>
              </w:rPr>
            </w:pPr>
            <w:r w:rsidRPr="002C4D74">
              <w:rPr>
                <w:b/>
                <w:bCs/>
              </w:rPr>
              <w:t xml:space="preserve">  `gdelt-</w:t>
            </w:r>
            <w:proofErr w:type="gramStart"/>
            <w:r w:rsidRPr="002C4D74">
              <w:rPr>
                <w:b/>
                <w:bCs/>
              </w:rPr>
              <w:t>bq.gdeltv2.eventmentions</w:t>
            </w:r>
            <w:proofErr w:type="gramEnd"/>
            <w:r w:rsidRPr="002C4D74">
              <w:rPr>
                <w:b/>
                <w:bCs/>
              </w:rPr>
              <w:t>` m</w:t>
            </w:r>
          </w:p>
          <w:p w14:paraId="67E633E1" w14:textId="02280130" w:rsidR="002C4D74" w:rsidRPr="00B13F57" w:rsidRDefault="002C4D74" w:rsidP="00B13F57">
            <w:pPr>
              <w:ind w:left="227"/>
              <w:rPr>
                <w:b/>
                <w:bCs/>
              </w:rPr>
            </w:pPr>
            <w:r w:rsidRPr="002C4D74">
              <w:rPr>
                <w:b/>
                <w:bCs/>
              </w:rPr>
              <w:t xml:space="preserve">ON </w:t>
            </w:r>
            <w:proofErr w:type="spellStart"/>
            <w:proofErr w:type="gramStart"/>
            <w:r w:rsidRPr="00B13F57">
              <w:t>m.GLOBALEVENTID</w:t>
            </w:r>
            <w:proofErr w:type="spellEnd"/>
            <w:proofErr w:type="gramEnd"/>
            <w:r w:rsidRPr="00B13F57">
              <w:t xml:space="preserve"> = </w:t>
            </w:r>
            <w:proofErr w:type="spellStart"/>
            <w:r w:rsidRPr="00B13F57">
              <w:t>e.GLOBALEVENTID</w:t>
            </w:r>
            <w:proofErr w:type="spellEnd"/>
          </w:p>
        </w:tc>
      </w:tr>
    </w:tbl>
    <w:p w14:paraId="55F37ABD" w14:textId="77777777" w:rsidR="002C4D74" w:rsidRDefault="002C4D74" w:rsidP="002C4D74"/>
    <w:p w14:paraId="28D75FC5" w14:textId="00DEF15C" w:rsidR="00B13F57" w:rsidRDefault="002C4D74" w:rsidP="008074BB">
      <w:pPr>
        <w:pStyle w:val="ListParagraph"/>
        <w:numPr>
          <w:ilvl w:val="0"/>
          <w:numId w:val="1"/>
        </w:numPr>
      </w:pPr>
      <w:r w:rsidRPr="00B13F57">
        <w:rPr>
          <w:u w:val="single"/>
        </w:rPr>
        <w:t>Drop all rows</w:t>
      </w:r>
      <w:r>
        <w:t xml:space="preserve"> where there are nulls present in any of the following columns:</w:t>
      </w:r>
    </w:p>
    <w:tbl>
      <w:tblPr>
        <w:tblW w:w="3089" w:type="dxa"/>
        <w:tblInd w:w="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9"/>
      </w:tblGrid>
      <w:tr w:rsidR="00B13F57" w14:paraId="48423A60" w14:textId="77777777" w:rsidTr="00B93512">
        <w:trPr>
          <w:trHeight w:val="531"/>
        </w:trPr>
        <w:tc>
          <w:tcPr>
            <w:tcW w:w="3089" w:type="dxa"/>
          </w:tcPr>
          <w:p w14:paraId="399EB270" w14:textId="77777777" w:rsidR="00B13F57" w:rsidRDefault="00B13F57" w:rsidP="00B13F57"/>
          <w:p w14:paraId="064C42BF" w14:textId="77777777" w:rsidR="00B93512" w:rsidRDefault="00B13F57" w:rsidP="00B13F57">
            <w:r>
              <w:t>“GLOBALEVENTID",</w:t>
            </w:r>
          </w:p>
          <w:p w14:paraId="1388EAF4" w14:textId="2BE4DF03" w:rsidR="00B93512" w:rsidRDefault="00B93512" w:rsidP="00B13F57">
            <w:r>
              <w:t xml:space="preserve"> </w:t>
            </w:r>
            <w:r w:rsidR="00B13F57">
              <w:t>"</w:t>
            </w:r>
            <w:proofErr w:type="spellStart"/>
            <w:r w:rsidR="00B13F57">
              <w:t>EventTimeDate</w:t>
            </w:r>
            <w:proofErr w:type="spellEnd"/>
            <w:r w:rsidR="00B13F57">
              <w:t>",</w:t>
            </w:r>
            <w:r>
              <w:t xml:space="preserve"> </w:t>
            </w:r>
          </w:p>
          <w:p w14:paraId="06C3D41A" w14:textId="5B457AE8" w:rsidR="00B93512" w:rsidRDefault="00B13F57" w:rsidP="00B13F57">
            <w:r>
              <w:t>"</w:t>
            </w:r>
            <w:proofErr w:type="spellStart"/>
            <w:r>
              <w:t>MentionTimeDate</w:t>
            </w:r>
            <w:proofErr w:type="spellEnd"/>
            <w:r>
              <w:t xml:space="preserve">", </w:t>
            </w:r>
          </w:p>
          <w:p w14:paraId="4EC66DC2" w14:textId="77777777" w:rsidR="00B93512" w:rsidRDefault="00B13F57" w:rsidP="00B93512">
            <w:r>
              <w:t>"</w:t>
            </w:r>
            <w:proofErr w:type="spellStart"/>
            <w:r>
              <w:t>ActionGeo_CountryCode</w:t>
            </w:r>
            <w:proofErr w:type="spellEnd"/>
            <w:r>
              <w:t xml:space="preserve">", </w:t>
            </w:r>
          </w:p>
          <w:p w14:paraId="5DC2C48B" w14:textId="77777777" w:rsidR="00B93512" w:rsidRDefault="00B93512" w:rsidP="00B93512">
            <w:r>
              <w:t xml:space="preserve"> </w:t>
            </w:r>
            <w:r w:rsidR="00B13F57">
              <w:t xml:space="preserve">"Confidence", </w:t>
            </w:r>
          </w:p>
          <w:p w14:paraId="245968E5" w14:textId="2D6D8637" w:rsidR="00B93512" w:rsidRDefault="00B13F57" w:rsidP="00B93512">
            <w:r>
              <w:t>"</w:t>
            </w:r>
            <w:proofErr w:type="spellStart"/>
            <w:r>
              <w:t>MentionDocTone</w:t>
            </w:r>
            <w:proofErr w:type="spellEnd"/>
            <w:r>
              <w:t xml:space="preserve">", </w:t>
            </w:r>
          </w:p>
          <w:p w14:paraId="1ECEE09E" w14:textId="77777777" w:rsidR="00B93512" w:rsidRDefault="00B13F57" w:rsidP="00B93512">
            <w:r>
              <w:t>"</w:t>
            </w:r>
            <w:proofErr w:type="spellStart"/>
            <w:r>
              <w:t>EventRootCode</w:t>
            </w:r>
            <w:proofErr w:type="spellEnd"/>
            <w:r>
              <w:t xml:space="preserve">", </w:t>
            </w:r>
          </w:p>
          <w:p w14:paraId="6C80FFDE" w14:textId="77777777" w:rsidR="00B93512" w:rsidRDefault="00B13F57" w:rsidP="00B93512">
            <w:r>
              <w:t>"</w:t>
            </w:r>
            <w:proofErr w:type="spellStart"/>
            <w:r>
              <w:t>QuadClass</w:t>
            </w:r>
            <w:proofErr w:type="spellEnd"/>
            <w:r>
              <w:t xml:space="preserve">", </w:t>
            </w:r>
          </w:p>
          <w:p w14:paraId="67CAB508" w14:textId="018BD542" w:rsidR="00B13F57" w:rsidRDefault="00B13F57" w:rsidP="00B93512">
            <w:r>
              <w:t>"</w:t>
            </w:r>
            <w:proofErr w:type="spellStart"/>
            <w:r>
              <w:t>GoldsteinScale</w:t>
            </w:r>
            <w:proofErr w:type="spellEnd"/>
            <w:r>
              <w:t>"</w:t>
            </w:r>
          </w:p>
          <w:p w14:paraId="3256D550" w14:textId="0A57DD1F" w:rsidR="00B13F57" w:rsidRDefault="00B13F57" w:rsidP="00B13F57">
            <w:pPr>
              <w:pStyle w:val="ListParagraph"/>
              <w:ind w:left="152"/>
            </w:pPr>
          </w:p>
        </w:tc>
      </w:tr>
    </w:tbl>
    <w:p w14:paraId="2E695A12" w14:textId="77777777" w:rsidR="00B13F57" w:rsidRDefault="00B13F57" w:rsidP="00B13F57">
      <w:pPr>
        <w:pStyle w:val="ListParagraph"/>
      </w:pPr>
    </w:p>
    <w:p w14:paraId="4F674FEA" w14:textId="3E3CEF8F" w:rsidR="00B93512" w:rsidRPr="008074BB" w:rsidRDefault="002C4D74" w:rsidP="00B9351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2C4D74">
        <w:rPr>
          <w:b/>
          <w:bCs/>
        </w:rPr>
        <w:t>MentionTimeDate</w:t>
      </w:r>
      <w:proofErr w:type="spellEnd"/>
      <w:r>
        <w:t xml:space="preserve"> rows </w:t>
      </w:r>
      <w:r w:rsidRPr="00B13F57">
        <w:rPr>
          <w:u w:val="single"/>
        </w:rPr>
        <w:t xml:space="preserve">within </w:t>
      </w:r>
      <w:r w:rsidR="00B13F57">
        <w:rPr>
          <w:u w:val="single"/>
        </w:rPr>
        <w:t>15</w:t>
      </w:r>
      <w:r w:rsidRPr="00B13F57">
        <w:rPr>
          <w:u w:val="single"/>
        </w:rPr>
        <w:t xml:space="preserve"> days</w:t>
      </w:r>
      <w:r>
        <w:t xml:space="preserve"> of associated </w:t>
      </w:r>
      <w:proofErr w:type="spellStart"/>
      <w:r w:rsidRPr="002C4D74">
        <w:rPr>
          <w:b/>
          <w:bCs/>
        </w:rPr>
        <w:t>EventTimeDate</w:t>
      </w:r>
      <w:proofErr w:type="spellEnd"/>
      <w:r w:rsidR="008074BB">
        <w:t>.</w:t>
      </w:r>
    </w:p>
    <w:p w14:paraId="7A3F766E" w14:textId="783FAF81" w:rsidR="008074BB" w:rsidRPr="00B93512" w:rsidRDefault="008074BB" w:rsidP="00B93512">
      <w:pPr>
        <w:pStyle w:val="ListParagraph"/>
        <w:numPr>
          <w:ilvl w:val="0"/>
          <w:numId w:val="1"/>
        </w:numPr>
      </w:pPr>
      <w:r w:rsidRPr="008074BB">
        <w:t xml:space="preserve">Convert </w:t>
      </w:r>
      <w:proofErr w:type="spellStart"/>
      <w:r>
        <w:rPr>
          <w:b/>
          <w:bCs/>
        </w:rPr>
        <w:t>EventTimeDate</w:t>
      </w:r>
      <w:proofErr w:type="spellEnd"/>
      <w:r>
        <w:rPr>
          <w:b/>
          <w:bCs/>
        </w:rPr>
        <w:t xml:space="preserve"> </w:t>
      </w:r>
      <w:r>
        <w:t xml:space="preserve">from datetime </w:t>
      </w:r>
      <w:r w:rsidRPr="008074BB">
        <w:t>to date</w:t>
      </w:r>
      <w:r>
        <w:t>.</w:t>
      </w:r>
    </w:p>
    <w:p w14:paraId="49F25036" w14:textId="42BF18FD" w:rsidR="00B93512" w:rsidRPr="00B93512" w:rsidRDefault="00B93512" w:rsidP="00B93512">
      <w:pPr>
        <w:pStyle w:val="ListParagraph"/>
        <w:numPr>
          <w:ilvl w:val="0"/>
          <w:numId w:val="1"/>
        </w:numPr>
      </w:pPr>
      <w:r>
        <w:t xml:space="preserve">Select rows where </w:t>
      </w:r>
      <w:r>
        <w:rPr>
          <w:b/>
          <w:bCs/>
        </w:rPr>
        <w:t>Confidence</w:t>
      </w:r>
      <w:r>
        <w:t xml:space="preserve"> is &gt;= 40%</w:t>
      </w:r>
      <w:r w:rsidR="008074BB">
        <w:t>.</w:t>
      </w:r>
    </w:p>
    <w:p w14:paraId="45372712" w14:textId="5920467A" w:rsidR="00B93512" w:rsidRDefault="00B93512" w:rsidP="00B93512">
      <w:pPr>
        <w:pStyle w:val="ListParagraph"/>
      </w:pPr>
    </w:p>
    <w:p w14:paraId="463CA849" w14:textId="77777777" w:rsidR="00CE3CA3" w:rsidRPr="002C4D74" w:rsidRDefault="00CE3CA3" w:rsidP="00B93512">
      <w:pPr>
        <w:pStyle w:val="ListParagraph"/>
      </w:pPr>
    </w:p>
    <w:p w14:paraId="5F35B3C4" w14:textId="660E9650" w:rsidR="00B13F57" w:rsidRDefault="00E90EE1" w:rsidP="00B13F57">
      <w:pPr>
        <w:pStyle w:val="ListParagraph"/>
        <w:numPr>
          <w:ilvl w:val="0"/>
          <w:numId w:val="1"/>
        </w:numPr>
      </w:pPr>
      <w:r>
        <w:t>Replace the following integer columns with their</w:t>
      </w:r>
      <w:r w:rsidR="00B13F57">
        <w:t xml:space="preserve"> string c</w:t>
      </w:r>
      <w:r>
        <w:t>ounterparts</w:t>
      </w:r>
      <w:r w:rsidR="00B13F57">
        <w:t>:</w:t>
      </w:r>
    </w:p>
    <w:p w14:paraId="01B623F8" w14:textId="4FEF1653" w:rsidR="00B13F57" w:rsidRDefault="00B13F57" w:rsidP="00B13F57">
      <w:pPr>
        <w:pStyle w:val="ListParagraph"/>
        <w:numPr>
          <w:ilvl w:val="1"/>
          <w:numId w:val="1"/>
        </w:numPr>
      </w:pPr>
      <w:proofErr w:type="spellStart"/>
      <w:r>
        <w:t>QuadClass</w:t>
      </w:r>
      <w:proofErr w:type="spellEnd"/>
    </w:p>
    <w:p w14:paraId="1D124177" w14:textId="19BDD242" w:rsidR="00B13F57" w:rsidRPr="00B13F57" w:rsidRDefault="00B13F57" w:rsidP="00B13F57">
      <w:pPr>
        <w:ind w:left="360"/>
        <w:rPr>
          <w:rFonts w:ascii="Menlo" w:hAnsi="Menlo" w:cs="Menlo"/>
          <w:color w:val="555555"/>
          <w:sz w:val="20"/>
          <w:szCs w:val="20"/>
          <w:shd w:val="clear" w:color="auto" w:fill="FFFFFF"/>
        </w:rPr>
      </w:pPr>
    </w:p>
    <w:tbl>
      <w:tblPr>
        <w:tblW w:w="0" w:type="auto"/>
        <w:tblInd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2"/>
      </w:tblGrid>
      <w:tr w:rsidR="00B13F57" w14:paraId="746044D6" w14:textId="77777777" w:rsidTr="00B13F57">
        <w:trPr>
          <w:trHeight w:val="1085"/>
        </w:trPr>
        <w:tc>
          <w:tcPr>
            <w:tcW w:w="4262" w:type="dxa"/>
          </w:tcPr>
          <w:p w14:paraId="40BE5118" w14:textId="77777777" w:rsidR="00B13F57" w:rsidRDefault="00B13F57" w:rsidP="00B13F57">
            <w:pP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  </w:t>
            </w:r>
          </w:p>
          <w:p w14:paraId="4C55E1D5" w14:textId="266AAC53" w:rsidR="00B13F57" w:rsidRDefault="00B13F57" w:rsidP="00B13F57">
            <w:pP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  1: 'Verbal Cooperation', </w:t>
            </w:r>
          </w:p>
          <w:p w14:paraId="64BCD53C" w14:textId="77777777" w:rsidR="00B13F57" w:rsidRDefault="00B13F57" w:rsidP="00B13F57">
            <w:pP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  2: 'Material Cooperation', </w:t>
            </w:r>
          </w:p>
          <w:p w14:paraId="4C84FFE4" w14:textId="77777777" w:rsidR="00B13F57" w:rsidRDefault="00B13F57" w:rsidP="00B13F57">
            <w:pP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  3: 'Verbal Conflict', </w:t>
            </w:r>
          </w:p>
          <w:p w14:paraId="6F541237" w14:textId="074BC2DE" w:rsidR="00B93512" w:rsidRPr="00B93512" w:rsidRDefault="00B13F57" w:rsidP="00B13F57">
            <w:pP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  4: 'Material Conflict'</w:t>
            </w:r>
          </w:p>
          <w:p w14:paraId="5CD50CFE" w14:textId="5D717D2E" w:rsidR="00B13F57" w:rsidRDefault="00B13F57" w:rsidP="00B13F57">
            <w:pPr>
              <w:ind w:left="246"/>
              <w:rPr>
                <w:rFonts w:ascii="Menlo" w:hAnsi="Menlo" w:cs="Menlo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</w:tbl>
    <w:p w14:paraId="0290DC16" w14:textId="77777777" w:rsidR="00B13F57" w:rsidRDefault="00B13F57" w:rsidP="00B93512"/>
    <w:p w14:paraId="74D6D97D" w14:textId="4780E5E8" w:rsidR="00B13F57" w:rsidRDefault="00B13F57" w:rsidP="00B13F57">
      <w:pPr>
        <w:pStyle w:val="ListParagraph"/>
        <w:numPr>
          <w:ilvl w:val="1"/>
          <w:numId w:val="1"/>
        </w:numPr>
      </w:pPr>
      <w:r>
        <w:t xml:space="preserve">CAMEO </w:t>
      </w:r>
      <w:proofErr w:type="spellStart"/>
      <w:r>
        <w:t>EventRootCode</w:t>
      </w:r>
      <w:proofErr w:type="spellEnd"/>
    </w:p>
    <w:p w14:paraId="3700C0F6" w14:textId="77777777" w:rsidR="00B93512" w:rsidRDefault="00B93512" w:rsidP="00B93512">
      <w:pPr>
        <w:pStyle w:val="ListParagraph"/>
        <w:ind w:left="1440"/>
      </w:pPr>
    </w:p>
    <w:tbl>
      <w:tblPr>
        <w:tblW w:w="0" w:type="auto"/>
        <w:tblInd w:w="1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1"/>
      </w:tblGrid>
      <w:tr w:rsidR="00B13F57" w14:paraId="7BF2934A" w14:textId="77777777" w:rsidTr="00B93512">
        <w:trPr>
          <w:trHeight w:val="4355"/>
        </w:trPr>
        <w:tc>
          <w:tcPr>
            <w:tcW w:w="6081" w:type="dxa"/>
          </w:tcPr>
          <w:p w14:paraId="6C7DAD3B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</w:p>
          <w:p w14:paraId="24098B6D" w14:textId="2E5ACD2B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1: 'MAKE PUBLIC STATEMENT',</w:t>
            </w:r>
          </w:p>
          <w:p w14:paraId="1D368CB9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2: 'APPEAL',</w:t>
            </w:r>
          </w:p>
          <w:p w14:paraId="50C14A8E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3: 'EXPRESS INTENT TO COOPERATE', </w:t>
            </w:r>
          </w:p>
          <w:p w14:paraId="22561004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4: 'CONSULT', </w:t>
            </w:r>
          </w:p>
          <w:p w14:paraId="5AB1288B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5: 'ENGAGE IN DIPLOMATIC COOPERATION', </w:t>
            </w:r>
          </w:p>
          <w:p w14:paraId="596D3416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6: 'ENGAGE IN MATERIAL COOPERATION', </w:t>
            </w:r>
          </w:p>
          <w:p w14:paraId="4D7416CB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7: 'PROVIDE AID', </w:t>
            </w:r>
          </w:p>
          <w:p w14:paraId="799B4BAD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8: 'YIELD', </w:t>
            </w:r>
          </w:p>
          <w:p w14:paraId="55B31532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9: 'INVESTIGATE', </w:t>
            </w:r>
          </w:p>
          <w:p w14:paraId="524107FD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10: 'DEMAND', </w:t>
            </w:r>
          </w:p>
          <w:p w14:paraId="23DC532C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11: 'DISAPPROVE', </w:t>
            </w:r>
          </w:p>
          <w:p w14:paraId="566F85CA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12: 'REJECT', </w:t>
            </w:r>
          </w:p>
          <w:p w14:paraId="0F6C892D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13: 'THREATEN', </w:t>
            </w:r>
          </w:p>
          <w:p w14:paraId="51D74150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14: 'PROTEST', </w:t>
            </w:r>
          </w:p>
          <w:p w14:paraId="49F17C38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15: 'EXHIBIT MILITARY POSTURE', </w:t>
            </w:r>
          </w:p>
          <w:p w14:paraId="5037483C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16: 'REDUCE RELATIONS', </w:t>
            </w:r>
          </w:p>
          <w:p w14:paraId="73DB021B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17: 'COERCE', </w:t>
            </w:r>
          </w:p>
          <w:p w14:paraId="33ECBD9F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18: 'ASSAULT', </w:t>
            </w:r>
          </w:p>
          <w:p w14:paraId="1C334153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 xml:space="preserve">19: 'FIGHT', </w:t>
            </w:r>
          </w:p>
          <w:p w14:paraId="755DC858" w14:textId="77777777" w:rsidR="00B13F57" w:rsidRPr="00B13F57" w:rsidRDefault="00B13F57" w:rsidP="00B13F57">
            <w:pPr>
              <w:pStyle w:val="ListParagraph"/>
              <w:ind w:left="379"/>
              <w:rPr>
                <w:rFonts w:ascii="Times New Roman" w:eastAsia="Times New Roman" w:hAnsi="Times New Roman" w:cs="Times New Roman"/>
              </w:rPr>
            </w:pPr>
            <w:r w:rsidRPr="00B13F57"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  <w:t>20: 'ENGAGE IN UNCONVENTIONAL MASS VIOLENCE'</w:t>
            </w:r>
          </w:p>
          <w:p w14:paraId="13ECBBF0" w14:textId="77777777" w:rsidR="00B13F57" w:rsidRDefault="00B13F57" w:rsidP="00B13F57">
            <w:pPr>
              <w:pStyle w:val="ListParagraph"/>
              <w:ind w:left="379"/>
              <w:rPr>
                <w:rFonts w:ascii="Menlo" w:eastAsia="Times New Roman" w:hAnsi="Menlo" w:cs="Menlo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</w:tbl>
    <w:p w14:paraId="5C11D127" w14:textId="3291A9DF" w:rsidR="00B13F57" w:rsidRDefault="00B13F57" w:rsidP="00B93512"/>
    <w:p w14:paraId="192EAEA6" w14:textId="77777777" w:rsidR="00B13F57" w:rsidRDefault="00B13F57" w:rsidP="00B13F57">
      <w:pPr>
        <w:pStyle w:val="ListParagraph"/>
        <w:ind w:left="1440"/>
      </w:pPr>
    </w:p>
    <w:p w14:paraId="5939821F" w14:textId="77777777" w:rsidR="00B93512" w:rsidRDefault="00B13F57" w:rsidP="00B13F57">
      <w:pPr>
        <w:pStyle w:val="ListParagraph"/>
        <w:numPr>
          <w:ilvl w:val="1"/>
          <w:numId w:val="1"/>
        </w:numPr>
      </w:pPr>
      <w:r>
        <w:t xml:space="preserve">Country Name Strings </w:t>
      </w:r>
    </w:p>
    <w:p w14:paraId="73206B24" w14:textId="181FB7EC" w:rsidR="00B13F57" w:rsidRDefault="00777AD4" w:rsidP="00B93512">
      <w:pPr>
        <w:pStyle w:val="ListParagraph"/>
        <w:numPr>
          <w:ilvl w:val="2"/>
          <w:numId w:val="1"/>
        </w:numPr>
      </w:pPr>
      <w:hyperlink r:id="rId7" w:history="1">
        <w:r w:rsidR="00B13F57" w:rsidRPr="00B93512">
          <w:rPr>
            <w:rStyle w:val="Hyperlink"/>
          </w:rPr>
          <w:t>FIPS 10-4 Country Codes</w:t>
        </w:r>
      </w:hyperlink>
    </w:p>
    <w:p w14:paraId="13DFA53E" w14:textId="06568964" w:rsidR="007C01ED" w:rsidRDefault="007C01ED" w:rsidP="007C01ED"/>
    <w:p w14:paraId="40E16392" w14:textId="21B5B241" w:rsidR="007C01ED" w:rsidRDefault="007C01ED" w:rsidP="007C01ED"/>
    <w:p w14:paraId="528435C3" w14:textId="350F64FD" w:rsidR="007C01ED" w:rsidRDefault="007C01ED" w:rsidP="007C01ED"/>
    <w:p w14:paraId="2AA20E03" w14:textId="2600433C" w:rsidR="007C01ED" w:rsidRDefault="007C01ED" w:rsidP="007C01ED"/>
    <w:p w14:paraId="73202CD6" w14:textId="3464F7FE" w:rsidR="007C01ED" w:rsidRDefault="007C01ED" w:rsidP="007C01ED"/>
    <w:p w14:paraId="208A94A1" w14:textId="7F74B7A8" w:rsidR="007C01ED" w:rsidRDefault="007C01ED" w:rsidP="007C01ED"/>
    <w:p w14:paraId="3BB699B3" w14:textId="673330A1" w:rsidR="007C01ED" w:rsidRDefault="007C01ED" w:rsidP="007C01ED"/>
    <w:p w14:paraId="31DD9111" w14:textId="1C130754" w:rsidR="007C01ED" w:rsidRDefault="007C01ED" w:rsidP="007C01ED"/>
    <w:p w14:paraId="210CE64D" w14:textId="06EBE813" w:rsidR="007C01ED" w:rsidRDefault="007C01ED" w:rsidP="007C01ED"/>
    <w:p w14:paraId="2F62BA4E" w14:textId="2C6AC7BA" w:rsidR="007C01ED" w:rsidRDefault="007C01ED" w:rsidP="007C01ED">
      <w:pPr>
        <w:jc w:val="center"/>
        <w:rPr>
          <w:b/>
          <w:bCs/>
          <w:u w:val="single"/>
        </w:rPr>
      </w:pPr>
      <w:r w:rsidRPr="00B93512">
        <w:rPr>
          <w:b/>
          <w:bCs/>
          <w:u w:val="single"/>
        </w:rPr>
        <w:lastRenderedPageBreak/>
        <w:t xml:space="preserve">Data </w:t>
      </w:r>
      <w:r>
        <w:rPr>
          <w:b/>
          <w:bCs/>
          <w:u w:val="single"/>
        </w:rPr>
        <w:t>Alert System</w:t>
      </w:r>
      <w:r w:rsidRPr="00B9351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Protocol</w:t>
      </w:r>
      <w:r w:rsidRPr="00B93512">
        <w:rPr>
          <w:b/>
          <w:bCs/>
          <w:u w:val="single"/>
        </w:rPr>
        <w:t xml:space="preserve"> for CATS Data Factory Importation</w:t>
      </w:r>
    </w:p>
    <w:p w14:paraId="2B88FA59" w14:textId="40F8FD4D" w:rsidR="00AC5492" w:rsidRDefault="00AC5492" w:rsidP="00377810">
      <w:pPr>
        <w:rPr>
          <w:b/>
          <w:bCs/>
          <w:u w:val="single"/>
        </w:rPr>
      </w:pPr>
    </w:p>
    <w:p w14:paraId="2B1A4C10" w14:textId="4B4BF570" w:rsidR="00AC5492" w:rsidRDefault="00377810" w:rsidP="007C01E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B7C8F" wp14:editId="42885668">
                <wp:simplePos x="0" y="0"/>
                <wp:positionH relativeFrom="column">
                  <wp:posOffset>-544997</wp:posOffset>
                </wp:positionH>
                <wp:positionV relativeFrom="paragraph">
                  <wp:posOffset>1892300</wp:posOffset>
                </wp:positionV>
                <wp:extent cx="1167063" cy="661736"/>
                <wp:effectExtent l="0" t="0" r="1460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063" cy="661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31930" w14:textId="77777777" w:rsidR="00377810" w:rsidRDefault="00377810" w:rsidP="00377810"/>
                          <w:p w14:paraId="04BA42E6" w14:textId="1036E43C" w:rsidR="00377810" w:rsidRDefault="00377810" w:rsidP="00377810">
                            <w:r>
                              <w:t>24 Month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8B7C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2.9pt;margin-top:149pt;width:91.9pt;height:5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" fillcolor="white [3201]" strokeweight=".5pt">
                <v:textbox>
                  <w:txbxContent>
                    <w:p w14:paraId="71131930" w14:textId="77777777" w:rsidR="00377810" w:rsidRDefault="00377810" w:rsidP="00377810"/>
                    <w:p w14:paraId="04BA42E6" w14:textId="1036E43C" w:rsidR="00377810" w:rsidRDefault="00377810" w:rsidP="00377810">
                      <w:r>
                        <w:t>24 Month IQR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2E1A0" wp14:editId="58FFDE2B">
                <wp:simplePos x="0" y="0"/>
                <wp:positionH relativeFrom="column">
                  <wp:posOffset>-541321</wp:posOffset>
                </wp:positionH>
                <wp:positionV relativeFrom="paragraph">
                  <wp:posOffset>392798</wp:posOffset>
                </wp:positionV>
                <wp:extent cx="1167063" cy="661736"/>
                <wp:effectExtent l="0" t="0" r="146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063" cy="661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3F1C9" w14:textId="25AA80E0" w:rsidR="00377810" w:rsidRDefault="00377810"/>
                          <w:p w14:paraId="191EC6BA" w14:textId="3E41B933" w:rsidR="00377810" w:rsidRDefault="00377810">
                            <w:r>
                              <w:t>12 Month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2E1A0" id="Text Box 2" o:spid="_x0000_s1027" type="#_x0000_t202" style="position:absolute;left:0;text-align:left;margin-left:-42.6pt;margin-top:30.95pt;width:91.9pt;height:5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" fillcolor="white [3201]" strokeweight=".5pt">
                <v:textbox>
                  <w:txbxContent>
                    <w:p w14:paraId="6C23F1C9" w14:textId="25AA80E0" w:rsidR="00377810" w:rsidRDefault="00377810"/>
                    <w:p w14:paraId="191EC6BA" w14:textId="3E41B933" w:rsidR="00377810" w:rsidRDefault="00377810">
                      <w:r>
                        <w:t>12 Month IQR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w:drawing>
          <wp:inline distT="0" distB="0" distL="0" distR="0" wp14:anchorId="27B1B122" wp14:editId="381C3F86">
            <wp:extent cx="4445000" cy="2875547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"/>
                    <a:stretch/>
                  </pic:blipFill>
                  <pic:spPr bwMode="auto">
                    <a:xfrm>
                      <a:off x="0" y="0"/>
                      <a:ext cx="4445000" cy="287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C4AD3" w14:textId="467F3481" w:rsidR="00AC5492" w:rsidRDefault="00AC5492" w:rsidP="00377810">
      <w:pPr>
        <w:rPr>
          <w:b/>
          <w:bCs/>
          <w:u w:val="single"/>
        </w:rPr>
      </w:pPr>
    </w:p>
    <w:p w14:paraId="190E0704" w14:textId="4A2FE93D" w:rsidR="00AC5492" w:rsidRDefault="00AC5492" w:rsidP="007C01ED">
      <w:pPr>
        <w:jc w:val="center"/>
        <w:rPr>
          <w:b/>
          <w:bCs/>
          <w:u w:val="single"/>
        </w:rPr>
      </w:pPr>
    </w:p>
    <w:p w14:paraId="2332DB0C" w14:textId="23099CEA" w:rsidR="007C01ED" w:rsidRDefault="005438E8" w:rsidP="007C01ED">
      <w:r w:rsidRPr="005438E8">
        <w:rPr>
          <w:b/>
          <w:bCs/>
          <w:u w:val="single"/>
        </w:rPr>
        <w:t>Purpose</w:t>
      </w:r>
      <w:r w:rsidRPr="005438E8">
        <w:t>: Since the distribution of each variable, at the CAMEO-code and country-level, cannot be confidently characterized as the normal distribution, therefore, we instead apply alternative approaches for outlier</w:t>
      </w:r>
      <w:r w:rsidR="00120D09">
        <w:t xml:space="preserve"> </w:t>
      </w:r>
      <w:r w:rsidRPr="005438E8">
        <w:t xml:space="preserve">detection. </w:t>
      </w:r>
      <w:r w:rsidR="00120D09">
        <w:t>In place of</w:t>
      </w:r>
      <w:r w:rsidRPr="005438E8">
        <w:t xml:space="preserve"> </w:t>
      </w:r>
      <w:r w:rsidR="00120D09" w:rsidRPr="005438E8">
        <w:t>identif</w:t>
      </w:r>
      <w:r w:rsidR="00120D09">
        <w:t>ying</w:t>
      </w:r>
      <w:r w:rsidRPr="005438E8">
        <w:t xml:space="preserve"> outliers that exhibit discrepancies beyond three standard deviations</w:t>
      </w:r>
      <w:r w:rsidR="00120D09">
        <w:t>, we</w:t>
      </w:r>
      <w:r w:rsidRPr="005438E8">
        <w:t xml:space="preserve"> detect abnormalities exceeding </w:t>
      </w:r>
      <w:r w:rsidR="00120D09">
        <w:t>1.5 and 3 times the</w:t>
      </w:r>
      <w:r w:rsidRPr="005438E8">
        <w:t xml:space="preserve"> Interquartile Range. Although, this approach appears to be a brute-force statistical method being applied to a complex problem of anomaly detection in the event type data,</w:t>
      </w:r>
      <w:r w:rsidR="00120D09">
        <w:t xml:space="preserve"> </w:t>
      </w:r>
      <w:r w:rsidRPr="005438E8">
        <w:t xml:space="preserve">it is also a highly effective method </w:t>
      </w:r>
      <w:r w:rsidR="00120D09">
        <w:t>short of</w:t>
      </w:r>
      <w:r w:rsidRPr="005438E8">
        <w:t xml:space="preserve"> clustering machine learning models (LSTM being the current industry-preferred model).</w:t>
      </w:r>
    </w:p>
    <w:p w14:paraId="2FCCE8F6" w14:textId="77777777" w:rsidR="00B93512" w:rsidRDefault="00B93512" w:rsidP="00B93512">
      <w:pPr>
        <w:pStyle w:val="ListParagraph"/>
        <w:ind w:left="2160"/>
      </w:pPr>
    </w:p>
    <w:p w14:paraId="79051C80" w14:textId="47DA4F29" w:rsidR="00D65178" w:rsidRDefault="00D65178" w:rsidP="007C01ED">
      <w:pPr>
        <w:pStyle w:val="ListParagraph"/>
        <w:numPr>
          <w:ilvl w:val="0"/>
          <w:numId w:val="2"/>
        </w:numPr>
      </w:pPr>
      <w:r>
        <w:t>Create output variable</w:t>
      </w:r>
      <w:r w:rsidR="007C01ED">
        <w:t xml:space="preserve"> by grouping the preproces</w:t>
      </w:r>
      <w:r>
        <w:t>s</w:t>
      </w:r>
      <w:r w:rsidR="007C01ED">
        <w:t xml:space="preserve">ed data by Country, </w:t>
      </w:r>
      <w:proofErr w:type="spellStart"/>
      <w:r w:rsidR="007C01ED">
        <w:t>EventDate</w:t>
      </w:r>
      <w:proofErr w:type="spellEnd"/>
      <w:r w:rsidR="007C01ED">
        <w:t xml:space="preserve">, and </w:t>
      </w:r>
      <w:proofErr w:type="spellStart"/>
      <w:r w:rsidR="007C01ED">
        <w:t>EventCode</w:t>
      </w:r>
      <w:proofErr w:type="spellEnd"/>
      <w:r>
        <w:t>:</w:t>
      </w:r>
    </w:p>
    <w:p w14:paraId="53CA8BC6" w14:textId="3FD6E2EA" w:rsidR="00D65178" w:rsidRPr="007C01ED" w:rsidRDefault="00D65178" w:rsidP="007C01E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C01ED">
        <w:rPr>
          <w:b/>
          <w:bCs/>
        </w:rPr>
        <w:t>EventReportValue</w:t>
      </w:r>
      <w:proofErr w:type="spellEnd"/>
    </w:p>
    <w:p w14:paraId="0BA0B826" w14:textId="2C3FADC2" w:rsidR="00D65178" w:rsidRDefault="00D65178" w:rsidP="007C01ED">
      <w:pPr>
        <w:pStyle w:val="ListParagraph"/>
        <w:numPr>
          <w:ilvl w:val="2"/>
          <w:numId w:val="2"/>
        </w:numPr>
      </w:pPr>
      <w:r>
        <w:t>The proportion of daily articles related to a country, per Event Root</w:t>
      </w:r>
    </w:p>
    <w:p w14:paraId="3B0012FB" w14:textId="77777777" w:rsidR="00D65178" w:rsidRPr="007C01ED" w:rsidRDefault="00D65178" w:rsidP="007C01E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C01ED">
        <w:rPr>
          <w:b/>
          <w:bCs/>
        </w:rPr>
        <w:t>GoldsteinReportValue</w:t>
      </w:r>
      <w:proofErr w:type="spellEnd"/>
    </w:p>
    <w:p w14:paraId="1AE80666" w14:textId="3ACBA2F6" w:rsidR="00D65178" w:rsidRDefault="00D65178" w:rsidP="007C01ED">
      <w:pPr>
        <w:pStyle w:val="ListParagraph"/>
        <w:numPr>
          <w:ilvl w:val="2"/>
          <w:numId w:val="2"/>
        </w:numPr>
      </w:pPr>
      <w:r>
        <w:t xml:space="preserve">The median daily </w:t>
      </w:r>
      <w:proofErr w:type="spellStart"/>
      <w:r>
        <w:t>GoldsteinScale</w:t>
      </w:r>
      <w:proofErr w:type="spellEnd"/>
      <w:r>
        <w:t xml:space="preserve"> value of all articles related to a country, per Event Root</w:t>
      </w:r>
    </w:p>
    <w:p w14:paraId="3578CD37" w14:textId="46A3AB01" w:rsidR="00D65178" w:rsidRPr="007C01ED" w:rsidRDefault="00D65178" w:rsidP="007C01E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7C01ED">
        <w:rPr>
          <w:b/>
          <w:bCs/>
        </w:rPr>
        <w:t>ToneReportValue</w:t>
      </w:r>
      <w:proofErr w:type="spellEnd"/>
    </w:p>
    <w:p w14:paraId="0FE41ED5" w14:textId="73894C63" w:rsidR="00D65178" w:rsidRDefault="00D65178" w:rsidP="007C01ED">
      <w:pPr>
        <w:pStyle w:val="ListParagraph"/>
        <w:numPr>
          <w:ilvl w:val="2"/>
          <w:numId w:val="2"/>
        </w:numPr>
      </w:pPr>
      <w:r>
        <w:t xml:space="preserve">The median daily </w:t>
      </w:r>
      <w:proofErr w:type="spellStart"/>
      <w:r>
        <w:t>MentionDocTone</w:t>
      </w:r>
      <w:proofErr w:type="spellEnd"/>
      <w:r>
        <w:t xml:space="preserve"> value of all articles related to a country, per Event Root</w:t>
      </w:r>
    </w:p>
    <w:p w14:paraId="75446AE5" w14:textId="452CACA5" w:rsidR="00120D09" w:rsidRDefault="00120D09" w:rsidP="00120D09"/>
    <w:p w14:paraId="5DE80D9B" w14:textId="2A5EE115" w:rsidR="00120D09" w:rsidRDefault="00120D09" w:rsidP="00120D09"/>
    <w:p w14:paraId="14ED9A14" w14:textId="7A3CB49F" w:rsidR="00120D09" w:rsidRDefault="00120D09" w:rsidP="00120D09"/>
    <w:p w14:paraId="05EA4348" w14:textId="77777777" w:rsidR="00120D09" w:rsidRDefault="00120D09" w:rsidP="00120D09"/>
    <w:p w14:paraId="4CA35244" w14:textId="77777777" w:rsidR="007C01ED" w:rsidRDefault="007C01ED" w:rsidP="007C01ED">
      <w:pPr>
        <w:pStyle w:val="ListParagraph"/>
        <w:ind w:left="2160"/>
      </w:pPr>
    </w:p>
    <w:p w14:paraId="62B1970B" w14:textId="77777777" w:rsidR="00120D09" w:rsidRDefault="00D65178" w:rsidP="00120D09">
      <w:pPr>
        <w:pStyle w:val="ListParagraph"/>
        <w:numPr>
          <w:ilvl w:val="0"/>
          <w:numId w:val="2"/>
        </w:numPr>
      </w:pPr>
      <w:r w:rsidRPr="00120D09">
        <w:lastRenderedPageBreak/>
        <w:t xml:space="preserve">Calculate </w:t>
      </w:r>
      <w:r w:rsidR="00120D09">
        <w:t>Rolling Medians for Variables</w:t>
      </w:r>
    </w:p>
    <w:p w14:paraId="6F1A742F" w14:textId="40D43CCE" w:rsidR="00120D09" w:rsidRDefault="00120D09" w:rsidP="00120D09">
      <w:pPr>
        <w:pStyle w:val="ListParagraph"/>
        <w:numPr>
          <w:ilvl w:val="1"/>
          <w:numId w:val="2"/>
        </w:numPr>
      </w:pPr>
      <w:proofErr w:type="spellStart"/>
      <w:r w:rsidRPr="00120D09">
        <w:rPr>
          <w:b/>
          <w:bCs/>
        </w:rPr>
        <w:t>EventReportValue</w:t>
      </w:r>
      <w:proofErr w:type="spellEnd"/>
    </w:p>
    <w:p w14:paraId="62A28D76" w14:textId="77777777" w:rsidR="00120D09" w:rsidRDefault="00120D09" w:rsidP="00120D09">
      <w:pPr>
        <w:pStyle w:val="ListParagraph"/>
        <w:numPr>
          <w:ilvl w:val="2"/>
          <w:numId w:val="2"/>
        </w:numPr>
      </w:pPr>
      <w:r>
        <w:t>1 Day Window</w:t>
      </w:r>
    </w:p>
    <w:p w14:paraId="64C31FDC" w14:textId="09540C5A" w:rsidR="00120D09" w:rsidRDefault="00120D09" w:rsidP="00120D09">
      <w:pPr>
        <w:pStyle w:val="ListParagraph"/>
        <w:numPr>
          <w:ilvl w:val="2"/>
          <w:numId w:val="2"/>
        </w:numPr>
      </w:pPr>
      <w:r>
        <w:t>60 Day Window</w:t>
      </w:r>
    </w:p>
    <w:p w14:paraId="5CE413EC" w14:textId="65D7152F" w:rsidR="00120D09" w:rsidRDefault="00120D09" w:rsidP="00120D09">
      <w:pPr>
        <w:pStyle w:val="ListParagraph"/>
        <w:numPr>
          <w:ilvl w:val="1"/>
          <w:numId w:val="2"/>
        </w:numPr>
      </w:pPr>
      <w:proofErr w:type="spellStart"/>
      <w:r w:rsidRPr="00120D09">
        <w:rPr>
          <w:b/>
          <w:bCs/>
        </w:rPr>
        <w:t>GoldsteinReportValue</w:t>
      </w:r>
      <w:proofErr w:type="spellEnd"/>
      <w:r>
        <w:rPr>
          <w:b/>
          <w:bCs/>
        </w:rPr>
        <w:t xml:space="preserve"> </w:t>
      </w:r>
    </w:p>
    <w:p w14:paraId="1DC28D87" w14:textId="77777777" w:rsidR="00120D09" w:rsidRDefault="00120D09" w:rsidP="00120D09">
      <w:pPr>
        <w:pStyle w:val="ListParagraph"/>
        <w:numPr>
          <w:ilvl w:val="2"/>
          <w:numId w:val="2"/>
        </w:numPr>
      </w:pPr>
      <w:r>
        <w:t>3 Day Window</w:t>
      </w:r>
    </w:p>
    <w:p w14:paraId="2DED9C05" w14:textId="626D7F89" w:rsidR="00120D09" w:rsidRDefault="00120D09" w:rsidP="00120D09">
      <w:pPr>
        <w:pStyle w:val="ListParagraph"/>
        <w:numPr>
          <w:ilvl w:val="2"/>
          <w:numId w:val="2"/>
        </w:numPr>
      </w:pPr>
      <w:r>
        <w:t>60 Day Window</w:t>
      </w:r>
    </w:p>
    <w:p w14:paraId="36EAD108" w14:textId="77777777" w:rsidR="00120D09" w:rsidRPr="00120D09" w:rsidRDefault="00120D09" w:rsidP="00120D0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120D09">
        <w:rPr>
          <w:b/>
          <w:bCs/>
        </w:rPr>
        <w:t>ToneReportValue</w:t>
      </w:r>
      <w:proofErr w:type="spellEnd"/>
    </w:p>
    <w:p w14:paraId="4D928C8B" w14:textId="77777777" w:rsidR="00120D09" w:rsidRDefault="00120D09" w:rsidP="00120D09">
      <w:pPr>
        <w:pStyle w:val="ListParagraph"/>
        <w:numPr>
          <w:ilvl w:val="2"/>
          <w:numId w:val="2"/>
        </w:numPr>
      </w:pPr>
      <w:r>
        <w:t>3 Day Window</w:t>
      </w:r>
    </w:p>
    <w:p w14:paraId="4D49706A" w14:textId="0A26A11E" w:rsidR="00120D09" w:rsidRPr="00120D09" w:rsidRDefault="00120D09" w:rsidP="00120D09">
      <w:pPr>
        <w:pStyle w:val="ListParagraph"/>
        <w:numPr>
          <w:ilvl w:val="2"/>
          <w:numId w:val="2"/>
        </w:numPr>
      </w:pPr>
      <w:r>
        <w:t>60 Day Window</w:t>
      </w:r>
    </w:p>
    <w:p w14:paraId="0A308334" w14:textId="79D9A1F9" w:rsidR="00D65178" w:rsidRDefault="00120D09" w:rsidP="00120D09">
      <w:pPr>
        <w:pStyle w:val="ListParagraph"/>
        <w:numPr>
          <w:ilvl w:val="0"/>
          <w:numId w:val="2"/>
        </w:numPr>
      </w:pPr>
      <w:r>
        <w:t>Create the Interquartile Range for Each Variable</w:t>
      </w:r>
    </w:p>
    <w:p w14:paraId="6A16890C" w14:textId="786A8ECA" w:rsidR="00120D09" w:rsidRDefault="00120D09" w:rsidP="00120D09">
      <w:pPr>
        <w:pStyle w:val="ListParagraph"/>
        <w:numPr>
          <w:ilvl w:val="1"/>
          <w:numId w:val="2"/>
        </w:numPr>
      </w:pPr>
      <w:r>
        <w:t>1 Day and 3 Day</w:t>
      </w:r>
    </w:p>
    <w:p w14:paraId="2AF4E122" w14:textId="560C7972" w:rsidR="00120D09" w:rsidRDefault="00120D09" w:rsidP="00120D09">
      <w:pPr>
        <w:pStyle w:val="ListParagraph"/>
        <w:numPr>
          <w:ilvl w:val="2"/>
          <w:numId w:val="2"/>
        </w:numPr>
      </w:pPr>
      <w:r>
        <w:t>12 Months</w:t>
      </w:r>
    </w:p>
    <w:p w14:paraId="6C14DC95" w14:textId="379BF7E3" w:rsidR="00120D09" w:rsidRDefault="00120D09" w:rsidP="00120D09">
      <w:pPr>
        <w:pStyle w:val="ListParagraph"/>
        <w:numPr>
          <w:ilvl w:val="1"/>
          <w:numId w:val="2"/>
        </w:numPr>
      </w:pPr>
      <w:r>
        <w:t>60 Day</w:t>
      </w:r>
    </w:p>
    <w:p w14:paraId="75818166" w14:textId="4FCC98EE" w:rsidR="00120D09" w:rsidRDefault="00120D09" w:rsidP="00120D09">
      <w:pPr>
        <w:pStyle w:val="ListParagraph"/>
        <w:numPr>
          <w:ilvl w:val="2"/>
          <w:numId w:val="2"/>
        </w:numPr>
      </w:pPr>
      <w:r>
        <w:t>24 Months</w:t>
      </w:r>
    </w:p>
    <w:p w14:paraId="4E49283B" w14:textId="0754925B" w:rsidR="00120D09" w:rsidRDefault="00120D09" w:rsidP="00120D09">
      <w:pPr>
        <w:pStyle w:val="ListParagraph"/>
        <w:numPr>
          <w:ilvl w:val="0"/>
          <w:numId w:val="2"/>
        </w:numPr>
      </w:pPr>
      <w:r>
        <w:t>Create the Outlier Detection on Each IQR.</w:t>
      </w:r>
    </w:p>
    <w:p w14:paraId="545C2C31" w14:textId="77777777" w:rsidR="00120D09" w:rsidRDefault="00120D09" w:rsidP="00120D09">
      <w:pPr>
        <w:pStyle w:val="ListParagraph"/>
        <w:numPr>
          <w:ilvl w:val="1"/>
          <w:numId w:val="2"/>
        </w:numPr>
      </w:pPr>
      <w:proofErr w:type="spellStart"/>
      <w:r w:rsidRPr="00120D09">
        <w:rPr>
          <w:b/>
          <w:bCs/>
        </w:rPr>
        <w:t>EventReportValue</w:t>
      </w:r>
      <w:proofErr w:type="spellEnd"/>
    </w:p>
    <w:p w14:paraId="6F184278" w14:textId="206E110E" w:rsidR="00120D09" w:rsidRDefault="00120D09" w:rsidP="00120D09">
      <w:pPr>
        <w:pStyle w:val="ListParagraph"/>
        <w:numPr>
          <w:ilvl w:val="2"/>
          <w:numId w:val="2"/>
        </w:numPr>
      </w:pPr>
      <w:r>
        <w:t>Quantile75 + 1.5*IQR = Mild Abnormality</w:t>
      </w:r>
    </w:p>
    <w:p w14:paraId="7BA49DB9" w14:textId="66C906D5" w:rsidR="00120D09" w:rsidRDefault="00120D09" w:rsidP="00120D09">
      <w:pPr>
        <w:pStyle w:val="ListParagraph"/>
        <w:numPr>
          <w:ilvl w:val="2"/>
          <w:numId w:val="2"/>
        </w:numPr>
      </w:pPr>
      <w:r>
        <w:t xml:space="preserve">Quantile75 </w:t>
      </w:r>
      <w:r>
        <w:t>+</w:t>
      </w:r>
      <w:r>
        <w:t xml:space="preserve"> </w:t>
      </w:r>
      <w:r>
        <w:t>3*</w:t>
      </w:r>
      <w:r>
        <w:t xml:space="preserve">IQR = </w:t>
      </w:r>
      <w:r>
        <w:t>Extreme</w:t>
      </w:r>
      <w:r>
        <w:t xml:space="preserve"> </w:t>
      </w:r>
      <w:r>
        <w:t>Abnormality</w:t>
      </w:r>
    </w:p>
    <w:p w14:paraId="6B55743E" w14:textId="77777777" w:rsidR="00120D09" w:rsidRDefault="00120D09" w:rsidP="00120D09">
      <w:pPr>
        <w:pStyle w:val="ListParagraph"/>
        <w:numPr>
          <w:ilvl w:val="1"/>
          <w:numId w:val="2"/>
        </w:numPr>
      </w:pPr>
      <w:proofErr w:type="spellStart"/>
      <w:r w:rsidRPr="00120D09">
        <w:rPr>
          <w:b/>
          <w:bCs/>
        </w:rPr>
        <w:t>GoldsteinReportValue</w:t>
      </w:r>
      <w:proofErr w:type="spellEnd"/>
    </w:p>
    <w:p w14:paraId="25EBB0E1" w14:textId="1D1DD375" w:rsidR="00120D09" w:rsidRDefault="00120D09" w:rsidP="00120D09">
      <w:pPr>
        <w:pStyle w:val="ListParagraph"/>
        <w:numPr>
          <w:ilvl w:val="2"/>
          <w:numId w:val="2"/>
        </w:numPr>
      </w:pPr>
      <w:r>
        <w:t>Quantile</w:t>
      </w:r>
      <w:r>
        <w:t>2</w:t>
      </w:r>
      <w:r>
        <w:t xml:space="preserve">5 </w:t>
      </w:r>
      <w:r>
        <w:t>-</w:t>
      </w:r>
      <w:r>
        <w:t xml:space="preserve"> 1.5*IQR = Mild Abnormality</w:t>
      </w:r>
    </w:p>
    <w:p w14:paraId="5DED6447" w14:textId="3FB44DC5" w:rsidR="00120D09" w:rsidRDefault="00120D09" w:rsidP="00120D09">
      <w:pPr>
        <w:pStyle w:val="ListParagraph"/>
        <w:numPr>
          <w:ilvl w:val="2"/>
          <w:numId w:val="2"/>
        </w:numPr>
      </w:pPr>
      <w:r>
        <w:t>Quantile</w:t>
      </w:r>
      <w:r>
        <w:t>2</w:t>
      </w:r>
      <w:r>
        <w:t xml:space="preserve">5 </w:t>
      </w:r>
      <w:r>
        <w:t>-</w:t>
      </w:r>
      <w:r>
        <w:t xml:space="preserve"> 3*IQR = Extreme Abnormality</w:t>
      </w:r>
    </w:p>
    <w:p w14:paraId="40CD0D91" w14:textId="77777777" w:rsidR="00120D09" w:rsidRPr="00120D09" w:rsidRDefault="00120D09" w:rsidP="00120D0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120D09">
        <w:rPr>
          <w:b/>
          <w:bCs/>
        </w:rPr>
        <w:t>ToneReportValue</w:t>
      </w:r>
      <w:proofErr w:type="spellEnd"/>
    </w:p>
    <w:p w14:paraId="3CB5A299" w14:textId="77777777" w:rsidR="00120D09" w:rsidRDefault="00120D09" w:rsidP="00120D09">
      <w:pPr>
        <w:pStyle w:val="ListParagraph"/>
        <w:numPr>
          <w:ilvl w:val="2"/>
          <w:numId w:val="2"/>
        </w:numPr>
      </w:pPr>
      <w:r>
        <w:t>Quantile25 - 1.5*IQR = Mild Abnormality</w:t>
      </w:r>
    </w:p>
    <w:p w14:paraId="1F2B93F0" w14:textId="77777777" w:rsidR="00120D09" w:rsidRDefault="00120D09" w:rsidP="00120D09">
      <w:pPr>
        <w:pStyle w:val="ListParagraph"/>
        <w:numPr>
          <w:ilvl w:val="2"/>
          <w:numId w:val="2"/>
        </w:numPr>
      </w:pPr>
      <w:r>
        <w:t>Quantile25 - 3*IQR = Extreme Abnormality</w:t>
      </w:r>
    </w:p>
    <w:p w14:paraId="34FCD37A" w14:textId="0EB67E65" w:rsidR="00120D09" w:rsidRDefault="00120D09" w:rsidP="00120D09"/>
    <w:p w14:paraId="0A1B9F65" w14:textId="1B1CB053" w:rsidR="00120D09" w:rsidRDefault="00120D09" w:rsidP="00120D09">
      <w:r w:rsidRPr="00120D09">
        <w:rPr>
          <w:b/>
          <w:bCs/>
          <w:u w:val="single"/>
        </w:rPr>
        <w:t>Rationality:</w:t>
      </w:r>
      <w:r>
        <w:t xml:space="preserve"> Since we are specifically interested in CAMEO code that are related to Conflict, it stands to reason that an </w:t>
      </w:r>
      <w:r w:rsidRPr="00120D09">
        <w:rPr>
          <w:b/>
          <w:bCs/>
        </w:rPr>
        <w:t>increase</w:t>
      </w:r>
      <w:r>
        <w:t xml:space="preserve"> in the proportion of articles related to CAMEO Conflict codes should be flagged as a discrepancy in the spike or trend alerts for a given country. Similarly, since both Goldstein scores and article tones become more negative in value as Conflict of country-destabilizing events occur, a </w:t>
      </w:r>
      <w:r>
        <w:rPr>
          <w:b/>
          <w:bCs/>
        </w:rPr>
        <w:t xml:space="preserve">decrease </w:t>
      </w:r>
      <w:r>
        <w:t>in the Goldstein and Tone values should also be flagged for the spike and alert detection system.</w:t>
      </w:r>
    </w:p>
    <w:p w14:paraId="36A510DC" w14:textId="758494F2" w:rsidR="00120D09" w:rsidRDefault="00120D09" w:rsidP="00120D09"/>
    <w:p w14:paraId="7A52FDA0" w14:textId="5CD8CAC0" w:rsidR="00120D09" w:rsidRDefault="00120D09" w:rsidP="00120D09"/>
    <w:p w14:paraId="323981A1" w14:textId="04D5FBE5" w:rsidR="00120D09" w:rsidRPr="00120D09" w:rsidRDefault="00120D09" w:rsidP="00120D09">
      <w:pPr>
        <w:pStyle w:val="ListParagraph"/>
        <w:numPr>
          <w:ilvl w:val="0"/>
          <w:numId w:val="2"/>
        </w:numPr>
      </w:pPr>
      <w:r>
        <w:t xml:space="preserve">Output the above variables in to Microsoft SQL (or other) </w:t>
      </w:r>
      <w:proofErr w:type="spellStart"/>
      <w:r>
        <w:t>Datatable</w:t>
      </w:r>
      <w:proofErr w:type="spellEnd"/>
      <w:r>
        <w:t xml:space="preserve"> for </w:t>
      </w:r>
      <w:proofErr w:type="spellStart"/>
      <w:r>
        <w:t>PowerBI</w:t>
      </w:r>
      <w:proofErr w:type="spellEnd"/>
      <w:r>
        <w:t xml:space="preserve"> output</w:t>
      </w:r>
    </w:p>
    <w:sectPr w:rsidR="00120D09" w:rsidRPr="00120D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D19B1" w14:textId="77777777" w:rsidR="000C6E22" w:rsidRDefault="000C6E22" w:rsidP="00B93512">
      <w:r>
        <w:separator/>
      </w:r>
    </w:p>
  </w:endnote>
  <w:endnote w:type="continuationSeparator" w:id="0">
    <w:p w14:paraId="77A227C9" w14:textId="77777777" w:rsidR="000C6E22" w:rsidRDefault="000C6E22" w:rsidP="00B9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01C7F" w14:textId="6CA3A074" w:rsidR="00B93512" w:rsidRPr="00B93512" w:rsidRDefault="00B93512" w:rsidP="00CE3CA3">
    <w:pPr>
      <w:jc w:val="right"/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</w:pPr>
    <w:r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  <w:t xml:space="preserve">Contractor: Emily </w:t>
    </w:r>
    <w:proofErr w:type="spellStart"/>
    <w:r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  <w:t>Schoof</w:t>
    </w:r>
    <w:proofErr w:type="spellEnd"/>
    <w:r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  <w:t>, April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FB91E" w14:textId="77777777" w:rsidR="000C6E22" w:rsidRDefault="000C6E22" w:rsidP="00B93512">
      <w:r>
        <w:separator/>
      </w:r>
    </w:p>
  </w:footnote>
  <w:footnote w:type="continuationSeparator" w:id="0">
    <w:p w14:paraId="422466A5" w14:textId="77777777" w:rsidR="000C6E22" w:rsidRDefault="000C6E22" w:rsidP="00B9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341C6" w14:textId="77777777" w:rsidR="00CE3CA3" w:rsidRPr="00B93512" w:rsidRDefault="00CE3CA3" w:rsidP="00CE3CA3">
    <w:pPr>
      <w:pStyle w:val="Header"/>
      <w:rPr>
        <w:sz w:val="20"/>
        <w:szCs w:val="20"/>
      </w:rPr>
    </w:pPr>
    <w:r>
      <w:rPr>
        <w:sz w:val="20"/>
        <w:szCs w:val="20"/>
      </w:rPr>
      <w:t xml:space="preserve">Proof of Concept: </w:t>
    </w:r>
    <w:r w:rsidRPr="00B93512">
      <w:rPr>
        <w:sz w:val="20"/>
        <w:szCs w:val="20"/>
      </w:rPr>
      <w:t>Contextual Alert and Trend System (CATS) </w:t>
    </w:r>
  </w:p>
  <w:p w14:paraId="5E3F4AA1" w14:textId="77777777" w:rsidR="00CE3CA3" w:rsidRDefault="00CE3CA3" w:rsidP="00CE3CA3">
    <w:pPr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</w:pPr>
    <w:r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  <w:t xml:space="preserve">Department: </w:t>
    </w:r>
    <w:r w:rsidRPr="00B93512"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  <w:t>Risk Analysis and Preparedness Section (RAPS)</w:t>
    </w:r>
    <w:r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  <w:t xml:space="preserve">, </w:t>
    </w:r>
    <w:r w:rsidRPr="00B93512">
      <w:rPr>
        <w:rFonts w:ascii="Segoe UI" w:eastAsia="Times New Roman" w:hAnsi="Segoe UI" w:cs="Segoe UI"/>
        <w:color w:val="24292E"/>
        <w:sz w:val="20"/>
        <w:szCs w:val="20"/>
        <w:shd w:val="clear" w:color="auto" w:fill="FFFFFF"/>
      </w:rPr>
      <w:t>Office of Emergency Operations (EMOPS)</w:t>
    </w:r>
  </w:p>
  <w:p w14:paraId="3A8A3224" w14:textId="77777777" w:rsidR="00B93512" w:rsidRDefault="00B93512" w:rsidP="00B9351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2D45"/>
    <w:multiLevelType w:val="hybridMultilevel"/>
    <w:tmpl w:val="0B30A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F0DCD"/>
    <w:multiLevelType w:val="hybridMultilevel"/>
    <w:tmpl w:val="DB12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74"/>
    <w:rsid w:val="000C6E22"/>
    <w:rsid w:val="000F2165"/>
    <w:rsid w:val="00120D09"/>
    <w:rsid w:val="002C4D74"/>
    <w:rsid w:val="00377810"/>
    <w:rsid w:val="005438E8"/>
    <w:rsid w:val="00777AD4"/>
    <w:rsid w:val="007C01ED"/>
    <w:rsid w:val="008074BB"/>
    <w:rsid w:val="00956D7E"/>
    <w:rsid w:val="00AC3957"/>
    <w:rsid w:val="00AC5492"/>
    <w:rsid w:val="00B13F57"/>
    <w:rsid w:val="00B93512"/>
    <w:rsid w:val="00C92CC3"/>
    <w:rsid w:val="00CE3CA3"/>
    <w:rsid w:val="00D65178"/>
    <w:rsid w:val="00E9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2A4D"/>
  <w15:chartTrackingRefBased/>
  <w15:docId w15:val="{6878C339-AF93-E945-9F5D-0ADBA439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5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35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512"/>
  </w:style>
  <w:style w:type="paragraph" w:styleId="Footer">
    <w:name w:val="footer"/>
    <w:basedOn w:val="Normal"/>
    <w:link w:val="FooterChar"/>
    <w:uiPriority w:val="99"/>
    <w:unhideWhenUsed/>
    <w:rsid w:val="00B935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512"/>
  </w:style>
  <w:style w:type="table" w:styleId="TableGrid">
    <w:name w:val="Table Grid"/>
    <w:basedOn w:val="TableNormal"/>
    <w:uiPriority w:val="39"/>
    <w:rsid w:val="001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FIPS_country_cod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Schoof</dc:creator>
  <cp:keywords/>
  <dc:description/>
  <cp:lastModifiedBy>Emily Schoof</cp:lastModifiedBy>
  <cp:revision>1</cp:revision>
  <dcterms:created xsi:type="dcterms:W3CDTF">2021-04-19T16:24:00Z</dcterms:created>
  <dcterms:modified xsi:type="dcterms:W3CDTF">2021-04-26T17:30:00Z</dcterms:modified>
</cp:coreProperties>
</file>