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BF6F" w14:textId="15CE8F76" w:rsidR="00FF6AA9" w:rsidRPr="00FF6AA9" w:rsidRDefault="0096444A" w:rsidP="00FF6AA9">
      <w:pPr>
        <w:pStyle w:val="Nessunaspaziatura"/>
      </w:pPr>
      <w:r>
        <w:t xml:space="preserve">Coerentemente con quanto stabilito nel </w:t>
      </w:r>
      <w:r w:rsidR="00FF6AA9">
        <w:t>DPCM n.178/2015</w:t>
      </w:r>
      <w:r>
        <w:t>,</w:t>
      </w:r>
      <w:r w:rsidR="00FF6AA9">
        <w:t xml:space="preserve"> il “dossier farmaceutico” rappresenta la parte specifica del FSE</w:t>
      </w:r>
      <w:r w:rsidR="00BA097E">
        <w:t xml:space="preserve"> (Fascicolo Sanitario Elettronico)</w:t>
      </w:r>
      <w:r>
        <w:t xml:space="preserve"> </w:t>
      </w:r>
      <w:r w:rsidR="00FF6AA9">
        <w:t>istituita per favorire la qualità, il monitoraggio, l’appropriatezza nella dispensazione dei medicinali e l’aderenza alla terapia ai fini della sicurezza del paziente, aggiornato a cura della farmacia che effettua la dispensazione.</w:t>
      </w:r>
    </w:p>
    <w:p w14:paraId="7C0B519A" w14:textId="6FDB64C6" w:rsidR="00034B01" w:rsidRDefault="001E247D" w:rsidP="00034B01">
      <w:pPr>
        <w:pStyle w:val="Nessunaspaziatura"/>
      </w:pPr>
      <w:r>
        <w:t>Il gruppo di lavoro n.3, istituito dal Tavolo Tecnico di monitoraggio e indirizzo per l'attuazione del</w:t>
      </w:r>
      <w:r w:rsidR="00BA097E">
        <w:t xml:space="preserve"> </w:t>
      </w:r>
      <w:r>
        <w:t>FSE (art. 26 DPCM n.178/2015) ha descritto nel deliverable prodotto il dossier farmaceutico, i suoi</w:t>
      </w:r>
      <w:r w:rsidR="00BA097E">
        <w:t xml:space="preserve"> </w:t>
      </w:r>
      <w:r w:rsidR="00572134" w:rsidRPr="00DD0177">
        <w:t>c</w:t>
      </w:r>
      <w:r w:rsidRPr="00DD0177">
        <w:t>ontenuti</w:t>
      </w:r>
      <w:r>
        <w:t xml:space="preserve">, </w:t>
      </w:r>
      <w:r w:rsidR="0096444A">
        <w:t xml:space="preserve">gli attori e le modalità con le quali </w:t>
      </w:r>
      <w:r>
        <w:t>possa essere alimentato.</w:t>
      </w:r>
      <w:r w:rsidR="00034B01">
        <w:t xml:space="preserve"> </w:t>
      </w:r>
    </w:p>
    <w:p w14:paraId="1D58445B" w14:textId="4BE8EA7A" w:rsidR="00A35A3A" w:rsidRDefault="00A35A3A" w:rsidP="00034B01">
      <w:pPr>
        <w:pStyle w:val="Nessunaspaziatura"/>
      </w:pPr>
      <w:r>
        <w:t>Gli enti componenti del GdL n.3 sono:</w:t>
      </w:r>
    </w:p>
    <w:p w14:paraId="3FB50F02" w14:textId="77777777" w:rsidR="00A35A3A" w:rsidRDefault="00A35A3A" w:rsidP="00034B01">
      <w:pPr>
        <w:pStyle w:val="Nessunaspaziatura"/>
      </w:pPr>
    </w:p>
    <w:p w14:paraId="158A4C7C" w14:textId="77777777" w:rsidR="0096444A" w:rsidRDefault="0096444A" w:rsidP="0096444A">
      <w:pPr>
        <w:pStyle w:val="Nessunaspaziatura"/>
        <w:numPr>
          <w:ilvl w:val="0"/>
          <w:numId w:val="6"/>
        </w:numPr>
      </w:pPr>
      <w:r>
        <w:t>Regione Veneto (coordinatrice)</w:t>
      </w:r>
    </w:p>
    <w:p w14:paraId="7A8A565A" w14:textId="77777777" w:rsidR="0096444A" w:rsidRDefault="0096444A" w:rsidP="0096444A">
      <w:pPr>
        <w:pStyle w:val="Nessunaspaziatura"/>
        <w:numPr>
          <w:ilvl w:val="0"/>
          <w:numId w:val="6"/>
        </w:numPr>
      </w:pPr>
      <w:r w:rsidRPr="00A35A3A">
        <w:t>A</w:t>
      </w:r>
      <w:r>
        <w:t>genzia per l’Italia Digitale</w:t>
      </w:r>
    </w:p>
    <w:p w14:paraId="6BC71CA7" w14:textId="09DFC0A7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Ministero della Salute</w:t>
      </w:r>
    </w:p>
    <w:p w14:paraId="67EE8BC0" w14:textId="5B85E31F" w:rsidR="00A35A3A" w:rsidRDefault="00A35A3A" w:rsidP="00A35A3A">
      <w:pPr>
        <w:pStyle w:val="Nessunaspaziatura"/>
        <w:numPr>
          <w:ilvl w:val="0"/>
          <w:numId w:val="6"/>
        </w:numPr>
      </w:pPr>
      <w:r>
        <w:t>Ministero dell’Economia e delle Finanze</w:t>
      </w:r>
    </w:p>
    <w:p w14:paraId="1F4D4692" w14:textId="5EF15879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Lazio</w:t>
      </w:r>
    </w:p>
    <w:p w14:paraId="6BDC0062" w14:textId="5125EBE2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Liguria</w:t>
      </w:r>
    </w:p>
    <w:p w14:paraId="36D71DC3" w14:textId="193A6A9B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Lombardia</w:t>
      </w:r>
    </w:p>
    <w:p w14:paraId="71188A15" w14:textId="2BBD8DD8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Marche</w:t>
      </w:r>
    </w:p>
    <w:p w14:paraId="21F75D3B" w14:textId="73A9B002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Piemonte</w:t>
      </w:r>
    </w:p>
    <w:p w14:paraId="4FD22F84" w14:textId="7C914BDB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Puglia</w:t>
      </w:r>
    </w:p>
    <w:p w14:paraId="6D17FD80" w14:textId="00BB960E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Toscana</w:t>
      </w:r>
      <w:r>
        <w:tab/>
      </w:r>
    </w:p>
    <w:p w14:paraId="377853DB" w14:textId="0F049663" w:rsidR="00A35A3A" w:rsidRDefault="00A35A3A" w:rsidP="00A35A3A">
      <w:pPr>
        <w:pStyle w:val="Nessunaspaziatura"/>
        <w:numPr>
          <w:ilvl w:val="0"/>
          <w:numId w:val="6"/>
        </w:numPr>
      </w:pPr>
      <w:r>
        <w:t>Regione Emilia-Romagna</w:t>
      </w:r>
    </w:p>
    <w:p w14:paraId="3E0A0485" w14:textId="1BE40068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F</w:t>
      </w:r>
      <w:r w:rsidR="0096444A">
        <w:t xml:space="preserve">ederazione </w:t>
      </w:r>
      <w:r w:rsidRPr="00A35A3A">
        <w:t>O</w:t>
      </w:r>
      <w:r w:rsidR="0096444A">
        <w:t xml:space="preserve">rdini </w:t>
      </w:r>
      <w:r w:rsidRPr="00A35A3A">
        <w:t>F</w:t>
      </w:r>
      <w:r w:rsidR="0096444A">
        <w:t xml:space="preserve">armacisti </w:t>
      </w:r>
      <w:r w:rsidRPr="00A35A3A">
        <w:t>I</w:t>
      </w:r>
      <w:r w:rsidR="0096444A">
        <w:t>taliani</w:t>
      </w:r>
    </w:p>
    <w:p w14:paraId="1CE05884" w14:textId="33E55DEE" w:rsidR="00A35A3A" w:rsidRDefault="0096444A" w:rsidP="0096444A">
      <w:pPr>
        <w:pStyle w:val="Nessunaspaziatura"/>
        <w:numPr>
          <w:ilvl w:val="0"/>
          <w:numId w:val="6"/>
        </w:numPr>
      </w:pPr>
      <w:r w:rsidRPr="0096444A">
        <w:t>Federazione Nazionale degli Ordini dei Medic</w:t>
      </w:r>
      <w:r>
        <w:t>i Chirurghi e degli Odontoiatri</w:t>
      </w:r>
    </w:p>
    <w:p w14:paraId="5E43291B" w14:textId="77777777" w:rsidR="00A35A3A" w:rsidRPr="00034B01" w:rsidRDefault="00A35A3A" w:rsidP="00034B01">
      <w:pPr>
        <w:pStyle w:val="Nessunaspaziatura"/>
      </w:pPr>
    </w:p>
    <w:p w14:paraId="03A9748D" w14:textId="152AA773" w:rsidR="00290C9F" w:rsidRDefault="0065250E" w:rsidP="0065250E">
      <w:pPr>
        <w:pStyle w:val="Nessunaspaziatura"/>
      </w:pPr>
      <w:r>
        <w:t>Il dossier farmaceutico</w:t>
      </w:r>
      <w:r w:rsidR="0096444A">
        <w:t>,</w:t>
      </w:r>
      <w:r>
        <w:t xml:space="preserve"> essendo parte integrante del FSE</w:t>
      </w:r>
      <w:r w:rsidR="0096444A">
        <w:t>,</w:t>
      </w:r>
      <w:r>
        <w:t xml:space="preserve"> eredita le policy di retention dei dati</w:t>
      </w:r>
      <w:r w:rsidR="0096444A">
        <w:t xml:space="preserve"> e</w:t>
      </w:r>
      <w:r>
        <w:t xml:space="preserve"> di</w:t>
      </w:r>
      <w:r w:rsidR="00BA097E">
        <w:t xml:space="preserve"> </w:t>
      </w:r>
      <w:r>
        <w:t>sicurezza definite per il FSE stesso. Inoltre</w:t>
      </w:r>
      <w:r w:rsidR="0096444A">
        <w:t>,</w:t>
      </w:r>
      <w:r>
        <w:t xml:space="preserve"> </w:t>
      </w:r>
      <w:r w:rsidR="0096444A">
        <w:t>in conformità al</w:t>
      </w:r>
      <w:r>
        <w:t xml:space="preserve">le specifiche </w:t>
      </w:r>
      <w:r w:rsidR="0096444A">
        <w:t xml:space="preserve">tecniche nazionali di interoperabilità del FSE, </w:t>
      </w:r>
      <w:r>
        <w:t>tutte le</w:t>
      </w:r>
      <w:r w:rsidR="0096444A">
        <w:t xml:space="preserve"> </w:t>
      </w:r>
      <w:r w:rsidRPr="007775D0">
        <w:t>transazioni avverranno mediante l’infrastruttura INI.</w:t>
      </w:r>
    </w:p>
    <w:p w14:paraId="09F3F5DA" w14:textId="45A76D8F" w:rsidR="0065250E" w:rsidRDefault="0065250E">
      <w:pPr>
        <w:pStyle w:val="Nessunaspaziatura"/>
      </w:pPr>
      <w:r>
        <w:t>Per poter permettere la visualizzazione e la gestione delle informazioni della terapia farmacologica</w:t>
      </w:r>
      <w:r w:rsidR="00BA097E">
        <w:t xml:space="preserve"> </w:t>
      </w:r>
      <w:r>
        <w:t>presenti in diver</w:t>
      </w:r>
      <w:r w:rsidR="004E2BA1">
        <w:t>si documenti</w:t>
      </w:r>
      <w:r w:rsidR="0096444A">
        <w:t>,</w:t>
      </w:r>
      <w:r w:rsidR="004E2BA1">
        <w:t xml:space="preserve"> </w:t>
      </w:r>
      <w:r w:rsidR="0096444A">
        <w:t xml:space="preserve">i dati contenuti nel dossier farmaceutico saranno rappresentati secondo lo </w:t>
      </w:r>
      <w:r>
        <w:t xml:space="preserve">standard </w:t>
      </w:r>
      <w:r w:rsidR="0096444A">
        <w:t xml:space="preserve">HL7 </w:t>
      </w:r>
      <w:r>
        <w:t>FHIR v.4</w:t>
      </w:r>
      <w:r w:rsidR="00695C70">
        <w:t>.</w:t>
      </w:r>
    </w:p>
    <w:p w14:paraId="049CC512" w14:textId="77777777" w:rsidR="00695C70" w:rsidRDefault="00695C70" w:rsidP="0065250E">
      <w:pPr>
        <w:pStyle w:val="Nessunaspaziatura"/>
      </w:pPr>
    </w:p>
    <w:p w14:paraId="728B2445" w14:textId="43EF830B" w:rsidR="00695C70" w:rsidRDefault="00695C70" w:rsidP="00695C70">
      <w:pPr>
        <w:pStyle w:val="Nessunaspaziatura"/>
      </w:pPr>
      <w:r>
        <w:t>Il dossier farmaceutico</w:t>
      </w:r>
      <w:r w:rsidR="0096444A">
        <w:t>,</w:t>
      </w:r>
      <w:r>
        <w:t xml:space="preserve"> come </w:t>
      </w:r>
      <w:r w:rsidR="004E2BA1">
        <w:t xml:space="preserve">definito dal GDL n.3 istituito dal Tavolo </w:t>
      </w:r>
      <w:r>
        <w:t>tecnico e di monitoraggio del FSE</w:t>
      </w:r>
      <w:r w:rsidR="0096444A">
        <w:t>,</w:t>
      </w:r>
      <w:r>
        <w:t xml:space="preserve"> verrà implementato in 3 fasi</w:t>
      </w:r>
      <w:r w:rsidR="0096444A">
        <w:t>,</w:t>
      </w:r>
      <w:r>
        <w:t xml:space="preserve"> i</w:t>
      </w:r>
      <w:r w:rsidR="004E2BA1">
        <w:t xml:space="preserve">n base alla disponibilità delle </w:t>
      </w:r>
      <w:r>
        <w:t xml:space="preserve">informazioni all’interno del FSE. </w:t>
      </w:r>
    </w:p>
    <w:p w14:paraId="33F42194" w14:textId="14E23373" w:rsidR="00FF6AA9" w:rsidRDefault="00695C70" w:rsidP="00695C70">
      <w:pPr>
        <w:pStyle w:val="Nessunaspaziatura"/>
      </w:pPr>
      <w:r>
        <w:t>Le fasi prevedono di includere le seguenti informazioni:</w:t>
      </w:r>
    </w:p>
    <w:p w14:paraId="02E3B024" w14:textId="77777777" w:rsidR="004E2BA1" w:rsidRDefault="004E2BA1" w:rsidP="00695C70">
      <w:pPr>
        <w:pStyle w:val="Nessunaspaziatura"/>
      </w:pPr>
    </w:p>
    <w:p w14:paraId="4BCB5726" w14:textId="2A75A9CF" w:rsidR="00695C70" w:rsidRDefault="00695C70" w:rsidP="00695C70">
      <w:pPr>
        <w:pStyle w:val="Nessunaspaziatura"/>
      </w:pPr>
      <w:r>
        <w:t>●  Fase 1: informazioni relative alle prescrizioni ed erogazioni delle ricette gestite in modalità</w:t>
      </w:r>
      <w:r w:rsidR="00BA097E">
        <w:t xml:space="preserve"> </w:t>
      </w:r>
      <w:r>
        <w:t>dematerializzata secondo il DM 2 novembre 2011 ed opzionalmente anche informazioni</w:t>
      </w:r>
      <w:r w:rsidR="00BA097E">
        <w:t xml:space="preserve"> </w:t>
      </w:r>
      <w:r>
        <w:t>relative alle prescrizioni elettroniche secondo il DPCM del 26 marzo 2008.</w:t>
      </w:r>
    </w:p>
    <w:p w14:paraId="44DC90C7" w14:textId="77777777" w:rsidR="004E2BA1" w:rsidRDefault="004E2BA1" w:rsidP="00695C70">
      <w:pPr>
        <w:pStyle w:val="Nessunaspaziatura"/>
      </w:pPr>
    </w:p>
    <w:p w14:paraId="52DB31BB" w14:textId="7AF503B0" w:rsidR="00695C70" w:rsidRDefault="00695C70" w:rsidP="00695C70">
      <w:pPr>
        <w:pStyle w:val="Nessunaspaziatura"/>
      </w:pPr>
      <w:r>
        <w:t>●  Fase 2: ampliamento del processo di dematerializzazione delle prescrizioni ed erogazioni</w:t>
      </w:r>
      <w:r w:rsidR="00BA097E">
        <w:t xml:space="preserve"> </w:t>
      </w:r>
    </w:p>
    <w:p w14:paraId="28C342D5" w14:textId="25651D2F" w:rsidR="00695C70" w:rsidRDefault="00695C70" w:rsidP="00695C70">
      <w:pPr>
        <w:pStyle w:val="Nessunaspaziatura"/>
      </w:pPr>
      <w:r>
        <w:t>oggi non gestite in tale modalità. Informazioni dei piani terapeutici e informazioni</w:t>
      </w:r>
      <w:r w:rsidR="00BA097E">
        <w:t xml:space="preserve"> </w:t>
      </w:r>
      <w:r>
        <w:t>recuperabili da altre tipologie documentali come lettere di dimissione, verbali di pronto</w:t>
      </w:r>
      <w:r w:rsidR="00BA097E">
        <w:t xml:space="preserve"> </w:t>
      </w:r>
      <w:r>
        <w:t>soccorso e taccuino del paziente.</w:t>
      </w:r>
    </w:p>
    <w:p w14:paraId="5CAAFF81" w14:textId="77777777" w:rsidR="004E2BA1" w:rsidRDefault="004E2BA1" w:rsidP="00695C70">
      <w:pPr>
        <w:pStyle w:val="Nessunaspaziatura"/>
      </w:pPr>
    </w:p>
    <w:p w14:paraId="0D40E5A3" w14:textId="5EB37947" w:rsidR="00695C70" w:rsidRDefault="00695C70" w:rsidP="00695C70">
      <w:pPr>
        <w:pStyle w:val="Nessunaspaziatura"/>
      </w:pPr>
      <w:r>
        <w:t>●  Fase 3: si prevede di rendere disponibili al dossier farmaceutico anche informazioni relative</w:t>
      </w:r>
      <w:r w:rsidR="00BA097E">
        <w:t xml:space="preserve"> </w:t>
      </w:r>
      <w:r>
        <w:t>a prescrizioni, somministrazioni, erogazioni in determinati episodi di cura oggi non</w:t>
      </w:r>
      <w:r w:rsidR="00BA097E">
        <w:t xml:space="preserve"> </w:t>
      </w:r>
      <w:r>
        <w:t>informatizzate</w:t>
      </w:r>
      <w:r w:rsidR="0096444A">
        <w:t xml:space="preserve"> e</w:t>
      </w:r>
      <w:r>
        <w:t xml:space="preserve"> </w:t>
      </w:r>
      <w:r w:rsidR="0096444A">
        <w:t xml:space="preserve">informazioni </w:t>
      </w:r>
      <w:r>
        <w:t>relative a terapie convenzionali e non acquistate direttamente</w:t>
      </w:r>
      <w:r w:rsidR="00BA097E">
        <w:t xml:space="preserve"> </w:t>
      </w:r>
      <w:r>
        <w:t>dal cittadino. Inoltre si prevede di gestire informazioni anche relative alle terapie avverse.</w:t>
      </w:r>
    </w:p>
    <w:p w14:paraId="370171BD" w14:textId="77777777" w:rsidR="004229EA" w:rsidRDefault="004229EA" w:rsidP="00695C70">
      <w:pPr>
        <w:pStyle w:val="Nessunaspaziatura"/>
      </w:pPr>
    </w:p>
    <w:p w14:paraId="1F3C7662" w14:textId="6F16D1C2" w:rsidR="004229EA" w:rsidRDefault="004229EA" w:rsidP="004229EA">
      <w:pPr>
        <w:pStyle w:val="Nessunaspaziatura"/>
      </w:pPr>
      <w:r>
        <w:t>Risulta pertanto necessario uniformare la gestione di questa mole di informazioni per renderle</w:t>
      </w:r>
      <w:r w:rsidR="00BA097E">
        <w:t xml:space="preserve"> </w:t>
      </w:r>
      <w:r>
        <w:t>facilmente disponibili e consultabili. L'obiettivo del dossier farmaceutico è quello di dare una</w:t>
      </w:r>
      <w:r w:rsidR="00BA097E">
        <w:t xml:space="preserve"> </w:t>
      </w:r>
      <w:r>
        <w:t>visione il più possibile completa della terapia farmacologica di un paziente, in base alle fasi di</w:t>
      </w:r>
      <w:r w:rsidR="00BA097E">
        <w:t xml:space="preserve"> </w:t>
      </w:r>
      <w:r>
        <w:t>implementazione dello stesso, mediante la sua funzionalità principale denominata “Medication</w:t>
      </w:r>
      <w:r w:rsidR="00BA097E">
        <w:t xml:space="preserve"> </w:t>
      </w:r>
      <w:r>
        <w:t>List”. Per queste ragioni</w:t>
      </w:r>
      <w:r w:rsidR="0096444A">
        <w:t>,</w:t>
      </w:r>
      <w:r>
        <w:t xml:space="preserve"> le informazioni </w:t>
      </w:r>
      <w:r>
        <w:lastRenderedPageBreak/>
        <w:t>del dossier farmaceutico verranno gestite mediante lo</w:t>
      </w:r>
      <w:r w:rsidR="00BA097E">
        <w:t xml:space="preserve"> </w:t>
      </w:r>
      <w:r>
        <w:t xml:space="preserve">standard FHIR v.4 di HL7 in server FHIR gestiti dalle RDA </w:t>
      </w:r>
      <w:r w:rsidR="0096444A">
        <w:t xml:space="preserve">(Regioni di Assistenza) </w:t>
      </w:r>
      <w:r>
        <w:t>per i propri assistiti. I server FHIR</w:t>
      </w:r>
      <w:r w:rsidR="0096444A">
        <w:t xml:space="preserve"> </w:t>
      </w:r>
      <w:r>
        <w:t>dovranno essere in grado di gestire il versioning delle risorse in caso di aggiornamento delle stesse.</w:t>
      </w:r>
    </w:p>
    <w:p w14:paraId="381A9023" w14:textId="5979FAE2" w:rsidR="004229EA" w:rsidRDefault="004229EA" w:rsidP="004229EA">
      <w:pPr>
        <w:pStyle w:val="Nessunaspaziatura"/>
      </w:pPr>
      <w:r>
        <w:t>Le informazioni utilizzate dal dossier farmaceutico verranno gestite dalle seguenti risorse definite</w:t>
      </w:r>
      <w:r w:rsidR="00BA097E">
        <w:t xml:space="preserve"> </w:t>
      </w:r>
      <w:r>
        <w:t>dallo standard FHIR v.4 di HL7:</w:t>
      </w:r>
    </w:p>
    <w:p w14:paraId="6E186182" w14:textId="77777777" w:rsidR="004229EA" w:rsidRDefault="004229EA" w:rsidP="004229EA">
      <w:pPr>
        <w:pStyle w:val="Nessunaspaziatura"/>
      </w:pPr>
      <w:r>
        <w:t>● MedicatioRequest: per le informazioni inerenti le prescrizioni farmaceutiche;</w:t>
      </w:r>
    </w:p>
    <w:p w14:paraId="3861AD6A" w14:textId="77777777" w:rsidR="004229EA" w:rsidRDefault="004229EA" w:rsidP="004229EA">
      <w:pPr>
        <w:pStyle w:val="Nessunaspaziatura"/>
      </w:pPr>
      <w:r>
        <w:t>● MedicationDispense: per le informazioni inerenti le erogazioni farmaceutiche;</w:t>
      </w:r>
    </w:p>
    <w:p w14:paraId="164698A6" w14:textId="77777777" w:rsidR="004229EA" w:rsidRDefault="004229EA" w:rsidP="004229EA">
      <w:pPr>
        <w:pStyle w:val="Nessunaspaziatura"/>
      </w:pPr>
      <w:r>
        <w:t>● MedicationAdministration: per le informazioni relative le somministrazioni farmaceutiche;</w:t>
      </w:r>
    </w:p>
    <w:p w14:paraId="2D5AC351" w14:textId="77777777" w:rsidR="004229EA" w:rsidRDefault="004229EA" w:rsidP="004229EA">
      <w:pPr>
        <w:pStyle w:val="Nessunaspaziatura"/>
      </w:pPr>
      <w:r>
        <w:t>● CarePlan: per i piani terapautici;</w:t>
      </w:r>
    </w:p>
    <w:p w14:paraId="226894FD" w14:textId="0E03B7F2" w:rsidR="004229EA" w:rsidRDefault="004229EA" w:rsidP="004229EA">
      <w:pPr>
        <w:pStyle w:val="Nessunaspaziatura"/>
      </w:pPr>
      <w:r>
        <w:t>● AdverseEvent: per le informazioni relative le reazioni avverse.</w:t>
      </w:r>
    </w:p>
    <w:p w14:paraId="66AB1037" w14:textId="77777777" w:rsidR="00ED1DF7" w:rsidRDefault="00ED1DF7" w:rsidP="00725CDD">
      <w:pPr>
        <w:pStyle w:val="Nessunaspaziatura"/>
      </w:pPr>
    </w:p>
    <w:p w14:paraId="57040FF0" w14:textId="379A903C" w:rsidR="00725CDD" w:rsidRDefault="00725CDD" w:rsidP="00725CDD">
      <w:pPr>
        <w:pStyle w:val="Nessunaspaziatura"/>
      </w:pPr>
      <w:r>
        <w:t>Nello specifico</w:t>
      </w:r>
      <w:r w:rsidR="00BA097E">
        <w:t>,</w:t>
      </w:r>
      <w:r>
        <w:t xml:space="preserve"> in base alle fasi di implementazione del dossier farmaceutico</w:t>
      </w:r>
      <w:r w:rsidR="00BA097E">
        <w:t>,</w:t>
      </w:r>
      <w:r>
        <w:t xml:space="preserve"> saranno disponibili le</w:t>
      </w:r>
      <w:r w:rsidR="00BA097E">
        <w:t xml:space="preserve"> </w:t>
      </w:r>
      <w:r>
        <w:t>seguenti risorse:</w:t>
      </w:r>
    </w:p>
    <w:p w14:paraId="377553C7" w14:textId="77777777" w:rsidR="00725CDD" w:rsidRDefault="00725CDD" w:rsidP="00725CDD">
      <w:pPr>
        <w:pStyle w:val="Nessunaspaziatura"/>
      </w:pPr>
    </w:p>
    <w:p w14:paraId="51E43BC9" w14:textId="2B1BCBF1" w:rsidR="00725CDD" w:rsidRDefault="00725CDD" w:rsidP="00725CDD">
      <w:pPr>
        <w:pStyle w:val="Nessunaspaziatura"/>
      </w:pPr>
      <w:r>
        <w:t>●  Fase 1: saranno disponibili risorse di tipo MedicationRequest e MedicationDispense;</w:t>
      </w:r>
    </w:p>
    <w:p w14:paraId="2A3EA166" w14:textId="37FC38F1" w:rsidR="00725CDD" w:rsidRDefault="00725CDD" w:rsidP="00725CDD">
      <w:pPr>
        <w:pStyle w:val="Nessunaspaziatura"/>
      </w:pPr>
      <w:r>
        <w:t>●  Fase 2: saranno disponibili risorse di tipo MedicationRequest e MedicationDispense già</w:t>
      </w:r>
      <w:r w:rsidR="00BA097E">
        <w:t xml:space="preserve"> </w:t>
      </w:r>
      <w:r>
        <w:t xml:space="preserve">previste nella fase 1 con in aggiunta </w:t>
      </w:r>
      <w:r w:rsidR="00BA097E">
        <w:t xml:space="preserve">di </w:t>
      </w:r>
      <w:r>
        <w:t>risorse di tipo MedicationAdministration e CarePlan;</w:t>
      </w:r>
    </w:p>
    <w:p w14:paraId="615A4880" w14:textId="3F9C295C" w:rsidR="00725CDD" w:rsidRDefault="00725CDD" w:rsidP="00725CDD">
      <w:pPr>
        <w:pStyle w:val="Nessunaspaziatura"/>
      </w:pPr>
      <w:r>
        <w:t>●  Fase 3: oltre alle risorse disponibili nelle fasi precedenti</w:t>
      </w:r>
      <w:r w:rsidR="00BA097E">
        <w:t>,</w:t>
      </w:r>
      <w:r>
        <w:t xml:space="preserve"> saranno disponibili anche le risorse</w:t>
      </w:r>
      <w:r w:rsidR="00BA097E">
        <w:t xml:space="preserve"> </w:t>
      </w:r>
      <w:r>
        <w:t>AdverseEvent.</w:t>
      </w:r>
    </w:p>
    <w:p w14:paraId="33AC9DB9" w14:textId="77777777" w:rsidR="00872381" w:rsidRDefault="00872381" w:rsidP="00725CDD">
      <w:pPr>
        <w:pStyle w:val="Nessunaspaziatura"/>
      </w:pPr>
    </w:p>
    <w:p w14:paraId="16957046" w14:textId="64EB86E9" w:rsidR="00872381" w:rsidRDefault="00872381" w:rsidP="00872381">
      <w:pPr>
        <w:pStyle w:val="Nessunaspaziatura"/>
      </w:pPr>
      <w:r>
        <w:t>Nella figura sottostante viene rappresentata l’infrastruttura per la gestione dei documenti nel FSE e</w:t>
      </w:r>
      <w:r w:rsidR="00BA097E">
        <w:t xml:space="preserve"> </w:t>
      </w:r>
      <w:r>
        <w:t>delle informazioni necessarie al dossier farmaceutico.</w:t>
      </w:r>
    </w:p>
    <w:p w14:paraId="3A818819" w14:textId="6CE34402" w:rsidR="00872381" w:rsidRDefault="00872381" w:rsidP="00872381">
      <w:pPr>
        <w:pStyle w:val="Nessunaspaziatura"/>
      </w:pPr>
      <w:r>
        <w:t>I documenti clinici (ad esempio prescrizioni, erogazioni, lettere di dimissione ospedaliera, e</w:t>
      </w:r>
      <w:r w:rsidR="00BA097E">
        <w:t>t</w:t>
      </w:r>
      <w:r>
        <w:t>c.)</w:t>
      </w:r>
      <w:r w:rsidR="00BA097E">
        <w:t xml:space="preserve"> </w:t>
      </w:r>
      <w:r>
        <w:t xml:space="preserve">vengono indicizzati nel FSE mediante INI </w:t>
      </w:r>
      <w:r w:rsidR="00BA097E">
        <w:t xml:space="preserve">(Infrastruttura Nazionale per l’Interoperabilità del FSE) </w:t>
      </w:r>
      <w:r>
        <w:t>nella RDA del paziente. Le informazioni farmaceutiche</w:t>
      </w:r>
      <w:r w:rsidR="00BA097E">
        <w:t xml:space="preserve"> </w:t>
      </w:r>
      <w:r>
        <w:t>presenti in questi documenti verranno raccolt</w:t>
      </w:r>
      <w:r w:rsidR="00BA097E">
        <w:t>e</w:t>
      </w:r>
      <w:r>
        <w:t xml:space="preserve"> in risorse FHIR per i fini del dossier farmaceutico e</w:t>
      </w:r>
      <w:r w:rsidR="00BA097E">
        <w:t xml:space="preserve"> </w:t>
      </w:r>
      <w:r>
        <w:t>archiviate in un server FHIR gestito dalla RDA del paziente mediante INI.</w:t>
      </w:r>
    </w:p>
    <w:p w14:paraId="002B92E9" w14:textId="1446EF17" w:rsidR="00872381" w:rsidRDefault="00872381" w:rsidP="00872381">
      <w:pPr>
        <w:pStyle w:val="Nessunaspaziatura"/>
      </w:pPr>
      <w:r>
        <w:t>Per quanto riguarda il token di sicurezza</w:t>
      </w:r>
      <w:r w:rsidR="00BA097E">
        <w:t>, occorre</w:t>
      </w:r>
      <w:r>
        <w:t xml:space="preserve"> fare riferimento a quanto previsto nelle</w:t>
      </w:r>
      <w:r w:rsidR="00BA097E">
        <w:t xml:space="preserve"> </w:t>
      </w:r>
      <w:r>
        <w:t xml:space="preserve">specifiche </w:t>
      </w:r>
      <w:r w:rsidR="00BA097E">
        <w:t xml:space="preserve">tecniche per l’interoperabilità del FSE </w:t>
      </w:r>
      <w:r>
        <w:t>in riferimento all’infrastruttura di sicurezza.</w:t>
      </w:r>
    </w:p>
    <w:p w14:paraId="5FD4308C" w14:textId="71BDE8C3" w:rsidR="005A481E" w:rsidRDefault="005A481E" w:rsidP="005A481E">
      <w:pPr>
        <w:pStyle w:val="Nessunaspaziatura"/>
      </w:pPr>
      <w:r>
        <w:t xml:space="preserve">Per quanto concerne la </w:t>
      </w:r>
      <w:r w:rsidR="00BA097E">
        <w:t>g</w:t>
      </w:r>
      <w:r>
        <w:t xml:space="preserve">estione </w:t>
      </w:r>
      <w:r w:rsidR="00BA097E">
        <w:t>dell’</w:t>
      </w:r>
      <w:r>
        <w:t xml:space="preserve">oscuramento delle informazioni del dossier farmaceutico, la soluzione  individuata dal gruppo di lavoro n.3 </w:t>
      </w:r>
      <w:r w:rsidR="00BA097E">
        <w:t>può essere sintetizzata come segue</w:t>
      </w:r>
      <w:r>
        <w:t>:</w:t>
      </w:r>
    </w:p>
    <w:p w14:paraId="337A4E2A" w14:textId="77777777" w:rsidR="005A481E" w:rsidRDefault="005A481E" w:rsidP="005A481E">
      <w:pPr>
        <w:pStyle w:val="Nessunaspaziatura"/>
      </w:pPr>
    </w:p>
    <w:p w14:paraId="69B05846" w14:textId="7AB4714C" w:rsidR="005A481E" w:rsidRDefault="005A481E" w:rsidP="005A481E">
      <w:pPr>
        <w:pStyle w:val="Nessunaspaziatura"/>
        <w:numPr>
          <w:ilvl w:val="0"/>
          <w:numId w:val="5"/>
        </w:numPr>
      </w:pPr>
      <w:r>
        <w:t>Le risorse FHIR ereditano il livello di confidenzialità dei singoli documenti da cui originano e che vengono indicizzati nel FSE.</w:t>
      </w:r>
    </w:p>
    <w:p w14:paraId="6C4BABB0" w14:textId="77777777" w:rsidR="005A481E" w:rsidRDefault="005A481E" w:rsidP="005A481E">
      <w:pPr>
        <w:pStyle w:val="Nessunaspaziatura"/>
        <w:ind w:left="720"/>
      </w:pPr>
    </w:p>
    <w:p w14:paraId="7F0BF3AD" w14:textId="465CAC52" w:rsidR="005A481E" w:rsidRDefault="005A481E" w:rsidP="005A481E">
      <w:pPr>
        <w:pStyle w:val="Nessunaspaziatura"/>
        <w:numPr>
          <w:ilvl w:val="0"/>
          <w:numId w:val="5"/>
        </w:numPr>
      </w:pPr>
      <w:r>
        <w:t>Un cambio del livello di confidenzialità del singolo documento nel FSE aggiorna anche le risorse FHIR tramite l’utilizzo della risorsa Provenance.</w:t>
      </w:r>
    </w:p>
    <w:p w14:paraId="48C3E507" w14:textId="77777777" w:rsidR="005A481E" w:rsidRDefault="005A481E" w:rsidP="005A481E">
      <w:pPr>
        <w:pStyle w:val="Nessunaspaziatura"/>
      </w:pPr>
    </w:p>
    <w:p w14:paraId="7177B1E3" w14:textId="4C814205" w:rsidR="00872381" w:rsidRDefault="00872381" w:rsidP="00872381">
      <w:pPr>
        <w:pStyle w:val="Nessunaspaziatura"/>
      </w:pPr>
      <w:r>
        <w:t>L’alimentazione dei dati pregressi dovrà tener conto delle capacità delle Regioni</w:t>
      </w:r>
      <w:r w:rsidR="00BA097E">
        <w:t xml:space="preserve"> e di INI</w:t>
      </w:r>
      <w:r>
        <w:t xml:space="preserve"> di</w:t>
      </w:r>
      <w:r w:rsidR="00BA097E">
        <w:t xml:space="preserve"> </w:t>
      </w:r>
      <w:r>
        <w:t>creare e alimentare il FHIR server. Il documento da cui viene generata la risorsa FHIR (</w:t>
      </w:r>
      <w:r w:rsidR="00BA097E">
        <w:t xml:space="preserve">HL7 </w:t>
      </w:r>
      <w:r>
        <w:t>CDA2 di</w:t>
      </w:r>
      <w:r w:rsidR="00BA097E">
        <w:t xml:space="preserve"> </w:t>
      </w:r>
      <w:r>
        <w:t>prescrizione/</w:t>
      </w:r>
      <w:r w:rsidR="00BA097E">
        <w:t xml:space="preserve">HL7 </w:t>
      </w:r>
      <w:r>
        <w:t>CDA2 di erogazione) dovrà essere presente nel FSE. Ad oggi</w:t>
      </w:r>
      <w:r w:rsidR="00BA097E">
        <w:t>,</w:t>
      </w:r>
      <w:r>
        <w:t xml:space="preserve"> nel FSE sono presenti</w:t>
      </w:r>
      <w:r w:rsidR="00BA097E">
        <w:t xml:space="preserve"> </w:t>
      </w:r>
      <w:r>
        <w:t xml:space="preserve">documenti di prescrizione ed erogazione a partire dalla data del 01/09/2017. </w:t>
      </w:r>
      <w:r w:rsidR="00BA097E">
        <w:t>Alla luce del fatto che</w:t>
      </w:r>
      <w:r>
        <w:t xml:space="preserve"> sono in</w:t>
      </w:r>
      <w:r w:rsidR="00BA097E">
        <w:t xml:space="preserve"> </w:t>
      </w:r>
      <w:r>
        <w:t>corso analisi a livello nazionale, a seguito del Decreto Rilancio, sul tema della visibilità e</w:t>
      </w:r>
      <w:r w:rsidR="00BA097E">
        <w:t xml:space="preserve"> </w:t>
      </w:r>
      <w:r>
        <w:t>disponibilità dei dati pregressi, il dossier erediterà le logiche e vincoli che verranno definiti nel</w:t>
      </w:r>
      <w:r w:rsidR="00BA097E">
        <w:t xml:space="preserve"> </w:t>
      </w:r>
      <w:r>
        <w:t>prossimo DPCM.</w:t>
      </w:r>
    </w:p>
    <w:p w14:paraId="574AC9DC" w14:textId="50628C0F" w:rsidR="00872381" w:rsidRDefault="00872381" w:rsidP="00872381">
      <w:pPr>
        <w:pStyle w:val="Nessunaspaziatura"/>
      </w:pPr>
    </w:p>
    <w:p w14:paraId="6FA3F6A2" w14:textId="2E52110E" w:rsidR="007831A7" w:rsidRDefault="007831A7" w:rsidP="00872381">
      <w:pPr>
        <w:pStyle w:val="Nessunaspaziatura"/>
      </w:pPr>
      <w:r>
        <w:rPr>
          <w:noProof/>
        </w:rPr>
        <w:lastRenderedPageBreak/>
        <w:drawing>
          <wp:inline distT="0" distB="0" distL="0" distR="0" wp14:anchorId="726F8923" wp14:editId="32DB9E3B">
            <wp:extent cx="6121400" cy="60833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68A7" w14:textId="43698A1E" w:rsidR="007831A7" w:rsidRPr="00034B01" w:rsidRDefault="007831A7" w:rsidP="00872381">
      <w:pPr>
        <w:pStyle w:val="Nessunaspaziatura"/>
      </w:pPr>
    </w:p>
    <w:sectPr w:rsidR="007831A7" w:rsidRPr="00034B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4883"/>
    <w:multiLevelType w:val="hybridMultilevel"/>
    <w:tmpl w:val="10ACE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105FA"/>
    <w:multiLevelType w:val="hybridMultilevel"/>
    <w:tmpl w:val="ED100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D5CA7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B1DA5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A412B"/>
    <w:multiLevelType w:val="hybridMultilevel"/>
    <w:tmpl w:val="7B46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A6D18"/>
    <w:multiLevelType w:val="hybridMultilevel"/>
    <w:tmpl w:val="F3A46A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07B"/>
    <w:rsid w:val="00034B01"/>
    <w:rsid w:val="00076AAF"/>
    <w:rsid w:val="000C0B7F"/>
    <w:rsid w:val="000C2480"/>
    <w:rsid w:val="000F435D"/>
    <w:rsid w:val="00116D58"/>
    <w:rsid w:val="00197B28"/>
    <w:rsid w:val="001C03C4"/>
    <w:rsid w:val="001D2804"/>
    <w:rsid w:val="001E247D"/>
    <w:rsid w:val="00252254"/>
    <w:rsid w:val="00290C9F"/>
    <w:rsid w:val="00293B2A"/>
    <w:rsid w:val="00386C31"/>
    <w:rsid w:val="00392003"/>
    <w:rsid w:val="003A3EA7"/>
    <w:rsid w:val="003F3A8D"/>
    <w:rsid w:val="003F705E"/>
    <w:rsid w:val="004229EA"/>
    <w:rsid w:val="004E2BA1"/>
    <w:rsid w:val="00537BFF"/>
    <w:rsid w:val="00572134"/>
    <w:rsid w:val="005A481E"/>
    <w:rsid w:val="0061597D"/>
    <w:rsid w:val="00617276"/>
    <w:rsid w:val="00622BFD"/>
    <w:rsid w:val="00640A82"/>
    <w:rsid w:val="0065250E"/>
    <w:rsid w:val="00654889"/>
    <w:rsid w:val="00655A81"/>
    <w:rsid w:val="0068696E"/>
    <w:rsid w:val="00695C70"/>
    <w:rsid w:val="00725CDD"/>
    <w:rsid w:val="007775D0"/>
    <w:rsid w:val="007831A7"/>
    <w:rsid w:val="00801209"/>
    <w:rsid w:val="00872381"/>
    <w:rsid w:val="0096444A"/>
    <w:rsid w:val="009A056E"/>
    <w:rsid w:val="00A11A38"/>
    <w:rsid w:val="00A35A3A"/>
    <w:rsid w:val="00AD2B34"/>
    <w:rsid w:val="00BA097E"/>
    <w:rsid w:val="00C252FB"/>
    <w:rsid w:val="00D34C20"/>
    <w:rsid w:val="00D55953"/>
    <w:rsid w:val="00DD0177"/>
    <w:rsid w:val="00EC6453"/>
    <w:rsid w:val="00ED1DF7"/>
    <w:rsid w:val="00F03568"/>
    <w:rsid w:val="00F4307B"/>
    <w:rsid w:val="00F534B5"/>
    <w:rsid w:val="00F6012F"/>
    <w:rsid w:val="00FD13C1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B5D6"/>
  <w15:chartTrackingRefBased/>
  <w15:docId w15:val="{8C2EC9DA-5B57-46A1-B699-8B19F440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3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3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4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3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0C0B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C0B7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0356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1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13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A805A-D34D-440C-BC1E-BBFE73CA7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7</cp:revision>
  <dcterms:created xsi:type="dcterms:W3CDTF">2021-11-16T15:17:00Z</dcterms:created>
  <dcterms:modified xsi:type="dcterms:W3CDTF">2021-11-25T18:51:00Z</dcterms:modified>
</cp:coreProperties>
</file>