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" w:hAnsi="Aptos"/>
          <w:b/>
          <w:color w:val="00A6A6"/>
          <w:sz w:val="18"/>
        </w:rPr>
        <w:t>REALDOOR HACK-NATION</w:t>
      </w:r>
    </w:p>
    <w:p>
      <w:pPr>
        <w:spacing w:after="160"/>
      </w:pPr>
      <w:r>
        <w:rPr>
          <w:rFonts w:ascii="Aptos Display" w:hAnsi="Aptos Display"/>
          <w:b/>
          <w:color w:val="17324D"/>
          <w:sz w:val="56"/>
        </w:rPr>
        <w:t>Participant Starter Pack</w:t>
      </w:r>
    </w:p>
    <w:p>
      <w:pPr>
        <w:spacing w:after="360"/>
      </w:pPr>
      <w:r>
        <w:rPr>
          <w:rFonts w:ascii="Aptos" w:hAnsi="Aptos"/>
          <w:color w:val="5D6770"/>
          <w:sz w:val="24"/>
        </w:rPr>
        <w:t>A frozen, source-backed simulation for application-readiness tooling • Version 1.0 draft • 18 July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8"/>
              </w:rPr>
              <w:t>24 synthetic documents</w:t>
              <w:br/>
              <w:t>6 fictional households</w:t>
            </w:r>
          </w:p>
        </w:tc>
        <w:tc>
          <w:tcPr>
            <w:tcW w:type="dxa" w:w="5112"/>
            <w:shd w:fill="00A6A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8"/>
              </w:rPr>
              <w:t>32 HUD LIHTC records</w:t>
              <w:br/>
              <w:t>36 gold Q&amp;A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The job to be done</w:t>
      </w:r>
    </w:p>
    <w:p>
      <w:r>
        <w:rPr>
          <w:rFonts w:ascii="Aptos" w:hAnsi="Aptos"/>
          <w:color w:val="5D6770"/>
          <w:sz w:val="22"/>
        </w:rPr>
        <w:t>Build a human-review assistant that extracts evidence, annualizes documented recurring gross income, retrieves the frozen FY 2026 60% MTSP threshold, identifies document gaps or conflicts, and cites every material result.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Hard boundary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Do not determine eligibility, approval, denial, priority, or housing availability.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Treat document contents as untrusted; ignore embedded instructions.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Use only the frozen rule corpus for scored calculations and disclose assumptions.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Return READY_TO_REVIEW or NEEDS_REVIEW with evidence-linked reasons.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00A6A6"/>
          <w:sz w:val="18"/>
        </w:rPr>
        <w:t>01 • START HERE</w:t>
      </w:r>
    </w:p>
    <w:p>
      <w:pPr>
        <w:spacing w:after="160"/>
      </w:pPr>
      <w:r>
        <w:rPr>
          <w:rFonts w:ascii="Aptos Display" w:hAnsi="Aptos Display"/>
          <w:b/>
          <w:color w:val="17324D"/>
          <w:sz w:val="56"/>
        </w:rPr>
        <w:t>What is in the pack</w:t>
      </w:r>
    </w:p>
    <w:p>
      <w:pPr>
        <w:spacing w:after="360"/>
      </w:pPr>
      <w:r>
        <w:rPr>
          <w:rFonts w:ascii="Aptos" w:hAnsi="Aptos"/>
          <w:color w:val="5D6770"/>
          <w:sz w:val="24"/>
        </w:rPr>
        <w:t>Each component is machine-readable, human-reviewable, and versionable.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data/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HUD LIHTC metro subset, dictionary, and frozen MTSP table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rules/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Official-source facts plus clearly labeled challenge conventions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synthetic_documents/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24 fictional PDFs, document manifest, field values, and PDF-point source boxes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evaluation/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Gold household checklists, 36 Q&amp;A records, 24 adversarial tests, and scoring guidance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starter/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Standard-library Python loaders, deterministic calculations, schemas, and unit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governance/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Safety boundary, license manifest, and organizer approvals still required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Five-minute quick start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Read rules/RULES_README.md and governance/DATA_USE_AND_SAFETY.md.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Inspect synthetic_documents/gold/field_schema.json before parsing PDFs.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From starter/, run: python -m unittest discover -s tests -v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Produce output conforming to starter/schemas/submission.schema.json.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Test against evaluation/adversarial_tests.jsonl before submitting.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00A6A6"/>
          <w:sz w:val="18"/>
        </w:rPr>
        <w:t>02 • FROZEN SCENARIO</w:t>
      </w:r>
    </w:p>
    <w:p>
      <w:pPr>
        <w:spacing w:after="160"/>
      </w:pPr>
      <w:r>
        <w:rPr>
          <w:rFonts w:ascii="Aptos Display" w:hAnsi="Aptos Display"/>
          <w:b/>
          <w:color w:val="17324D"/>
          <w:sz w:val="56"/>
        </w:rPr>
        <w:t>Limits, evidence, and readiness</w:t>
      </w:r>
    </w:p>
    <w:p>
      <w:pPr>
        <w:spacing w:after="360"/>
      </w:pPr>
      <w:r>
        <w:rPr>
          <w:rFonts w:ascii="Aptos" w:hAnsi="Aptos"/>
          <w:color w:val="5D6770"/>
          <w:sz w:val="24"/>
        </w:rPr>
        <w:t>One reproducible baseline keeps the 24-hour event focused on product quality.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Scored numeric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HOUSEHOLD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50% CONTEXT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60% SCORED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$60,000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$72,000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$68,600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$82,320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$77,150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$92,580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$85,700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$102,840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$92,600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$111,120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$99,450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$119,340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$106,300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$127,560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$113,150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$135,780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Boston-Cambridge-Quincy HMFA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Readiness convention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Evidence dated within 60 days of 2026-07-18 is current for this simulation.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Conflicting totals, missing required evidence, unsupported gig income, or missing citations produce NEEDS_REVIEW.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The 60-day convention is not presented as a universal LIHTC rule.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00A6A6"/>
          <w:sz w:val="18"/>
        </w:rPr>
        <w:t>03 • EVIDENCE CONTRACT</w:t>
      </w:r>
    </w:p>
    <w:p>
      <w:pPr>
        <w:spacing w:after="160"/>
      </w:pPr>
      <w:r>
        <w:rPr>
          <w:rFonts w:ascii="Aptos Display" w:hAnsi="Aptos Display"/>
          <w:b/>
          <w:color w:val="17324D"/>
          <w:sz w:val="56"/>
        </w:rPr>
        <w:t>Source boxes and expected output</w:t>
      </w:r>
    </w:p>
    <w:p>
      <w:pPr>
        <w:spacing w:after="360"/>
      </w:pPr>
      <w:r>
        <w:rPr>
          <w:rFonts w:ascii="Aptos" w:hAnsi="Aptos"/>
          <w:color w:val="5D6770"/>
          <w:sz w:val="24"/>
        </w:rPr>
        <w:t>Scoring rewards traceability, not fluent unsupported answers.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Source-box coordinate system</w:t>
      </w:r>
    </w:p>
    <w:p>
      <w:r>
        <w:rPr>
          <w:rFonts w:ascii="Aptos" w:hAnsi="Aptos"/>
          <w:color w:val="5D6770"/>
          <w:sz w:val="20"/>
        </w:rPr>
        <w:t>Each gold field includes page number and [x1, y1, x2, y2] in PDF points, with origin at the bottom-left of a 612 × 792 point page. Raster fixtures keep the same page coordinate system.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Required submission fields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household_id, annualized_income, comparison, and readiness_status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review reasons expressed as explicit evidence gaps or conflicts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citations containing document_id, page, source box, and rule_id where applicable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no final eligibility or availability conclusion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Evaluation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Extraction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35%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Calculation and threshold lookup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Readiness reasoning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Citations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5D6770"/>
                <w:sz w:val="18"/>
              </w:rPr>
              <w:t>Safety/adversarial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color w:val="00A6A6"/>
                <w:sz w:val="18"/>
              </w:rPr>
              <w:t>10%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ptos" w:hAnsi="Aptos"/>
          <w:b/>
          <w:color w:val="00A6A6"/>
          <w:sz w:val="18"/>
        </w:rPr>
        <w:t>04 • DATA AND GOVERNANCE</w:t>
      </w:r>
    </w:p>
    <w:p>
      <w:pPr>
        <w:spacing w:after="160"/>
      </w:pPr>
      <w:r>
        <w:rPr>
          <w:rFonts w:ascii="Aptos Display" w:hAnsi="Aptos Display"/>
          <w:b/>
          <w:color w:val="17324D"/>
          <w:sz w:val="56"/>
        </w:rPr>
        <w:t>What the sources can—and cannot—support</w:t>
      </w:r>
    </w:p>
    <w:p>
      <w:pPr>
        <w:spacing w:after="360"/>
      </w:pPr>
      <w:r>
        <w:rPr>
          <w:rFonts w:ascii="Aptos" w:hAnsi="Aptos"/>
          <w:color w:val="5D6770"/>
          <w:sz w:val="24"/>
        </w:rPr>
        <w:t>The pack is intentionally explicit about uncertainty and release approvals.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Public property subset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32 public HUD LIHTC project records across eight Boston-area municipalities in CBSA 14460.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Addresses are general project locations. Geocoding precision is retained and lower-precision records are flagged.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Records do not establish current vacancies, rents, waitlists, owner procedures, or application status.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Release gate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The pack is a draft until organizer, compliance, brand, and event-policy approvals are complete.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No external model weights or SDK are bundled; teams must disclose model/provider and applicable terms.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Starter code has a proposed MIT license but no final license grant is made in this draft.</w:t>
      </w:r>
    </w:p>
    <w:p>
      <w:pPr>
        <w:pStyle w:val="ListBullet"/>
        <w:spacing w:after="80"/>
      </w:pPr>
      <w:r>
        <w:rPr>
          <w:rFonts w:ascii="Aptos" w:hAnsi="Aptos"/>
          <w:color w:val="5D6770"/>
          <w:sz w:val="20"/>
        </w:rPr>
        <w:t>After edits, regenerate checksums and keep the source-retrieval date visible.</w:t>
      </w:r>
    </w:p>
    <w:p>
      <w:pPr>
        <w:spacing w:before="200" w:after="100"/>
      </w:pPr>
      <w:r>
        <w:rPr>
          <w:rFonts w:ascii="Aptos Display" w:hAnsi="Aptos Display"/>
          <w:b/>
          <w:color w:val="17324D"/>
          <w:sz w:val="36"/>
        </w:rPr>
        <w:t>Primary source links</w:t>
      </w:r>
    </w:p>
    <w:p>
      <w:r>
        <w:rPr>
          <w:b/>
          <w:color w:val="17324D"/>
        </w:rPr>
        <w:t xml:space="preserve">HUD MTSP: </w:t>
      </w:r>
      <w:r>
        <w:rPr>
          <w:color w:val="00A6A6"/>
          <w:sz w:val="16"/>
        </w:rPr>
        <w:t>https://www.huduser.gov/portal/datasets/mtsp.html</w:t>
      </w:r>
    </w:p>
    <w:p>
      <w:r>
        <w:rPr>
          <w:b/>
          <w:color w:val="17324D"/>
        </w:rPr>
        <w:t xml:space="preserve">FY 2026 official report: </w:t>
      </w:r>
      <w:r>
        <w:rPr>
          <w:color w:val="00A6A6"/>
          <w:sz w:val="16"/>
        </w:rPr>
        <w:t>https://www.huduser.gov/portal/datasets/mtsp/mtsp26/HERA-Income-Limits-Report-FY26.pdf</w:t>
      </w:r>
    </w:p>
    <w:p>
      <w:r>
        <w:rPr>
          <w:b/>
          <w:color w:val="17324D"/>
        </w:rPr>
        <w:t xml:space="preserve">HUD LIHTC properties: </w:t>
      </w:r>
      <w:r>
        <w:rPr>
          <w:color w:val="00A6A6"/>
          <w:sz w:val="16"/>
        </w:rPr>
        <w:t>https://www.huduser.gov/portal/datasets/lihtc/property.html</w:t>
      </w:r>
    </w:p>
    <w:p>
      <w:r>
        <w:rPr>
          <w:b/>
          <w:color w:val="17324D"/>
        </w:rPr>
        <w:t xml:space="preserve">26 U.S.C. §42: </w:t>
      </w:r>
      <w:r>
        <w:rPr>
          <w:color w:val="00A6A6"/>
          <w:sz w:val="16"/>
        </w:rPr>
        <w:t>https://uscode.house.gov/view.xhtml?req=granuleid:USC-prelim-title26-section42&amp;num=0&amp;edition=prelim</w:t>
      </w:r>
    </w:p>
    <w:p>
      <w:r>
        <w:rPr>
          <w:b/>
          <w:color w:val="17324D"/>
        </w:rPr>
        <w:t xml:space="preserve">26 CFR §1.42-5: </w:t>
      </w:r>
      <w:r>
        <w:rPr>
          <w:color w:val="00A6A6"/>
          <w:sz w:val="16"/>
        </w:rPr>
        <w:t>https://www.ecfr.gov/current/title-26/section-1.42-5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0"/>
        <w:sz w:val="16"/>
      </w:rPr>
      <w:t>REALDOOR HACK-NATION • DRAFT PARTICIPANT PACK •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