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59"/>
        <w:ind w:left="4534"/>
      </w:pPr>
      <w:r>
        <w:rPr/>
        <w:pict>
          <v:shapetype id="_x0000_t202" o:spt="202" coordsize="21600,21600" path="m,l,21600r21600,l21600,xe">
            <v:stroke joinstyle="miter"/>
            <v:path gradientshapeok="t" o:connecttype="rect"/>
          </v:shapetype>
          <v:shape style="position:absolute;margin-left:58.080002pt;margin-top:2.851043pt;width:182.25pt;height:22.8pt;mso-position-horizontal-relative:page;mso-position-vertical-relative:paragraph;z-index:15730176" type="#_x0000_t202" filled="false" stroked="false">
            <v:textbox inset="0,0,0,0">
              <w:txbxContent>
                <w:p>
                  <w:pPr>
                    <w:spacing w:before="0"/>
                    <w:ind w:left="0" w:right="0" w:firstLine="0"/>
                    <w:jc w:val="left"/>
                    <w:rPr>
                      <w:b/>
                      <w:i/>
                      <w:sz w:val="40"/>
                    </w:rPr>
                  </w:pPr>
                  <w:r>
                    <w:rPr>
                      <w:b/>
                      <w:i/>
                      <w:sz w:val="40"/>
                    </w:rPr>
                    <w:t>Curriculum Vitae</w:t>
                  </w:r>
                </w:p>
              </w:txbxContent>
            </v:textbox>
            <w10:wrap type="none"/>
          </v:shape>
        </w:pict>
      </w:r>
      <w:r>
        <w:rPr/>
        <w:t>Olivia Karina Peter (Ms)</w:t>
      </w:r>
    </w:p>
    <w:p>
      <w:pPr>
        <w:pStyle w:val="BodyText"/>
        <w:spacing w:before="61"/>
        <w:ind w:left="4534"/>
      </w:pPr>
      <w:r>
        <w:rPr/>
        <w:t>Mobile: +65 8406 9099</w:t>
      </w:r>
    </w:p>
    <w:p>
      <w:pPr>
        <w:spacing w:before="59"/>
        <w:ind w:left="4534" w:right="0" w:firstLine="0"/>
        <w:jc w:val="left"/>
        <w:rPr>
          <w:b/>
          <w:sz w:val="21"/>
        </w:rPr>
      </w:pPr>
      <w:r>
        <w:rPr>
          <w:sz w:val="21"/>
        </w:rPr>
        <w:t>Email: </w:t>
      </w:r>
      <w:hyperlink r:id="rId6">
        <w:r>
          <w:rPr>
            <w:b/>
            <w:color w:val="0000FF"/>
            <w:sz w:val="21"/>
            <w:u w:val="single" w:color="0000FF"/>
          </w:rPr>
          <w:t>oliviapeter@hotmail.com</w:t>
        </w:r>
      </w:hyperlink>
    </w:p>
    <w:p>
      <w:pPr>
        <w:pStyle w:val="BodyText"/>
        <w:rPr>
          <w:b/>
          <w:sz w:val="23"/>
        </w:rPr>
      </w:pPr>
      <w:r>
        <w:rPr/>
        <w:pict>
          <v:shape style="position:absolute;margin-left:44.880001pt;margin-top:15.018709pt;width:473.9pt;height:.5pt;mso-position-horizontal-relative:page;mso-position-vertical-relative:paragraph;z-index:-15728640;mso-wrap-distance-left:0;mso-wrap-distance-right:0" coordorigin="898,300" coordsize="9478,10" path="m10375,300l4990,300,4985,300,4975,300,898,300,898,310,4975,310,4985,310,4990,310,10375,310,10375,300xe" filled="true" fillcolor="#1e477c" stroked="false">
            <v:path arrowok="t"/>
            <v:fill type="solid"/>
            <w10:wrap type="topAndBottom"/>
          </v:shape>
        </w:pict>
      </w:r>
    </w:p>
    <w:p>
      <w:pPr>
        <w:pStyle w:val="BodyText"/>
        <w:spacing w:before="6"/>
        <w:rPr>
          <w:b/>
          <w:sz w:val="10"/>
        </w:rPr>
      </w:pPr>
    </w:p>
    <w:p>
      <w:pPr>
        <w:pStyle w:val="Heading1"/>
        <w:spacing w:before="100"/>
      </w:pPr>
      <w:r>
        <w:rPr/>
        <w:t>Background</w:t>
      </w:r>
    </w:p>
    <w:p>
      <w:pPr>
        <w:pStyle w:val="BodyText"/>
        <w:spacing w:before="2"/>
        <w:rPr>
          <w:b/>
          <w:sz w:val="22"/>
        </w:rPr>
      </w:pPr>
    </w:p>
    <w:p>
      <w:pPr>
        <w:pStyle w:val="ListParagraph"/>
        <w:numPr>
          <w:ilvl w:val="0"/>
          <w:numId w:val="1"/>
        </w:numPr>
        <w:tabs>
          <w:tab w:pos="860" w:val="left" w:leader="none"/>
        </w:tabs>
        <w:spacing w:line="240" w:lineRule="auto" w:before="0" w:after="0"/>
        <w:ind w:left="860" w:right="155" w:hanging="360"/>
        <w:jc w:val="both"/>
        <w:rPr>
          <w:sz w:val="21"/>
        </w:rPr>
      </w:pPr>
      <w:r>
        <w:rPr>
          <w:sz w:val="21"/>
        </w:rPr>
        <w:t>Regulatory compliance specialist, particularly in the area of Anti-Money Laundering </w:t>
      </w:r>
      <w:r>
        <w:rPr>
          <w:spacing w:val="-3"/>
          <w:sz w:val="21"/>
        </w:rPr>
        <w:t>and </w:t>
      </w:r>
      <w:r>
        <w:rPr>
          <w:sz w:val="21"/>
        </w:rPr>
        <w:t>Countering Financing of Terrorism (AML/CFT) and regulations for banks and capital markets services licence</w:t>
      </w:r>
      <w:r>
        <w:rPr>
          <w:spacing w:val="-2"/>
          <w:sz w:val="21"/>
        </w:rPr>
        <w:t> </w:t>
      </w:r>
      <w:r>
        <w:rPr>
          <w:sz w:val="21"/>
        </w:rPr>
        <w:t>holders.</w:t>
      </w:r>
    </w:p>
    <w:p>
      <w:pPr>
        <w:pStyle w:val="BodyText"/>
        <w:spacing w:before="10"/>
        <w:rPr>
          <w:sz w:val="19"/>
        </w:rPr>
      </w:pPr>
    </w:p>
    <w:p>
      <w:pPr>
        <w:pStyle w:val="ListParagraph"/>
        <w:numPr>
          <w:ilvl w:val="0"/>
          <w:numId w:val="1"/>
        </w:numPr>
        <w:tabs>
          <w:tab w:pos="860" w:val="left" w:leader="none"/>
        </w:tabs>
        <w:spacing w:line="240" w:lineRule="auto" w:before="0" w:after="0"/>
        <w:ind w:left="860" w:right="156" w:hanging="360"/>
        <w:jc w:val="both"/>
        <w:rPr>
          <w:sz w:val="21"/>
        </w:rPr>
      </w:pPr>
      <w:r>
        <w:rPr>
          <w:sz w:val="21"/>
        </w:rPr>
        <w:t>Over 6 years of experience auditing financial institutions in Singapore and New Zealand and currently specialises in providing regulatory compliance advisory</w:t>
      </w:r>
      <w:r>
        <w:rPr>
          <w:spacing w:val="-12"/>
          <w:sz w:val="21"/>
        </w:rPr>
        <w:t> </w:t>
      </w:r>
      <w:r>
        <w:rPr>
          <w:sz w:val="21"/>
        </w:rPr>
        <w:t>services.</w:t>
      </w:r>
    </w:p>
    <w:p>
      <w:pPr>
        <w:pStyle w:val="BodyText"/>
        <w:spacing w:before="2"/>
      </w:pPr>
    </w:p>
    <w:p>
      <w:pPr>
        <w:pStyle w:val="ListParagraph"/>
        <w:numPr>
          <w:ilvl w:val="0"/>
          <w:numId w:val="1"/>
        </w:numPr>
        <w:tabs>
          <w:tab w:pos="860" w:val="left" w:leader="none"/>
        </w:tabs>
        <w:spacing w:line="240" w:lineRule="auto" w:before="0" w:after="0"/>
        <w:ind w:left="860" w:right="155" w:hanging="360"/>
        <w:jc w:val="both"/>
        <w:rPr>
          <w:sz w:val="21"/>
        </w:rPr>
      </w:pPr>
      <w:r>
        <w:rPr>
          <w:sz w:val="21"/>
        </w:rPr>
        <w:t>Developed strong project management and communication skills through the planning and coordination of audits with various stakeholders in order to produce multiple deliverables within tight</w:t>
      </w:r>
      <w:r>
        <w:rPr>
          <w:spacing w:val="-4"/>
          <w:sz w:val="21"/>
        </w:rPr>
        <w:t> </w:t>
      </w:r>
      <w:r>
        <w:rPr>
          <w:sz w:val="21"/>
        </w:rPr>
        <w:t>deadlines.</w:t>
      </w:r>
    </w:p>
    <w:p>
      <w:pPr>
        <w:pStyle w:val="BodyText"/>
        <w:spacing w:before="5"/>
        <w:rPr>
          <w:sz w:val="20"/>
        </w:rPr>
      </w:pPr>
      <w:r>
        <w:rPr/>
        <w:drawing>
          <wp:anchor distT="0" distB="0" distL="0" distR="0" allowOverlap="1" layoutInCell="1" locked="0" behindDoc="0" simplePos="0" relativeHeight="1">
            <wp:simplePos x="0" y="0"/>
            <wp:positionH relativeFrom="page">
              <wp:posOffset>633983</wp:posOffset>
            </wp:positionH>
            <wp:positionV relativeFrom="paragraph">
              <wp:posOffset>172523</wp:posOffset>
            </wp:positionV>
            <wp:extent cx="5961888" cy="1219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961888" cy="12191"/>
                    </a:xfrm>
                    <a:prstGeom prst="rect">
                      <a:avLst/>
                    </a:prstGeom>
                  </pic:spPr>
                </pic:pic>
              </a:graphicData>
            </a:graphic>
          </wp:anchor>
        </w:drawing>
      </w:r>
    </w:p>
    <w:p>
      <w:pPr>
        <w:pStyle w:val="BodyText"/>
        <w:spacing w:before="4"/>
        <w:rPr>
          <w:sz w:val="19"/>
        </w:rPr>
      </w:pPr>
    </w:p>
    <w:p>
      <w:pPr>
        <w:pStyle w:val="Heading1"/>
      </w:pPr>
      <w:r>
        <w:rPr/>
        <w:t>Education</w:t>
      </w:r>
    </w:p>
    <w:p>
      <w:pPr>
        <w:pStyle w:val="BodyText"/>
        <w:spacing w:before="8"/>
        <w:rPr>
          <w:b/>
        </w:rPr>
      </w:pPr>
    </w:p>
    <w:p>
      <w:pPr>
        <w:pStyle w:val="ListParagraph"/>
        <w:numPr>
          <w:ilvl w:val="0"/>
          <w:numId w:val="1"/>
        </w:numPr>
        <w:tabs>
          <w:tab w:pos="859" w:val="left" w:leader="none"/>
          <w:tab w:pos="860" w:val="left" w:leader="none"/>
        </w:tabs>
        <w:spacing w:line="256" w:lineRule="exact" w:before="1" w:after="0"/>
        <w:ind w:left="860" w:right="0" w:hanging="360"/>
        <w:jc w:val="left"/>
        <w:rPr>
          <w:sz w:val="20"/>
        </w:rPr>
      </w:pPr>
      <w:r>
        <w:rPr>
          <w:sz w:val="20"/>
        </w:rPr>
        <w:t>Bachelors of Accounting (Hons) from Nanyang Technological University</w:t>
      </w:r>
      <w:r>
        <w:rPr>
          <w:spacing w:val="-10"/>
          <w:sz w:val="20"/>
        </w:rPr>
        <w:t> </w:t>
      </w:r>
      <w:r>
        <w:rPr>
          <w:sz w:val="20"/>
        </w:rPr>
        <w:t>(Singapore)</w:t>
      </w:r>
    </w:p>
    <w:p>
      <w:pPr>
        <w:pStyle w:val="ListParagraph"/>
        <w:numPr>
          <w:ilvl w:val="0"/>
          <w:numId w:val="1"/>
        </w:numPr>
        <w:tabs>
          <w:tab w:pos="859" w:val="left" w:leader="none"/>
          <w:tab w:pos="860" w:val="left" w:leader="none"/>
        </w:tabs>
        <w:spacing w:line="256" w:lineRule="exact" w:before="0" w:after="0"/>
        <w:ind w:left="860" w:right="0" w:hanging="360"/>
        <w:jc w:val="left"/>
        <w:rPr>
          <w:sz w:val="20"/>
        </w:rPr>
      </w:pPr>
      <w:r>
        <w:rPr>
          <w:sz w:val="20"/>
        </w:rPr>
        <w:t>Member of Certified Practising Accountants of Australia (“CPA</w:t>
      </w:r>
      <w:r>
        <w:rPr>
          <w:spacing w:val="-7"/>
          <w:sz w:val="20"/>
        </w:rPr>
        <w:t> </w:t>
      </w:r>
      <w:r>
        <w:rPr>
          <w:sz w:val="20"/>
        </w:rPr>
        <w:t>Australia”)</w:t>
      </w:r>
    </w:p>
    <w:p>
      <w:pPr>
        <w:pStyle w:val="BodyText"/>
        <w:spacing w:before="4"/>
        <w:rPr>
          <w:sz w:val="20"/>
        </w:rPr>
      </w:pPr>
      <w:r>
        <w:rPr/>
        <w:drawing>
          <wp:anchor distT="0" distB="0" distL="0" distR="0" allowOverlap="1" layoutInCell="1" locked="0" behindDoc="0" simplePos="0" relativeHeight="2">
            <wp:simplePos x="0" y="0"/>
            <wp:positionH relativeFrom="page">
              <wp:posOffset>633983</wp:posOffset>
            </wp:positionH>
            <wp:positionV relativeFrom="paragraph">
              <wp:posOffset>171873</wp:posOffset>
            </wp:positionV>
            <wp:extent cx="5961888" cy="12191"/>
            <wp:effectExtent l="0" t="0" r="0" b="0"/>
            <wp:wrapTopAndBottom/>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5961888" cy="12191"/>
                    </a:xfrm>
                    <a:prstGeom prst="rect">
                      <a:avLst/>
                    </a:prstGeom>
                  </pic:spPr>
                </pic:pic>
              </a:graphicData>
            </a:graphic>
          </wp:anchor>
        </w:drawing>
      </w:r>
    </w:p>
    <w:p>
      <w:pPr>
        <w:pStyle w:val="Heading1"/>
        <w:spacing w:before="222"/>
      </w:pPr>
      <w:r>
        <w:rPr/>
        <w:t>Professional Experiences</w:t>
      </w:r>
    </w:p>
    <w:p>
      <w:pPr>
        <w:pStyle w:val="BodyText"/>
        <w:spacing w:before="3"/>
        <w:rPr>
          <w:b/>
          <w:sz w:val="25"/>
        </w:rPr>
      </w:pPr>
    </w:p>
    <w:p>
      <w:pPr>
        <w:pStyle w:val="Heading2"/>
        <w:tabs>
          <w:tab w:pos="7334" w:val="left" w:leader="none"/>
        </w:tabs>
      </w:pPr>
      <w:r>
        <w:rPr>
          <w:spacing w:val="-1"/>
          <w:w w:val="100"/>
        </w:rPr>
        <w:t>M</w:t>
      </w:r>
      <w:r>
        <w:rPr>
          <w:spacing w:val="-2"/>
          <w:w w:val="100"/>
        </w:rPr>
        <w:t>a</w:t>
      </w:r>
      <w:r>
        <w:rPr>
          <w:w w:val="100"/>
        </w:rPr>
        <w:t>n</w:t>
      </w:r>
      <w:r>
        <w:rPr>
          <w:spacing w:val="-1"/>
          <w:w w:val="100"/>
        </w:rPr>
        <w:t>a</w:t>
      </w:r>
      <w:r>
        <w:rPr>
          <w:w w:val="100"/>
        </w:rPr>
        <w:t>g</w:t>
      </w:r>
      <w:r>
        <w:rPr>
          <w:spacing w:val="-4"/>
          <w:w w:val="100"/>
        </w:rPr>
        <w:t>e</w:t>
      </w:r>
      <w:r>
        <w:rPr>
          <w:w w:val="100"/>
        </w:rPr>
        <w:t>r</w:t>
      </w:r>
      <w:r>
        <w:rPr/>
        <w:tab/>
      </w:r>
      <w:r>
        <w:rPr>
          <w:spacing w:val="-1"/>
          <w:w w:val="100"/>
        </w:rPr>
        <w:t>De</w:t>
      </w:r>
      <w:r>
        <w:rPr>
          <w:w w:val="100"/>
        </w:rPr>
        <w:t>c</w:t>
      </w:r>
      <w:r>
        <w:rPr/>
        <w:t> </w:t>
      </w:r>
      <w:r>
        <w:rPr>
          <w:smallCaps/>
          <w:spacing w:val="-1"/>
          <w:w w:val="100"/>
        </w:rPr>
        <w:t>2</w:t>
      </w:r>
      <w:r>
        <w:rPr>
          <w:smallCaps/>
          <w:w w:val="100"/>
        </w:rPr>
        <w:t>0</w:t>
      </w:r>
      <w:r>
        <w:rPr>
          <w:smallCaps w:val="0"/>
          <w:spacing w:val="-1"/>
          <w:w w:val="100"/>
        </w:rPr>
        <w:t>1</w:t>
      </w:r>
      <w:r>
        <w:rPr>
          <w:smallCaps w:val="0"/>
          <w:w w:val="100"/>
        </w:rPr>
        <w:t>4</w:t>
      </w:r>
      <w:r>
        <w:rPr>
          <w:smallCaps w:val="0"/>
          <w:spacing w:val="-1"/>
        </w:rPr>
        <w:t> </w:t>
      </w:r>
      <w:r>
        <w:rPr>
          <w:smallCaps w:val="0"/>
          <w:spacing w:val="-3"/>
          <w:w w:val="100"/>
        </w:rPr>
        <w:t>t</w:t>
      </w:r>
      <w:r>
        <w:rPr>
          <w:smallCaps w:val="0"/>
          <w:w w:val="100"/>
        </w:rPr>
        <w:t>o</w:t>
      </w:r>
      <w:r>
        <w:rPr>
          <w:smallCaps w:val="0"/>
          <w:spacing w:val="-1"/>
        </w:rPr>
        <w:t> </w:t>
      </w:r>
      <w:r>
        <w:rPr>
          <w:smallCaps w:val="0"/>
          <w:spacing w:val="-3"/>
          <w:w w:val="100"/>
        </w:rPr>
        <w:t>p</w:t>
      </w:r>
      <w:r>
        <w:rPr>
          <w:smallCaps w:val="0"/>
          <w:w w:val="100"/>
        </w:rPr>
        <w:t>r</w:t>
      </w:r>
      <w:r>
        <w:rPr>
          <w:smallCaps w:val="0"/>
          <w:spacing w:val="-1"/>
          <w:w w:val="100"/>
        </w:rPr>
        <w:t>ese</w:t>
      </w:r>
      <w:r>
        <w:rPr>
          <w:smallCaps w:val="0"/>
          <w:w w:val="100"/>
        </w:rPr>
        <w:t>nt</w:t>
      </w:r>
    </w:p>
    <w:p>
      <w:pPr>
        <w:pStyle w:val="BodyText"/>
        <w:spacing w:before="34"/>
        <w:ind w:left="456"/>
      </w:pPr>
      <w:r>
        <w:rPr/>
        <w:t>Regulatory Advisory Services</w:t>
      </w:r>
    </w:p>
    <w:p>
      <w:pPr>
        <w:pStyle w:val="BodyText"/>
        <w:spacing w:before="35"/>
        <w:ind w:left="456"/>
      </w:pPr>
      <w:r>
        <w:rPr/>
        <w:t>PricewaterhouseCoopers Risk Services Pte. Ltd., Singapore</w:t>
      </w:r>
    </w:p>
    <w:p>
      <w:pPr>
        <w:pStyle w:val="BodyText"/>
        <w:spacing w:before="3"/>
        <w:rPr>
          <w:sz w:val="23"/>
        </w:rPr>
      </w:pPr>
    </w:p>
    <w:p>
      <w:pPr>
        <w:pStyle w:val="ListParagraph"/>
        <w:numPr>
          <w:ilvl w:val="0"/>
          <w:numId w:val="1"/>
        </w:numPr>
        <w:tabs>
          <w:tab w:pos="860" w:val="left" w:leader="none"/>
        </w:tabs>
        <w:spacing w:line="240" w:lineRule="auto" w:before="0" w:after="0"/>
        <w:ind w:left="860" w:right="126" w:hanging="360"/>
        <w:jc w:val="both"/>
        <w:rPr>
          <w:sz w:val="21"/>
        </w:rPr>
      </w:pPr>
      <w:r>
        <w:rPr>
          <w:sz w:val="21"/>
        </w:rPr>
        <w:t>Subject Matter Expert (“SME”) for a team of 30 staff performing client due diligence reviews for a Swiss bank undergoing acquisition. The scope included the review of 400+ high risk accounts within 6 weeks and required coordination and communication with various stakeholders in both the acquirer and target banks. This included tabling of risks associated with accounts as well as mitigating factors to senior management for their decision</w:t>
      </w:r>
      <w:r>
        <w:rPr>
          <w:spacing w:val="-35"/>
          <w:sz w:val="21"/>
        </w:rPr>
        <w:t> </w:t>
      </w:r>
      <w:r>
        <w:rPr>
          <w:sz w:val="21"/>
        </w:rPr>
        <w:t>making.</w:t>
      </w:r>
    </w:p>
    <w:p>
      <w:pPr>
        <w:pStyle w:val="BodyText"/>
        <w:spacing w:before="4"/>
        <w:rPr>
          <w:sz w:val="26"/>
        </w:rPr>
      </w:pPr>
    </w:p>
    <w:p>
      <w:pPr>
        <w:pStyle w:val="ListParagraph"/>
        <w:numPr>
          <w:ilvl w:val="0"/>
          <w:numId w:val="1"/>
        </w:numPr>
        <w:tabs>
          <w:tab w:pos="860" w:val="left" w:leader="none"/>
        </w:tabs>
        <w:spacing w:line="240" w:lineRule="auto" w:before="1" w:after="0"/>
        <w:ind w:left="860" w:right="126" w:hanging="360"/>
        <w:jc w:val="both"/>
        <w:rPr>
          <w:sz w:val="21"/>
        </w:rPr>
      </w:pPr>
      <w:r>
        <w:rPr>
          <w:sz w:val="21"/>
        </w:rPr>
        <w:t>Subject Matter Expert (“SME”) and Team Leader for a KYC remediation project. Assisted a British bank in performing a one-off ‘back-book’ file review and remediation exercise for Hong Kong and Singapore booked and/or managed client accounts (approximately 4,300 accounts in total). Aspects of the file review and remediation processing included among others, the assessment of the risk rating of the Bank’s clients, performing a gap analysis of the KYC, performing adverse news checks, transaction reviews and the profiling of the Bank’s clients source of wealth with the assistance of the</w:t>
      </w:r>
      <w:r>
        <w:rPr>
          <w:spacing w:val="-5"/>
          <w:sz w:val="21"/>
        </w:rPr>
        <w:t> </w:t>
      </w:r>
      <w:r>
        <w:rPr>
          <w:sz w:val="21"/>
        </w:rPr>
        <w:t>bankers.</w:t>
      </w:r>
    </w:p>
    <w:p>
      <w:pPr>
        <w:pStyle w:val="BodyText"/>
        <w:spacing w:before="9"/>
      </w:pPr>
    </w:p>
    <w:p>
      <w:pPr>
        <w:pStyle w:val="ListParagraph"/>
        <w:numPr>
          <w:ilvl w:val="0"/>
          <w:numId w:val="1"/>
        </w:numPr>
        <w:tabs>
          <w:tab w:pos="860" w:val="left" w:leader="none"/>
        </w:tabs>
        <w:spacing w:line="242" w:lineRule="auto" w:before="0" w:after="0"/>
        <w:ind w:left="860" w:right="126" w:hanging="360"/>
        <w:jc w:val="both"/>
        <w:rPr>
          <w:sz w:val="21"/>
        </w:rPr>
      </w:pPr>
      <w:r>
        <w:rPr>
          <w:sz w:val="21"/>
        </w:rPr>
        <w:t>Provided annual regulatory audit support and assessed clients’ compliance to Anti-Money Laundering Guidelines and regulators expectations for PwC’s bank clients as part of their reporting to the Monetary Authority of Singapore. For the gaps identified, provide recommendations based on our experience/understanding of the local regulator’s expectations and industry practices. PwC’s bank clients include retail, commercial and private banking</w:t>
      </w:r>
      <w:r>
        <w:rPr>
          <w:spacing w:val="-1"/>
          <w:sz w:val="21"/>
        </w:rPr>
        <w:t> </w:t>
      </w:r>
      <w:r>
        <w:rPr>
          <w:sz w:val="21"/>
        </w:rPr>
        <w:t>institutions.</w:t>
      </w:r>
    </w:p>
    <w:p>
      <w:pPr>
        <w:spacing w:after="0" w:line="242" w:lineRule="auto"/>
        <w:jc w:val="both"/>
        <w:rPr>
          <w:sz w:val="21"/>
        </w:rPr>
        <w:sectPr>
          <w:headerReference w:type="default" r:id="rId5"/>
          <w:type w:val="continuous"/>
          <w:pgSz w:w="11900" w:h="16840"/>
          <w:pgMar w:header="2071" w:top="2400" w:bottom="280" w:left="880" w:right="1400"/>
        </w:sectPr>
      </w:pPr>
    </w:p>
    <w:p>
      <w:pPr>
        <w:pStyle w:val="BodyText"/>
        <w:spacing w:before="2"/>
        <w:rPr>
          <w:sz w:val="12"/>
        </w:rPr>
      </w:pPr>
    </w:p>
    <w:p>
      <w:pPr>
        <w:pStyle w:val="ListParagraph"/>
        <w:numPr>
          <w:ilvl w:val="0"/>
          <w:numId w:val="1"/>
        </w:numPr>
        <w:tabs>
          <w:tab w:pos="859" w:val="left" w:leader="none"/>
          <w:tab w:pos="860" w:val="left" w:leader="none"/>
        </w:tabs>
        <w:spacing w:line="240" w:lineRule="auto" w:before="101" w:after="0"/>
        <w:ind w:left="860" w:right="126" w:hanging="360"/>
        <w:jc w:val="left"/>
        <w:rPr>
          <w:sz w:val="21"/>
        </w:rPr>
      </w:pPr>
      <w:r>
        <w:rPr>
          <w:sz w:val="21"/>
        </w:rPr>
        <w:t>Performed gap analysis and recommended enhancements to a foreign bank's wire transfer policies and procedures in line with Singapore regulations and industry</w:t>
      </w:r>
      <w:r>
        <w:rPr>
          <w:spacing w:val="-20"/>
          <w:sz w:val="21"/>
        </w:rPr>
        <w:t> </w:t>
      </w:r>
      <w:r>
        <w:rPr>
          <w:sz w:val="21"/>
        </w:rPr>
        <w:t>standards.</w:t>
      </w:r>
    </w:p>
    <w:p>
      <w:pPr>
        <w:pStyle w:val="BodyText"/>
        <w:spacing w:before="1"/>
        <w:rPr>
          <w:sz w:val="26"/>
        </w:rPr>
      </w:pPr>
    </w:p>
    <w:p>
      <w:pPr>
        <w:pStyle w:val="ListParagraph"/>
        <w:numPr>
          <w:ilvl w:val="0"/>
          <w:numId w:val="1"/>
        </w:numPr>
        <w:tabs>
          <w:tab w:pos="859" w:val="left" w:leader="none"/>
          <w:tab w:pos="860" w:val="left" w:leader="none"/>
        </w:tabs>
        <w:spacing w:line="240" w:lineRule="auto" w:before="0" w:after="0"/>
        <w:ind w:left="860" w:right="0" w:hanging="360"/>
        <w:jc w:val="left"/>
        <w:rPr>
          <w:sz w:val="21"/>
        </w:rPr>
      </w:pPr>
      <w:r>
        <w:rPr>
          <w:sz w:val="21"/>
        </w:rPr>
        <w:t>Conducted internal AML trainings for the assurance</w:t>
      </w:r>
      <w:r>
        <w:rPr>
          <w:spacing w:val="-10"/>
          <w:sz w:val="21"/>
        </w:rPr>
        <w:t> </w:t>
      </w:r>
      <w:r>
        <w:rPr>
          <w:sz w:val="21"/>
        </w:rPr>
        <w:t>department</w:t>
      </w:r>
    </w:p>
    <w:p>
      <w:pPr>
        <w:pStyle w:val="Heading2"/>
        <w:tabs>
          <w:tab w:pos="6614" w:val="left" w:leader="none"/>
        </w:tabs>
        <w:spacing w:before="227"/>
      </w:pPr>
      <w:r>
        <w:rPr>
          <w:spacing w:val="-1"/>
          <w:w w:val="100"/>
        </w:rPr>
        <w:t>Se</w:t>
      </w:r>
      <w:r>
        <w:rPr>
          <w:w w:val="100"/>
        </w:rPr>
        <w:t>n</w:t>
      </w:r>
      <w:r>
        <w:rPr>
          <w:spacing w:val="-1"/>
          <w:w w:val="100"/>
        </w:rPr>
        <w:t>i</w:t>
      </w:r>
      <w:r>
        <w:rPr>
          <w:spacing w:val="-3"/>
          <w:w w:val="100"/>
        </w:rPr>
        <w:t>o</w:t>
      </w:r>
      <w:r>
        <w:rPr>
          <w:w w:val="100"/>
        </w:rPr>
        <w:t>r</w:t>
      </w:r>
      <w:r>
        <w:rPr/>
        <w:t> </w:t>
      </w:r>
      <w:r>
        <w:rPr>
          <w:w w:val="100"/>
        </w:rPr>
        <w:t>A</w:t>
      </w:r>
      <w:r>
        <w:rPr>
          <w:spacing w:val="-1"/>
          <w:w w:val="100"/>
        </w:rPr>
        <w:t>s</w:t>
      </w:r>
      <w:r>
        <w:rPr>
          <w:spacing w:val="-3"/>
          <w:w w:val="100"/>
        </w:rPr>
        <w:t>s</w:t>
      </w:r>
      <w:r>
        <w:rPr>
          <w:w w:val="100"/>
        </w:rPr>
        <w:t>oc</w:t>
      </w:r>
      <w:r>
        <w:rPr>
          <w:spacing w:val="-1"/>
          <w:w w:val="100"/>
        </w:rPr>
        <w:t>iat</w:t>
      </w:r>
      <w:r>
        <w:rPr>
          <w:w w:val="100"/>
        </w:rPr>
        <w:t>e</w:t>
      </w:r>
      <w:r>
        <w:rPr/>
        <w:tab/>
      </w:r>
      <w:r>
        <w:rPr>
          <w:w w:val="100"/>
        </w:rPr>
        <w:t>Nov</w:t>
      </w:r>
      <w:r>
        <w:rPr>
          <w:spacing w:val="-1"/>
        </w:rPr>
        <w:t> </w:t>
      </w:r>
      <w:r>
        <w:rPr>
          <w:smallCaps/>
          <w:spacing w:val="-3"/>
          <w:w w:val="100"/>
        </w:rPr>
        <w:t>2</w:t>
      </w:r>
      <w:r>
        <w:rPr>
          <w:smallCaps w:val="0"/>
          <w:w w:val="100"/>
        </w:rPr>
        <w:t>0</w:t>
      </w:r>
      <w:r>
        <w:rPr>
          <w:smallCaps w:val="0"/>
          <w:spacing w:val="-1"/>
          <w:w w:val="100"/>
        </w:rPr>
        <w:t>1</w:t>
      </w:r>
      <w:r>
        <w:rPr>
          <w:smallCaps w:val="0"/>
          <w:w w:val="100"/>
        </w:rPr>
        <w:t>3</w:t>
      </w:r>
      <w:r>
        <w:rPr>
          <w:smallCaps w:val="0"/>
          <w:spacing w:val="-1"/>
        </w:rPr>
        <w:t> </w:t>
      </w:r>
      <w:r>
        <w:rPr>
          <w:smallCaps w:val="0"/>
          <w:spacing w:val="-3"/>
          <w:w w:val="100"/>
        </w:rPr>
        <w:t>t</w:t>
      </w:r>
      <w:r>
        <w:rPr>
          <w:smallCaps w:val="0"/>
          <w:w w:val="100"/>
        </w:rPr>
        <w:t>o</w:t>
      </w:r>
      <w:r>
        <w:rPr>
          <w:smallCaps w:val="0"/>
          <w:spacing w:val="-1"/>
        </w:rPr>
        <w:t> </w:t>
      </w:r>
      <w:r>
        <w:rPr>
          <w:smallCaps w:val="0"/>
          <w:w w:val="100"/>
        </w:rPr>
        <w:t>N</w:t>
      </w:r>
      <w:r>
        <w:rPr>
          <w:smallCaps w:val="0"/>
          <w:spacing w:val="-3"/>
          <w:w w:val="100"/>
        </w:rPr>
        <w:t>o</w:t>
      </w:r>
      <w:r>
        <w:rPr>
          <w:smallCaps w:val="0"/>
          <w:w w:val="100"/>
        </w:rPr>
        <w:t>v</w:t>
      </w:r>
      <w:r>
        <w:rPr>
          <w:smallCaps w:val="0"/>
          <w:spacing w:val="-1"/>
        </w:rPr>
        <w:t> </w:t>
      </w:r>
      <w:r>
        <w:rPr>
          <w:smallCaps/>
          <w:spacing w:val="-1"/>
          <w:w w:val="100"/>
        </w:rPr>
        <w:t>2</w:t>
      </w:r>
      <w:r>
        <w:rPr>
          <w:smallCaps/>
          <w:spacing w:val="-2"/>
          <w:w w:val="100"/>
        </w:rPr>
        <w:t>0</w:t>
      </w:r>
      <w:r>
        <w:rPr>
          <w:smallCaps w:val="0"/>
          <w:spacing w:val="-1"/>
          <w:w w:val="100"/>
        </w:rPr>
        <w:t>1</w:t>
      </w:r>
      <w:r>
        <w:rPr>
          <w:smallCaps w:val="0"/>
          <w:w w:val="100"/>
        </w:rPr>
        <w:t>4</w:t>
      </w:r>
    </w:p>
    <w:p>
      <w:pPr>
        <w:pStyle w:val="BodyText"/>
        <w:spacing w:before="35"/>
        <w:ind w:left="456"/>
      </w:pPr>
      <w:r>
        <w:rPr/>
        <w:t>Financial Services</w:t>
      </w:r>
    </w:p>
    <w:p>
      <w:pPr>
        <w:pStyle w:val="BodyText"/>
        <w:spacing w:before="1"/>
        <w:ind w:left="456"/>
      </w:pPr>
      <w:r>
        <w:rPr/>
        <w:t>PricewaterhouseCoopers (“PwC”) New Zealand, Auckland Office</w:t>
      </w:r>
    </w:p>
    <w:p>
      <w:pPr>
        <w:pStyle w:val="BodyText"/>
        <w:spacing w:before="1"/>
      </w:pPr>
    </w:p>
    <w:p>
      <w:pPr>
        <w:pStyle w:val="ListParagraph"/>
        <w:numPr>
          <w:ilvl w:val="0"/>
          <w:numId w:val="1"/>
        </w:numPr>
        <w:tabs>
          <w:tab w:pos="859" w:val="left" w:leader="none"/>
          <w:tab w:pos="860" w:val="left" w:leader="none"/>
        </w:tabs>
        <w:spacing w:line="240" w:lineRule="auto" w:before="0" w:after="0"/>
        <w:ind w:left="860" w:right="560" w:hanging="360"/>
        <w:jc w:val="left"/>
        <w:rPr>
          <w:sz w:val="21"/>
        </w:rPr>
      </w:pPr>
      <w:r>
        <w:rPr>
          <w:sz w:val="21"/>
        </w:rPr>
        <w:t>Understanding</w:t>
      </w:r>
      <w:r>
        <w:rPr>
          <w:spacing w:val="-4"/>
          <w:sz w:val="21"/>
        </w:rPr>
        <w:t> </w:t>
      </w:r>
      <w:r>
        <w:rPr>
          <w:sz w:val="21"/>
        </w:rPr>
        <w:t>and</w:t>
      </w:r>
      <w:r>
        <w:rPr>
          <w:spacing w:val="-3"/>
          <w:sz w:val="21"/>
        </w:rPr>
        <w:t> </w:t>
      </w:r>
      <w:r>
        <w:rPr>
          <w:sz w:val="21"/>
        </w:rPr>
        <w:t>evaluating</w:t>
      </w:r>
      <w:r>
        <w:rPr>
          <w:spacing w:val="-3"/>
          <w:sz w:val="21"/>
        </w:rPr>
        <w:t> </w:t>
      </w:r>
      <w:r>
        <w:rPr>
          <w:sz w:val="21"/>
        </w:rPr>
        <w:t>client’s</w:t>
      </w:r>
      <w:r>
        <w:rPr>
          <w:spacing w:val="-4"/>
          <w:sz w:val="21"/>
        </w:rPr>
        <w:t> </w:t>
      </w:r>
      <w:r>
        <w:rPr>
          <w:sz w:val="21"/>
        </w:rPr>
        <w:t>business</w:t>
      </w:r>
      <w:r>
        <w:rPr>
          <w:spacing w:val="-4"/>
          <w:sz w:val="21"/>
        </w:rPr>
        <w:t> </w:t>
      </w:r>
      <w:r>
        <w:rPr>
          <w:sz w:val="21"/>
        </w:rPr>
        <w:t>processes</w:t>
      </w:r>
      <w:r>
        <w:rPr>
          <w:spacing w:val="-4"/>
          <w:sz w:val="21"/>
        </w:rPr>
        <w:t> </w:t>
      </w:r>
      <w:r>
        <w:rPr>
          <w:sz w:val="21"/>
        </w:rPr>
        <w:t>and</w:t>
      </w:r>
      <w:r>
        <w:rPr>
          <w:spacing w:val="-3"/>
          <w:sz w:val="21"/>
        </w:rPr>
        <w:t> </w:t>
      </w:r>
      <w:r>
        <w:rPr>
          <w:sz w:val="21"/>
        </w:rPr>
        <w:t>formulating</w:t>
      </w:r>
      <w:r>
        <w:rPr>
          <w:spacing w:val="-3"/>
          <w:sz w:val="21"/>
        </w:rPr>
        <w:t> </w:t>
      </w:r>
      <w:r>
        <w:rPr>
          <w:sz w:val="21"/>
        </w:rPr>
        <w:t>the</w:t>
      </w:r>
      <w:r>
        <w:rPr>
          <w:spacing w:val="-5"/>
          <w:sz w:val="21"/>
        </w:rPr>
        <w:t> </w:t>
      </w:r>
      <w:r>
        <w:rPr>
          <w:sz w:val="21"/>
        </w:rPr>
        <w:t>audit</w:t>
      </w:r>
      <w:r>
        <w:rPr>
          <w:spacing w:val="-5"/>
          <w:sz w:val="21"/>
        </w:rPr>
        <w:t> </w:t>
      </w:r>
      <w:r>
        <w:rPr>
          <w:sz w:val="21"/>
        </w:rPr>
        <w:t>plan based on the assessed risks with the goal to increase audit</w:t>
      </w:r>
      <w:r>
        <w:rPr>
          <w:spacing w:val="-17"/>
          <w:sz w:val="21"/>
        </w:rPr>
        <w:t> </w:t>
      </w:r>
      <w:r>
        <w:rPr>
          <w:sz w:val="21"/>
        </w:rPr>
        <w:t>efficiency.</w:t>
      </w:r>
    </w:p>
    <w:p>
      <w:pPr>
        <w:pStyle w:val="BodyText"/>
        <w:spacing w:before="2"/>
      </w:pPr>
    </w:p>
    <w:p>
      <w:pPr>
        <w:pStyle w:val="ListParagraph"/>
        <w:numPr>
          <w:ilvl w:val="0"/>
          <w:numId w:val="1"/>
        </w:numPr>
        <w:tabs>
          <w:tab w:pos="859" w:val="left" w:leader="none"/>
          <w:tab w:pos="860" w:val="left" w:leader="none"/>
        </w:tabs>
        <w:spacing w:line="240" w:lineRule="auto" w:before="1" w:after="0"/>
        <w:ind w:left="860" w:right="236" w:hanging="360"/>
        <w:jc w:val="left"/>
        <w:rPr>
          <w:sz w:val="21"/>
        </w:rPr>
      </w:pPr>
      <w:r>
        <w:rPr>
          <w:sz w:val="21"/>
        </w:rPr>
        <w:t>Liaising with the various lines of services within the firm and the PwC international</w:t>
      </w:r>
      <w:r>
        <w:rPr>
          <w:spacing w:val="-34"/>
          <w:sz w:val="21"/>
        </w:rPr>
        <w:t> </w:t>
      </w:r>
      <w:r>
        <w:rPr>
          <w:sz w:val="21"/>
        </w:rPr>
        <w:t>network as well as the clients finance</w:t>
      </w:r>
      <w:r>
        <w:rPr>
          <w:spacing w:val="-4"/>
          <w:sz w:val="21"/>
        </w:rPr>
        <w:t> </w:t>
      </w:r>
      <w:r>
        <w:rPr>
          <w:sz w:val="21"/>
        </w:rPr>
        <w:t>team.</w:t>
      </w:r>
    </w:p>
    <w:p>
      <w:pPr>
        <w:pStyle w:val="BodyText"/>
        <w:rPr>
          <w:sz w:val="26"/>
        </w:rPr>
      </w:pPr>
    </w:p>
    <w:p>
      <w:pPr>
        <w:pStyle w:val="ListParagraph"/>
        <w:numPr>
          <w:ilvl w:val="0"/>
          <w:numId w:val="1"/>
        </w:numPr>
        <w:tabs>
          <w:tab w:pos="859" w:val="left" w:leader="none"/>
          <w:tab w:pos="860" w:val="left" w:leader="none"/>
        </w:tabs>
        <w:spacing w:line="240" w:lineRule="auto" w:before="0" w:after="0"/>
        <w:ind w:left="860" w:right="516" w:hanging="360"/>
        <w:jc w:val="left"/>
        <w:rPr>
          <w:sz w:val="21"/>
        </w:rPr>
      </w:pPr>
      <w:r>
        <w:rPr>
          <w:sz w:val="21"/>
        </w:rPr>
        <w:t>Review</w:t>
      </w:r>
      <w:r>
        <w:rPr>
          <w:spacing w:val="-3"/>
          <w:sz w:val="21"/>
        </w:rPr>
        <w:t> </w:t>
      </w:r>
      <w:r>
        <w:rPr>
          <w:sz w:val="21"/>
        </w:rPr>
        <w:t>of</w:t>
      </w:r>
      <w:r>
        <w:rPr>
          <w:spacing w:val="-2"/>
          <w:sz w:val="21"/>
        </w:rPr>
        <w:t> </w:t>
      </w:r>
      <w:r>
        <w:rPr>
          <w:sz w:val="21"/>
        </w:rPr>
        <w:t>capital</w:t>
      </w:r>
      <w:r>
        <w:rPr>
          <w:spacing w:val="-3"/>
          <w:sz w:val="21"/>
        </w:rPr>
        <w:t> </w:t>
      </w:r>
      <w:r>
        <w:rPr>
          <w:sz w:val="21"/>
        </w:rPr>
        <w:t>adequacy</w:t>
      </w:r>
      <w:r>
        <w:rPr>
          <w:spacing w:val="-4"/>
          <w:sz w:val="21"/>
        </w:rPr>
        <w:t> </w:t>
      </w:r>
      <w:r>
        <w:rPr>
          <w:sz w:val="21"/>
        </w:rPr>
        <w:t>calculations</w:t>
      </w:r>
      <w:r>
        <w:rPr>
          <w:spacing w:val="-3"/>
          <w:sz w:val="21"/>
        </w:rPr>
        <w:t> </w:t>
      </w:r>
      <w:r>
        <w:rPr>
          <w:sz w:val="21"/>
        </w:rPr>
        <w:t>and</w:t>
      </w:r>
      <w:r>
        <w:rPr>
          <w:spacing w:val="-4"/>
          <w:sz w:val="21"/>
        </w:rPr>
        <w:t> </w:t>
      </w:r>
      <w:r>
        <w:rPr>
          <w:sz w:val="21"/>
        </w:rPr>
        <w:t>disclosures</w:t>
      </w:r>
      <w:r>
        <w:rPr>
          <w:spacing w:val="-3"/>
          <w:sz w:val="21"/>
        </w:rPr>
        <w:t> </w:t>
      </w:r>
      <w:r>
        <w:rPr>
          <w:sz w:val="21"/>
        </w:rPr>
        <w:t>to</w:t>
      </w:r>
      <w:r>
        <w:rPr>
          <w:spacing w:val="-4"/>
          <w:sz w:val="21"/>
        </w:rPr>
        <w:t> </w:t>
      </w:r>
      <w:r>
        <w:rPr>
          <w:sz w:val="21"/>
        </w:rPr>
        <w:t>ensure</w:t>
      </w:r>
      <w:r>
        <w:rPr>
          <w:spacing w:val="-2"/>
          <w:sz w:val="21"/>
        </w:rPr>
        <w:t> </w:t>
      </w:r>
      <w:r>
        <w:rPr>
          <w:sz w:val="21"/>
        </w:rPr>
        <w:t>its</w:t>
      </w:r>
      <w:r>
        <w:rPr>
          <w:spacing w:val="-3"/>
          <w:sz w:val="21"/>
        </w:rPr>
        <w:t> </w:t>
      </w:r>
      <w:r>
        <w:rPr>
          <w:sz w:val="21"/>
        </w:rPr>
        <w:t>compliance</w:t>
      </w:r>
      <w:r>
        <w:rPr>
          <w:spacing w:val="-4"/>
          <w:sz w:val="21"/>
        </w:rPr>
        <w:t> </w:t>
      </w:r>
      <w:r>
        <w:rPr>
          <w:sz w:val="21"/>
        </w:rPr>
        <w:t>with</w:t>
      </w:r>
      <w:r>
        <w:rPr>
          <w:spacing w:val="-3"/>
          <w:sz w:val="21"/>
        </w:rPr>
        <w:t> </w:t>
      </w:r>
      <w:r>
        <w:rPr>
          <w:sz w:val="21"/>
        </w:rPr>
        <w:t>the capital adequacy framework as mandated by the Reserve Bank of New</w:t>
      </w:r>
      <w:r>
        <w:rPr>
          <w:spacing w:val="-23"/>
          <w:sz w:val="21"/>
        </w:rPr>
        <w:t> </w:t>
      </w:r>
      <w:r>
        <w:rPr>
          <w:sz w:val="21"/>
        </w:rPr>
        <w:t>Zealand.</w:t>
      </w:r>
    </w:p>
    <w:p>
      <w:pPr>
        <w:pStyle w:val="BodyText"/>
        <w:spacing w:before="1"/>
        <w:rPr>
          <w:sz w:val="26"/>
        </w:rPr>
      </w:pPr>
    </w:p>
    <w:p>
      <w:pPr>
        <w:pStyle w:val="ListParagraph"/>
        <w:numPr>
          <w:ilvl w:val="0"/>
          <w:numId w:val="1"/>
        </w:numPr>
        <w:tabs>
          <w:tab w:pos="859" w:val="left" w:leader="none"/>
          <w:tab w:pos="860" w:val="left" w:leader="none"/>
        </w:tabs>
        <w:spacing w:line="240" w:lineRule="auto" w:before="0" w:after="0"/>
        <w:ind w:left="860" w:right="0" w:hanging="360"/>
        <w:jc w:val="left"/>
        <w:rPr>
          <w:sz w:val="21"/>
        </w:rPr>
      </w:pPr>
      <w:r>
        <w:rPr>
          <w:sz w:val="21"/>
        </w:rPr>
        <w:t>Preparation of audit reports that were presented to the audit committee and</w:t>
      </w:r>
      <w:r>
        <w:rPr>
          <w:spacing w:val="-37"/>
          <w:sz w:val="21"/>
        </w:rPr>
        <w:t> </w:t>
      </w:r>
      <w:r>
        <w:rPr>
          <w:sz w:val="21"/>
        </w:rPr>
        <w:t>management.</w:t>
      </w:r>
    </w:p>
    <w:p>
      <w:pPr>
        <w:pStyle w:val="BodyText"/>
        <w:spacing w:before="10"/>
        <w:rPr>
          <w:sz w:val="25"/>
        </w:rPr>
      </w:pPr>
    </w:p>
    <w:p>
      <w:pPr>
        <w:pStyle w:val="ListParagraph"/>
        <w:numPr>
          <w:ilvl w:val="0"/>
          <w:numId w:val="1"/>
        </w:numPr>
        <w:tabs>
          <w:tab w:pos="859" w:val="left" w:leader="none"/>
          <w:tab w:pos="860" w:val="left" w:leader="none"/>
        </w:tabs>
        <w:spacing w:line="240" w:lineRule="auto" w:before="1" w:after="0"/>
        <w:ind w:left="860" w:right="0" w:hanging="360"/>
        <w:jc w:val="left"/>
        <w:rPr>
          <w:sz w:val="21"/>
        </w:rPr>
      </w:pPr>
      <w:r>
        <w:rPr>
          <w:sz w:val="21"/>
        </w:rPr>
        <w:t>Key clients include ASB Banking Group (ASB Bank, CBA and the ASB managed</w:t>
      </w:r>
      <w:r>
        <w:rPr>
          <w:spacing w:val="-26"/>
          <w:sz w:val="21"/>
        </w:rPr>
        <w:t> </w:t>
      </w:r>
      <w:r>
        <w:rPr>
          <w:sz w:val="21"/>
        </w:rPr>
        <w:t>funds).</w:t>
      </w:r>
    </w:p>
    <w:p>
      <w:pPr>
        <w:pStyle w:val="Heading2"/>
        <w:tabs>
          <w:tab w:pos="6614" w:val="left" w:leader="none"/>
        </w:tabs>
        <w:spacing w:before="226"/>
      </w:pPr>
      <w:r>
        <w:rPr>
          <w:w w:val="100"/>
        </w:rPr>
        <w:t>A</w:t>
      </w:r>
      <w:r>
        <w:rPr>
          <w:spacing w:val="-1"/>
          <w:w w:val="100"/>
        </w:rPr>
        <w:t>ssist</w:t>
      </w:r>
      <w:r>
        <w:rPr>
          <w:spacing w:val="-4"/>
          <w:w w:val="100"/>
        </w:rPr>
        <w:t>a</w:t>
      </w:r>
      <w:r>
        <w:rPr>
          <w:w w:val="100"/>
        </w:rPr>
        <w:t>nt</w:t>
      </w:r>
      <w:r>
        <w:rPr>
          <w:spacing w:val="-1"/>
        </w:rPr>
        <w:t> </w:t>
      </w:r>
      <w:r>
        <w:rPr>
          <w:spacing w:val="-1"/>
          <w:w w:val="100"/>
        </w:rPr>
        <w:t>M</w:t>
      </w:r>
      <w:r>
        <w:rPr>
          <w:spacing w:val="-4"/>
          <w:w w:val="100"/>
        </w:rPr>
        <w:t>a</w:t>
      </w:r>
      <w:r>
        <w:rPr>
          <w:w w:val="100"/>
        </w:rPr>
        <w:t>n</w:t>
      </w:r>
      <w:r>
        <w:rPr>
          <w:spacing w:val="-1"/>
          <w:w w:val="100"/>
        </w:rPr>
        <w:t>a</w:t>
      </w:r>
      <w:r>
        <w:rPr>
          <w:w w:val="100"/>
        </w:rPr>
        <w:t>g</w:t>
      </w:r>
      <w:r>
        <w:rPr>
          <w:spacing w:val="-4"/>
          <w:w w:val="100"/>
        </w:rPr>
        <w:t>e</w:t>
      </w:r>
      <w:r>
        <w:rPr>
          <w:w w:val="100"/>
        </w:rPr>
        <w:t>r</w:t>
      </w:r>
      <w:r>
        <w:rPr/>
        <w:tab/>
      </w:r>
      <w:r>
        <w:rPr>
          <w:spacing w:val="-1"/>
          <w:w w:val="100"/>
        </w:rPr>
        <w:t>De</w:t>
      </w:r>
      <w:r>
        <w:rPr>
          <w:w w:val="100"/>
        </w:rPr>
        <w:t>c</w:t>
      </w:r>
      <w:r>
        <w:rPr/>
        <w:t> </w:t>
      </w:r>
      <w:r>
        <w:rPr>
          <w:smallCaps/>
          <w:spacing w:val="-1"/>
          <w:w w:val="100"/>
        </w:rPr>
        <w:t>2</w:t>
      </w:r>
      <w:r>
        <w:rPr>
          <w:smallCaps/>
          <w:spacing w:val="-2"/>
          <w:w w:val="100"/>
        </w:rPr>
        <w:t>0</w:t>
      </w:r>
      <w:r>
        <w:rPr>
          <w:smallCaps w:val="0"/>
          <w:w w:val="100"/>
        </w:rPr>
        <w:t>09</w:t>
      </w:r>
      <w:r>
        <w:rPr>
          <w:smallCaps w:val="0"/>
          <w:spacing w:val="-1"/>
        </w:rPr>
        <w:t> </w:t>
      </w:r>
      <w:r>
        <w:rPr>
          <w:smallCaps w:val="0"/>
          <w:spacing w:val="-1"/>
          <w:w w:val="100"/>
        </w:rPr>
        <w:t>t</w:t>
      </w:r>
      <w:r>
        <w:rPr>
          <w:smallCaps w:val="0"/>
          <w:w w:val="100"/>
        </w:rPr>
        <w:t>o</w:t>
      </w:r>
      <w:r>
        <w:rPr>
          <w:smallCaps w:val="0"/>
          <w:spacing w:val="-3"/>
        </w:rPr>
        <w:t> </w:t>
      </w:r>
      <w:r>
        <w:rPr>
          <w:smallCaps w:val="0"/>
          <w:w w:val="100"/>
        </w:rPr>
        <w:t>N</w:t>
      </w:r>
      <w:r>
        <w:rPr>
          <w:smallCaps w:val="0"/>
          <w:spacing w:val="-3"/>
          <w:w w:val="100"/>
        </w:rPr>
        <w:t>o</w:t>
      </w:r>
      <w:r>
        <w:rPr>
          <w:smallCaps w:val="0"/>
          <w:w w:val="100"/>
        </w:rPr>
        <w:t>v</w:t>
      </w:r>
      <w:r>
        <w:rPr>
          <w:smallCaps w:val="0"/>
          <w:spacing w:val="-1"/>
        </w:rPr>
        <w:t> </w:t>
      </w:r>
      <w:r>
        <w:rPr>
          <w:smallCaps/>
          <w:spacing w:val="-1"/>
          <w:w w:val="100"/>
        </w:rPr>
        <w:t>2</w:t>
      </w:r>
      <w:r>
        <w:rPr>
          <w:smallCaps/>
          <w:w w:val="100"/>
        </w:rPr>
        <w:t>0</w:t>
      </w:r>
      <w:r>
        <w:rPr>
          <w:smallCaps w:val="0"/>
          <w:spacing w:val="-3"/>
          <w:w w:val="100"/>
        </w:rPr>
        <w:t>1</w:t>
      </w:r>
      <w:r>
        <w:rPr>
          <w:smallCaps w:val="0"/>
          <w:w w:val="100"/>
        </w:rPr>
        <w:t>3</w:t>
      </w:r>
    </w:p>
    <w:p>
      <w:pPr>
        <w:pStyle w:val="BodyText"/>
        <w:spacing w:before="35"/>
        <w:ind w:left="456" w:right="5366"/>
      </w:pPr>
      <w:r>
        <w:rPr/>
        <w:t>Financial Services Industry Practice PricewaterhouseCoopers LLP, Singapore</w:t>
      </w:r>
    </w:p>
    <w:p>
      <w:pPr>
        <w:pStyle w:val="BodyText"/>
      </w:pPr>
    </w:p>
    <w:p>
      <w:pPr>
        <w:pStyle w:val="ListParagraph"/>
        <w:numPr>
          <w:ilvl w:val="0"/>
          <w:numId w:val="1"/>
        </w:numPr>
        <w:tabs>
          <w:tab w:pos="859" w:val="left" w:leader="none"/>
          <w:tab w:pos="860" w:val="left" w:leader="none"/>
        </w:tabs>
        <w:spacing w:line="240" w:lineRule="auto" w:before="1" w:after="0"/>
        <w:ind w:left="860" w:right="354" w:hanging="360"/>
        <w:jc w:val="left"/>
        <w:rPr>
          <w:sz w:val="21"/>
        </w:rPr>
      </w:pPr>
      <w:r>
        <w:rPr>
          <w:sz w:val="21"/>
        </w:rPr>
        <w:t>Understanding and evaluating client’s business processes (including their dependencies</w:t>
      </w:r>
      <w:r>
        <w:rPr>
          <w:spacing w:val="-34"/>
          <w:sz w:val="21"/>
        </w:rPr>
        <w:t> </w:t>
      </w:r>
      <w:r>
        <w:rPr>
          <w:sz w:val="21"/>
        </w:rPr>
        <w:t>on the systems and processes in their Head Office) and formulating the audit plan based on these</w:t>
      </w:r>
      <w:r>
        <w:rPr>
          <w:spacing w:val="-2"/>
          <w:sz w:val="21"/>
        </w:rPr>
        <w:t> </w:t>
      </w:r>
      <w:r>
        <w:rPr>
          <w:sz w:val="21"/>
        </w:rPr>
        <w:t>factors.</w:t>
      </w:r>
    </w:p>
    <w:p>
      <w:pPr>
        <w:pStyle w:val="BodyText"/>
        <w:spacing w:before="1"/>
      </w:pPr>
    </w:p>
    <w:p>
      <w:pPr>
        <w:pStyle w:val="ListParagraph"/>
        <w:numPr>
          <w:ilvl w:val="0"/>
          <w:numId w:val="1"/>
        </w:numPr>
        <w:tabs>
          <w:tab w:pos="859" w:val="left" w:leader="none"/>
          <w:tab w:pos="860" w:val="left" w:leader="none"/>
        </w:tabs>
        <w:spacing w:line="240" w:lineRule="auto" w:before="0" w:after="0"/>
        <w:ind w:left="860" w:right="503" w:hanging="360"/>
        <w:jc w:val="left"/>
        <w:rPr>
          <w:sz w:val="21"/>
        </w:rPr>
      </w:pPr>
      <w:r>
        <w:rPr>
          <w:sz w:val="21"/>
        </w:rPr>
        <w:t>Coordinate between various senior stakeholders in the banks (e.g. head of departments, business process owners) as well as PwC teams in AsiaPac, US and</w:t>
      </w:r>
      <w:r>
        <w:rPr>
          <w:spacing w:val="-37"/>
          <w:sz w:val="21"/>
        </w:rPr>
        <w:t> </w:t>
      </w:r>
      <w:r>
        <w:rPr>
          <w:sz w:val="21"/>
        </w:rPr>
        <w:t>UK and cross function teams.</w:t>
      </w:r>
    </w:p>
    <w:p>
      <w:pPr>
        <w:pStyle w:val="BodyText"/>
        <w:spacing w:before="10"/>
        <w:rPr>
          <w:sz w:val="20"/>
        </w:rPr>
      </w:pPr>
    </w:p>
    <w:p>
      <w:pPr>
        <w:pStyle w:val="ListParagraph"/>
        <w:numPr>
          <w:ilvl w:val="0"/>
          <w:numId w:val="1"/>
        </w:numPr>
        <w:tabs>
          <w:tab w:pos="859" w:val="left" w:leader="none"/>
          <w:tab w:pos="860" w:val="left" w:leader="none"/>
        </w:tabs>
        <w:spacing w:line="240" w:lineRule="auto" w:before="0" w:after="0"/>
        <w:ind w:left="860" w:right="475" w:hanging="360"/>
        <w:jc w:val="left"/>
        <w:rPr>
          <w:sz w:val="21"/>
        </w:rPr>
      </w:pPr>
      <w:r>
        <w:rPr>
          <w:sz w:val="21"/>
        </w:rPr>
        <w:t>Preparation of the Audit Long Form Report (“ALFR”) which is submitted to the</w:t>
      </w:r>
      <w:r>
        <w:rPr>
          <w:spacing w:val="-34"/>
          <w:sz w:val="21"/>
        </w:rPr>
        <w:t> </w:t>
      </w:r>
      <w:r>
        <w:rPr>
          <w:sz w:val="21"/>
        </w:rPr>
        <w:t>Monetary Authority of Singapore for Singapore registered banks and branches. The ALFR includes control deficiencies observed in the bank and recommendations for enhancements in line with industry practice and regulators</w:t>
      </w:r>
      <w:r>
        <w:rPr>
          <w:spacing w:val="-8"/>
          <w:sz w:val="21"/>
        </w:rPr>
        <w:t> </w:t>
      </w:r>
      <w:r>
        <w:rPr>
          <w:sz w:val="21"/>
        </w:rPr>
        <w:t>expectations.</w:t>
      </w:r>
    </w:p>
    <w:p>
      <w:pPr>
        <w:pStyle w:val="BodyText"/>
        <w:spacing w:before="6"/>
        <w:rPr>
          <w:sz w:val="22"/>
        </w:rPr>
      </w:pPr>
    </w:p>
    <w:p>
      <w:pPr>
        <w:pStyle w:val="ListParagraph"/>
        <w:numPr>
          <w:ilvl w:val="0"/>
          <w:numId w:val="1"/>
        </w:numPr>
        <w:tabs>
          <w:tab w:pos="860" w:val="left" w:leader="none"/>
        </w:tabs>
        <w:spacing w:line="240" w:lineRule="auto" w:before="0" w:after="0"/>
        <w:ind w:left="860" w:right="578" w:hanging="360"/>
        <w:jc w:val="both"/>
        <w:rPr>
          <w:sz w:val="21"/>
        </w:rPr>
      </w:pPr>
      <w:r>
        <w:rPr>
          <w:sz w:val="21"/>
        </w:rPr>
        <w:t>Key clients include Commerzbank AG (Singapore Branch), Macquarie Capital</w:t>
      </w:r>
      <w:r>
        <w:rPr>
          <w:spacing w:val="-34"/>
          <w:sz w:val="21"/>
        </w:rPr>
        <w:t> </w:t>
      </w:r>
      <w:r>
        <w:rPr>
          <w:sz w:val="21"/>
        </w:rPr>
        <w:t>Securities, Maybank Kim Eng Holdings Group, Hong Leong Bank (Singapore Branch), DBS Vickers Singapore, BNP Paribas Securities Singapore and Schroder &amp; Co.</w:t>
      </w:r>
      <w:r>
        <w:rPr>
          <w:spacing w:val="-15"/>
          <w:sz w:val="21"/>
        </w:rPr>
        <w:t> </w:t>
      </w:r>
      <w:r>
        <w:rPr>
          <w:sz w:val="21"/>
        </w:rPr>
        <w:t>(Asia).</w:t>
      </w:r>
    </w:p>
    <w:p>
      <w:pPr>
        <w:pStyle w:val="BodyText"/>
        <w:spacing w:before="6"/>
        <w:rPr>
          <w:sz w:val="18"/>
        </w:rPr>
      </w:pPr>
      <w:r>
        <w:rPr/>
        <w:drawing>
          <wp:anchor distT="0" distB="0" distL="0" distR="0" allowOverlap="1" layoutInCell="1" locked="0" behindDoc="0" simplePos="0" relativeHeight="4">
            <wp:simplePos x="0" y="0"/>
            <wp:positionH relativeFrom="page">
              <wp:posOffset>902208</wp:posOffset>
            </wp:positionH>
            <wp:positionV relativeFrom="paragraph">
              <wp:posOffset>158463</wp:posOffset>
            </wp:positionV>
            <wp:extent cx="5693663" cy="12192"/>
            <wp:effectExtent l="0" t="0" r="0" b="0"/>
            <wp:wrapTopAndBottom/>
            <wp:docPr id="5" name="image2.png"/>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5693663" cy="12192"/>
                    </a:xfrm>
                    <a:prstGeom prst="rect">
                      <a:avLst/>
                    </a:prstGeom>
                  </pic:spPr>
                </pic:pic>
              </a:graphicData>
            </a:graphic>
          </wp:anchor>
        </w:drawing>
      </w:r>
    </w:p>
    <w:p>
      <w:pPr>
        <w:pStyle w:val="Heading1"/>
        <w:spacing w:before="196"/>
      </w:pPr>
      <w:r>
        <w:rPr/>
        <w:t>Awards</w:t>
      </w:r>
    </w:p>
    <w:p>
      <w:pPr>
        <w:pStyle w:val="BodyText"/>
        <w:spacing w:before="2"/>
        <w:rPr>
          <w:b/>
          <w:sz w:val="22"/>
        </w:rPr>
      </w:pPr>
    </w:p>
    <w:p>
      <w:pPr>
        <w:pStyle w:val="ListParagraph"/>
        <w:numPr>
          <w:ilvl w:val="0"/>
          <w:numId w:val="1"/>
        </w:numPr>
        <w:tabs>
          <w:tab w:pos="859" w:val="left" w:leader="none"/>
          <w:tab w:pos="860" w:val="left" w:leader="none"/>
        </w:tabs>
        <w:spacing w:line="257" w:lineRule="exact" w:before="0" w:after="0"/>
        <w:ind w:left="860" w:right="0" w:hanging="360"/>
        <w:jc w:val="left"/>
        <w:rPr>
          <w:sz w:val="21"/>
        </w:rPr>
      </w:pPr>
      <w:r>
        <w:rPr>
          <w:sz w:val="21"/>
        </w:rPr>
        <w:t>Singapore Scholar, Singapore Ministry of Foreign Affairs</w:t>
      </w:r>
      <w:r>
        <w:rPr>
          <w:spacing w:val="-7"/>
          <w:sz w:val="21"/>
        </w:rPr>
        <w:t> </w:t>
      </w:r>
      <w:r>
        <w:rPr>
          <w:smallCaps/>
          <w:sz w:val="21"/>
        </w:rPr>
        <w:t>(2</w:t>
      </w:r>
      <w:r>
        <w:rPr>
          <w:smallCaps w:val="0"/>
          <w:sz w:val="21"/>
        </w:rPr>
        <w:t>006)</w:t>
      </w:r>
    </w:p>
    <w:p>
      <w:pPr>
        <w:pStyle w:val="ListParagraph"/>
        <w:numPr>
          <w:ilvl w:val="0"/>
          <w:numId w:val="1"/>
        </w:numPr>
        <w:tabs>
          <w:tab w:pos="859" w:val="left" w:leader="none"/>
          <w:tab w:pos="860" w:val="left" w:leader="none"/>
        </w:tabs>
        <w:spacing w:line="240" w:lineRule="auto" w:before="0" w:after="0"/>
        <w:ind w:left="860" w:right="155" w:hanging="360"/>
        <w:jc w:val="left"/>
        <w:rPr>
          <w:sz w:val="21"/>
        </w:rPr>
      </w:pPr>
      <w:r>
        <w:rPr>
          <w:sz w:val="21"/>
        </w:rPr>
        <w:t>Awarded the PwC Experience Award by PwC HK and China –Recognise </w:t>
      </w:r>
      <w:r>
        <w:rPr>
          <w:smallCaps/>
          <w:sz w:val="21"/>
        </w:rPr>
        <w:t>201</w:t>
      </w:r>
      <w:r>
        <w:rPr>
          <w:smallCaps w:val="0"/>
          <w:sz w:val="21"/>
        </w:rPr>
        <w:t>6 for dedication to collaboration and</w:t>
      </w:r>
      <w:r>
        <w:rPr>
          <w:smallCaps w:val="0"/>
          <w:spacing w:val="-4"/>
          <w:sz w:val="21"/>
        </w:rPr>
        <w:t> </w:t>
      </w:r>
      <w:r>
        <w:rPr>
          <w:smallCaps w:val="0"/>
          <w:sz w:val="21"/>
        </w:rPr>
        <w:t>sharing.</w:t>
      </w:r>
    </w:p>
    <w:sectPr>
      <w:pgSz w:w="11900" w:h="16840"/>
      <w:pgMar w:header="2071" w:footer="0" w:top="2400" w:bottom="280" w:left="8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240002pt;margin-top:103.569962pt;width:479.55pt;height:16.8pt;mso-position-horizontal-relative:page;mso-position-vertical-relative:page;z-index:-15784960" coordorigin="785,2071" coordsize="9591,336" path="m10375,2071l799,2071,785,2071,785,2407,799,2407,799,2086,10375,2086,10375,2071xe" filled="true" fillcolor="#e26b0a" stroked="false">
          <v:path arrowok="t"/>
          <v:fill type="solid"/>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0" w:hanging="360"/>
      </w:pPr>
      <w:rPr>
        <w:rFonts w:hint="default" w:ascii="Symbol" w:hAnsi="Symbol" w:eastAsia="Symbol" w:cs="Symbol"/>
        <w:w w:val="100"/>
        <w:sz w:val="21"/>
        <w:szCs w:val="21"/>
        <w:lang w:val="en-US" w:eastAsia="en-US" w:bidi="ar-SA"/>
      </w:rPr>
    </w:lvl>
    <w:lvl w:ilvl="1">
      <w:start w:val="0"/>
      <w:numFmt w:val="bullet"/>
      <w:lvlText w:val="•"/>
      <w:lvlJc w:val="left"/>
      <w:pPr>
        <w:ind w:left="1736" w:hanging="360"/>
      </w:pPr>
      <w:rPr>
        <w:rFonts w:hint="default"/>
        <w:lang w:val="en-US" w:eastAsia="en-US" w:bidi="ar-SA"/>
      </w:rPr>
    </w:lvl>
    <w:lvl w:ilvl="2">
      <w:start w:val="0"/>
      <w:numFmt w:val="bullet"/>
      <w:lvlText w:val="•"/>
      <w:lvlJc w:val="left"/>
      <w:pPr>
        <w:ind w:left="2612" w:hanging="360"/>
      </w:pPr>
      <w:rPr>
        <w:rFonts w:hint="default"/>
        <w:lang w:val="en-US" w:eastAsia="en-US" w:bidi="ar-SA"/>
      </w:rPr>
    </w:lvl>
    <w:lvl w:ilvl="3">
      <w:start w:val="0"/>
      <w:numFmt w:val="bullet"/>
      <w:lvlText w:val="•"/>
      <w:lvlJc w:val="left"/>
      <w:pPr>
        <w:ind w:left="3488" w:hanging="360"/>
      </w:pPr>
      <w:rPr>
        <w:rFonts w:hint="default"/>
        <w:lang w:val="en-US" w:eastAsia="en-US" w:bidi="ar-SA"/>
      </w:rPr>
    </w:lvl>
    <w:lvl w:ilvl="4">
      <w:start w:val="0"/>
      <w:numFmt w:val="bullet"/>
      <w:lvlText w:val="•"/>
      <w:lvlJc w:val="left"/>
      <w:pPr>
        <w:ind w:left="4364"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6" w:hanging="360"/>
      </w:pPr>
      <w:rPr>
        <w:rFonts w:hint="default"/>
        <w:lang w:val="en-US" w:eastAsia="en-US" w:bidi="ar-SA"/>
      </w:rPr>
    </w:lvl>
    <w:lvl w:ilvl="7">
      <w:start w:val="0"/>
      <w:numFmt w:val="bullet"/>
      <w:lvlText w:val="•"/>
      <w:lvlJc w:val="left"/>
      <w:pPr>
        <w:ind w:left="6992" w:hanging="360"/>
      </w:pPr>
      <w:rPr>
        <w:rFonts w:hint="default"/>
        <w:lang w:val="en-US" w:eastAsia="en-US" w:bidi="ar-SA"/>
      </w:rPr>
    </w:lvl>
    <w:lvl w:ilvl="8">
      <w:start w:val="0"/>
      <w:numFmt w:val="bullet"/>
      <w:lvlText w:val="•"/>
      <w:lvlJc w:val="left"/>
      <w:pPr>
        <w:ind w:left="786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423"/>
      <w:outlineLvl w:val="1"/>
    </w:pPr>
    <w:rPr>
      <w:rFonts w:ascii="Georgia" w:hAnsi="Georgia" w:eastAsia="Georgia" w:cs="Georgia"/>
      <w:b/>
      <w:bCs/>
      <w:sz w:val="22"/>
      <w:szCs w:val="22"/>
      <w:lang w:val="en-US" w:eastAsia="en-US" w:bidi="ar-SA"/>
    </w:rPr>
  </w:style>
  <w:style w:styleId="Heading2" w:type="paragraph">
    <w:name w:val="Heading 2"/>
    <w:basedOn w:val="Normal"/>
    <w:uiPriority w:val="1"/>
    <w:qFormat/>
    <w:pPr>
      <w:spacing w:before="1"/>
      <w:ind w:left="456"/>
      <w:outlineLvl w:val="2"/>
    </w:pPr>
    <w:rPr>
      <w:rFonts w:ascii="Georgia" w:hAnsi="Georgia" w:eastAsia="Georgia" w:cs="Georgia"/>
      <w:b/>
      <w:bCs/>
      <w:sz w:val="21"/>
      <w:szCs w:val="21"/>
      <w:lang w:val="en-US" w:eastAsia="en-US" w:bidi="ar-SA"/>
    </w:rPr>
  </w:style>
  <w:style w:styleId="Title" w:type="paragraph">
    <w:name w:val="Title"/>
    <w:basedOn w:val="Normal"/>
    <w:uiPriority w:val="1"/>
    <w:qFormat/>
    <w:pPr/>
    <w:rPr>
      <w:rFonts w:ascii="Georgia" w:hAnsi="Georgia" w:eastAsia="Georgia" w:cs="Georgia"/>
      <w:b/>
      <w:bCs/>
      <w:i/>
      <w:sz w:val="40"/>
      <w:szCs w:val="40"/>
      <w:lang w:val="en-US" w:eastAsia="en-US" w:bidi="ar-SA"/>
    </w:rPr>
  </w:style>
  <w:style w:styleId="ListParagraph" w:type="paragraph">
    <w:name w:val="List Paragraph"/>
    <w:basedOn w:val="Normal"/>
    <w:uiPriority w:val="1"/>
    <w:qFormat/>
    <w:pPr>
      <w:ind w:left="860" w:hanging="360"/>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oliviapeter@hot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K Peter</dc:creator>
  <dc:title>Microsoft Word - Curriculum Vitae - Olivia Peter.docx</dc:title>
  <dcterms:created xsi:type="dcterms:W3CDTF">2021-08-05T19:14:51Z</dcterms:created>
  <dcterms:modified xsi:type="dcterms:W3CDTF">2021-08-05T19:14:51Z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Creator">
    <vt:lpwstr>Microsoft Word - Curriculum Vitae - Olivia Peter.docx</vt:lpwstr>
  </property>
  <property fmtid="{D5CDD505-2E9C-101B-9397-08002B2CF9AE}" pid="4" name="LastSaved">
    <vt:filetime>2021-08-05T00:00:00Z</vt:filetime>
  </property>
</Properties>
</file>