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Saliency-Driven Gaze Simulation with Joint Embedding Predictive Architectures</w:t>
      </w:r>
    </w:p>
    <w:p>
      <w:pPr>
        <w:jc w:val="center"/>
      </w:pPr>
      <w:r>
        <w:rPr>
          <w:b/>
        </w:rPr>
        <w:t>Arash Khosropour</w:t>
        <w:br/>
      </w:r>
      <w:r>
        <w:rPr>
          <w:sz w:val="22"/>
        </w:rPr>
        <w:t>Natural Interaction — Università degli Studi di Milano, 2025–2026</w:t>
        <w:br/>
      </w:r>
      <w:r>
        <w:rPr>
          <w:sz w:val="22"/>
        </w:rPr>
        <w:t>Supervisors: Prof. Giuseppe Boccignone · Prof. Alessandro D'Amelio</w:t>
      </w:r>
    </w:p>
    <w:p>
      <w:r>
        <w:br w:type="page"/>
      </w:r>
    </w:p>
    <w:p>
      <w:pPr>
        <w:pStyle w:val="Heading1"/>
      </w:pPr>
      <w:r>
        <w:rPr>
          <w:color w:val="000000"/>
        </w:rPr>
        <w:t>1. Introduction</w:t>
      </w:r>
    </w:p>
    <w:p>
      <w:r>
        <w:rPr>
          <w:rFonts w:ascii="Times New Roman" w:hAnsi="Times New Roman"/>
          <w:b w:val="0"/>
          <w:i w:val="0"/>
          <w:sz w:val="24"/>
        </w:rPr>
        <w:t>Understanding where humans look is a central problem in natural interaction research. Gaze patterns — sequences of fixations and saccades — reveal what information the brain prioritizes and are fundamental to applications in human-computer interaction, robotics, and cognitive science. This report describes the reverse engineering of SaccadeJEPA, a published model that claims to simulate saccadic eye movements, and the development of a principled saliency-based alternative validated against real human eye-tracking data.</w:t>
      </w:r>
    </w:p>
    <w:p/>
    <w:p>
      <w:r>
        <w:rPr>
          <w:rFonts w:ascii="Times New Roman" w:hAnsi="Times New Roman"/>
          <w:b w:val="0"/>
          <w:i w:val="0"/>
          <w:sz w:val="24"/>
        </w:rPr>
        <w:t>The professor's assignment posed the question: can SaccadeJEPA be reused for explicit gaze simulation? This report answers that question directly: not as implemented, because saccade targets are selected uniformly at random. However, by replacing a single line of code with a learned saliency predictor, the resulting system produces gaze patterns that closely match human fixation data.</w:t>
      </w:r>
    </w:p>
    <w:p>
      <w:pPr>
        <w:pStyle w:val="Heading1"/>
      </w:pPr>
      <w:r>
        <w:rPr>
          <w:color w:val="000000"/>
        </w:rPr>
        <w:t>2. The JEPA Architecture</w:t>
      </w:r>
    </w:p>
    <w:p>
      <w:r>
        <w:rPr>
          <w:rFonts w:ascii="Times New Roman" w:hAnsi="Times New Roman"/>
          <w:b w:val="0"/>
          <w:i w:val="0"/>
          <w:sz w:val="24"/>
        </w:rPr>
        <w:t>A Joint Embedding Predictive Architecture (JEPA), proposed by LeCun (2022), learns representations by predicting the embedding of one part of the data from another. Unlike masked autoencoders that reconstruct pixels, JEPA operates entirely in latent embedding space. This makes it more efficient and encourages the model to learn abstract, semantic representations rather than low-level pixel statistics.</w:t>
      </w:r>
    </w:p>
    <w:p/>
    <w:p>
      <w:r>
        <w:rPr>
          <w:rFonts w:ascii="Times New Roman" w:hAnsi="Times New Roman"/>
          <w:b w:val="0"/>
          <w:i w:val="0"/>
          <w:sz w:val="24"/>
        </w:rPr>
        <w:t>I-JEPA (Assran et al., 2023) applies this to images using a Vision Transformer (ViT) backbone. The model masks certain patches of an image, encodes the visible context, and predicts the embeddings of the masked regions. The target encoder is maintained as an exponential moving average (EMA) of the context encoder, providing stable training targets without requiring negative samples.</w:t>
      </w:r>
    </w:p>
    <w:p>
      <w:pPr>
        <w:pStyle w:val="Heading1"/>
      </w:pPr>
      <w:r>
        <w:rPr>
          <w:color w:val="000000"/>
        </w:rPr>
        <w:t>3. SaccadeJEPA: Reverse Engineering</w:t>
      </w:r>
    </w:p>
    <w:p>
      <w:r>
        <w:rPr>
          <w:rFonts w:ascii="Times New Roman" w:hAnsi="Times New Roman"/>
          <w:b w:val="0"/>
          <w:i w:val="0"/>
          <w:sz w:val="24"/>
        </w:rPr>
        <w:t>SaccadeJEPA (LumenPallidium, 2023) extends the JEPA framework to simulate saccadic vision. Instead of masking patches, it creates two views of the same image by applying a random affine transformation — a combination of translation and rotation — to produce a shifted view, and a center crop of the original as the reference. The model learns to predict how the embedding changes under the affine transformation.</w:t>
      </w:r>
    </w:p>
    <w:p/>
    <w:p>
      <w:r>
        <w:rPr>
          <w:rFonts w:ascii="Times New Roman" w:hAnsi="Times New Roman"/>
          <w:b/>
          <w:i w:val="0"/>
          <w:sz w:val="24"/>
        </w:rPr>
        <w:t>The key mechanism, found in saccade.py line 66, is:</w:t>
      </w:r>
    </w:p>
    <w:p/>
    <w:p>
      <w:r>
        <w:rPr>
          <w:rFonts w:ascii="Courier New" w:hAnsi="Courier New"/>
          <w:sz w:val="20"/>
        </w:rPr>
        <w:t>rotations    = torch.empty(b, 1).uniform_(-max_rotation_rad, max_rotation_rad)</w:t>
        <w:br/>
        <w:t>translations = torch.empty(b, 2).uniform_(-max_translation_frac, max_translation_frac)</w:t>
      </w:r>
    </w:p>
    <w:p/>
    <w:p>
      <w:r>
        <w:rPr>
          <w:rFonts w:ascii="Times New Roman" w:hAnsi="Times New Roman"/>
          <w:b w:val="0"/>
          <w:i w:val="0"/>
          <w:sz w:val="24"/>
        </w:rPr>
        <w:t>This is the entire 'attention mechanism': a uniform random number generator. There is no content-based saliency, no face detection, no semantic understanding. The affine parameters are encoded with a NeRF-like sinusoidal positional embedding and fed to the predictor as a cue, and training uses a combination of Huber loss, cycle consistency, and VICReg regularization — but none of this changes the fundamental finding: the model never decides where to look based on what is in the image.</w:t>
      </w:r>
    </w:p>
    <w:p/>
    <w:p>
      <w:r>
        <w:rPr>
          <w:rFonts w:ascii="Times New Roman" w:hAnsi="Times New Roman"/>
          <w:b w:val="0"/>
          <w:i w:val="0"/>
          <w:sz w:val="24"/>
        </w:rPr>
        <w:t>SaccadeJEPA is a representation learning model that uses spatial jitter as a self-supervised augmentation strategy. The 'saccade' is the augmentation, not the output. It cannot simulate gaze dynamics as described in the professor's assignment.</w:t>
      </w:r>
    </w:p>
    <w:p>
      <w:pPr>
        <w:pStyle w:val="Heading1"/>
      </w:pPr>
      <w:r>
        <w:rPr>
          <w:color w:val="000000"/>
        </w:rPr>
        <w:t>4. Methodology: Saliency Prediction on FIND</w:t>
      </w:r>
    </w:p>
    <w:p>
      <w:pPr>
        <w:pStyle w:val="Heading2"/>
      </w:pPr>
      <w:r>
        <w:rPr>
          <w:color w:val="000000"/>
        </w:rPr>
        <w:t>4.1 The FIND Dataset</w:t>
      </w:r>
    </w:p>
    <w:p>
      <w:r>
        <w:rPr>
          <w:rFonts w:ascii="Times New Roman" w:hAnsi="Times New Roman"/>
          <w:b w:val="0"/>
          <w:i w:val="0"/>
          <w:sz w:val="24"/>
        </w:rPr>
        <w:t>The FIND (Find-Who-to-Look-at) dataset (Liu &amp; Xu, 2016) contains eye-tracking recordings from 39 observers watching 65 multi-face social videos from YouTube and Youku at 1280x720 resolution. Fixations are recorded per frame for all 39 observers, stored as .mat files (fix_data_NEW/, key curr_v_all_s, shape (39, n_frames, 2) in pixel coordinates).</w:t>
      </w:r>
    </w:p>
    <w:p/>
    <w:p>
      <w:r>
        <w:rPr>
          <w:rFonts w:ascii="Times New Roman" w:hAnsi="Times New Roman"/>
          <w:b w:val="0"/>
          <w:i w:val="0"/>
          <w:sz w:val="24"/>
        </w:rPr>
        <w:t>Videos were split by ID into train (50 videos), validation (6 videos: 064–069), and test (6 videos: 070–075) splits. Splitting by video rather than by frame prevents temporal data leakage — the model never sees any frame from a test video during training.</w:t>
      </w:r>
    </w:p>
    <w:p>
      <w:pPr>
        <w:pStyle w:val="Heading2"/>
      </w:pPr>
      <w:r>
        <w:rPr>
          <w:color w:val="000000"/>
        </w:rPr>
        <w:t>4.2 Ground Truth Heatmaps</w:t>
      </w:r>
    </w:p>
    <w:p>
      <w:r>
        <w:rPr>
          <w:rFonts w:ascii="Times New Roman" w:hAnsi="Times New Roman"/>
          <w:b w:val="0"/>
          <w:i w:val="0"/>
          <w:sz w:val="24"/>
        </w:rPr>
        <w:t>Raw fixation coordinates from all observers are converted to a spatial probability distribution by placing a 2D Gaussian (σ = 20px) at each fixation location and normalizing the sum to 1. This produces a (224×224) heatmap per frame that represents the collective gaze density of all observers — bright where people looked, dark where they did not.</w:t>
      </w:r>
    </w:p>
    <w:p>
      <w:pPr>
        <w:pStyle w:val="Heading2"/>
      </w:pPr>
      <w:r>
        <w:rPr>
          <w:color w:val="000000"/>
        </w:rPr>
        <w:t>4.3 Saliency Sources Compared</w:t>
      </w:r>
    </w:p>
    <w:p>
      <w:r>
        <w:rPr>
          <w:rFonts w:ascii="Times New Roman" w:hAnsi="Times New Roman"/>
          <w:b w:val="0"/>
          <w:i w:val="0"/>
          <w:sz w:val="24"/>
        </w:rPr>
        <w:t>Four saliency sources were implemented and evaluated:</w:t>
      </w:r>
    </w:p>
    <w:p/>
    <w:p>
      <w:r>
        <w:rPr>
          <w:rFonts w:ascii="Times New Roman" w:hAnsi="Times New Roman"/>
          <w:b w:val="0"/>
          <w:i w:val="0"/>
          <w:sz w:val="24"/>
        </w:rPr>
        <w:t>Random saliency. A uniform random map normalized to sum to 1. This directly replicates SaccadeJEPA's behavior and serves as the baseline.</w:t>
      </w:r>
    </w:p>
    <w:p/>
    <w:p>
      <w:r>
        <w:rPr>
          <w:rFonts w:ascii="Times New Roman" w:hAnsi="Times New Roman"/>
          <w:b w:val="0"/>
          <w:i w:val="0"/>
          <w:sz w:val="24"/>
        </w:rPr>
        <w:t>Center bias (parametric). A hand-crafted 2D Gaussian centered on the image. No learning, no data. Exploits the tendency of cameras to frame subjects centrally and of viewers to look near the center of the frame.</w:t>
      </w:r>
    </w:p>
    <w:p/>
    <w:p>
      <w:r>
        <w:rPr>
          <w:rFonts w:ascii="Times New Roman" w:hAnsi="Times New Roman"/>
          <w:b w:val="0"/>
          <w:i w:val="0"/>
          <w:sz w:val="24"/>
        </w:rPr>
        <w:t>Spectral residual (classical, Itti &amp; Koch 1998 tradition). We implemented the classical Itti-Koch saliency approach using OpenCV's static saliency detector (StaticSaliencySpectralResidual), which realises a related algorithm by Hou &amp; Zhang (CVPR 2007). Both methods are bottom-up, non-learned, and signal-processing based: they identify salient regions from local contrast and deviation from the image's average statistics, with no knowledge of faces or semantics.</w:t>
      </w:r>
    </w:p>
    <w:p/>
    <w:p>
      <w:r>
        <w:rPr>
          <w:rFonts w:ascii="Times New Roman" w:hAnsi="Times New Roman"/>
          <w:b w:val="0"/>
          <w:i w:val="0"/>
          <w:sz w:val="24"/>
        </w:rPr>
        <w:t>ResNetSaliency (learned). A pretrained ResNet-18 backbone (frozen) with a lightweight convolutional head trained on FIND fixation heatmaps using KL-divergence loss.</w:t>
      </w:r>
    </w:p>
    <w:p>
      <w:pPr>
        <w:pStyle w:val="Heading2"/>
      </w:pPr>
      <w:r>
        <w:rPr>
          <w:color w:val="000000"/>
        </w:rPr>
        <w:t>4.4 ResNetSaliency Architecture</w:t>
      </w:r>
    </w:p>
    <w:p>
      <w:r>
        <w:rPr>
          <w:rFonts w:ascii="Times New Roman" w:hAnsi="Times New Roman"/>
          <w:b w:val="0"/>
          <w:i w:val="0"/>
          <w:sz w:val="24"/>
        </w:rPr>
        <w:t>The model uses a ResNet-18 backbone pretrained on ImageNet, keeping layers up to layer3 which produces 14×14 feature maps at 224×224 input. The backbone is frozen — only the small head is trained. The head consists of two 1×1 convolutions (256→64→1 channels) with GELU activation, producing raw logits at 14×14. These are upsampled to 224×224 with bilinear interpolation and passed through a spatial softmax to produce the final probability map.</w:t>
      </w:r>
    </w:p>
    <w:p/>
    <w:p>
      <w:r>
        <w:rPr>
          <w:rFonts w:ascii="Times New Roman" w:hAnsi="Times New Roman"/>
          <w:b w:val="0"/>
          <w:i w:val="0"/>
          <w:sz w:val="24"/>
        </w:rPr>
        <w:t>Total parameters: 2,799,297. Trainable parameters: 16,513 (head only). Training: 20 epochs, AdamW optimizer, cosine annealing learning rate schedule (lr=1e-3, weight_decay=1e-4), batch size 16, KL-divergence loss computed at 14×14 resolution (196 bins rather than 50,176 at full resolution, which is intractable).</w:t>
      </w:r>
    </w:p>
    <w:p/>
    <w:p>
      <w:r>
        <w:rPr>
          <w:rFonts w:ascii="Times New Roman" w:hAnsi="Times New Roman"/>
          <w:b w:val="0"/>
          <w:i w:val="0"/>
          <w:sz w:val="24"/>
        </w:rPr>
        <w:t>The backbone is kept in evaluation mode during training to preserve pretrained BatchNorm statistics — a critical detail for frozen backbone training.</w:t>
      </w:r>
    </w:p>
    <w:p>
      <w:pPr>
        <w:pStyle w:val="Heading1"/>
      </w:pPr>
      <w:r>
        <w:rPr>
          <w:color w:val="000000"/>
        </w:rPr>
        <w:t>5. Experiments and Results</w:t>
      </w:r>
    </w:p>
    <w:p>
      <w:pPr>
        <w:pStyle w:val="Heading2"/>
      </w:pPr>
      <w:r>
        <w:rPr>
          <w:color w:val="000000"/>
        </w:rPr>
        <w:t>5.1 Evaluation Metrics</w:t>
      </w:r>
    </w:p>
    <w:p>
      <w:r>
        <w:rPr>
          <w:rFonts w:ascii="Times New Roman" w:hAnsi="Times New Roman"/>
          <w:b w:val="0"/>
          <w:i w:val="0"/>
          <w:sz w:val="24"/>
        </w:rPr>
        <w:t>Three standard metrics from Bylinskii et al. (2019) are used:</w:t>
      </w:r>
    </w:p>
    <w:p/>
    <w:p>
      <w:r>
        <w:rPr>
          <w:rFonts w:ascii="Times New Roman" w:hAnsi="Times New Roman"/>
          <w:b w:val="0"/>
          <w:i w:val="0"/>
          <w:sz w:val="24"/>
        </w:rPr>
        <w:t>AUC (Area Under the ROC Curve, Judd version). Treats each fixation as a positive sample and non-fixated pixels as negatives. A saliency threshold is swept and the ROC curve computed. AUC = 0.5 is chance; AUC = 1.0 is perfect.</w:t>
      </w:r>
    </w:p>
    <w:p/>
    <w:p>
      <w:r>
        <w:rPr>
          <w:rFonts w:ascii="Times New Roman" w:hAnsi="Times New Roman"/>
          <w:b w:val="0"/>
          <w:i w:val="0"/>
          <w:sz w:val="24"/>
        </w:rPr>
        <w:t>NSS (Normalized Scanpath Saliency). Normalizes the saliency map to zero mean and unit variance, then reads the value at fixation locations. NSS = 0 is chance; positive values indicate the model assigns above-average saliency at fixation points.</w:t>
      </w:r>
    </w:p>
    <w:p/>
    <w:p>
      <w:r>
        <w:rPr>
          <w:rFonts w:ascii="Times New Roman" w:hAnsi="Times New Roman"/>
          <w:b w:val="0"/>
          <w:i w:val="0"/>
          <w:sz w:val="24"/>
        </w:rPr>
        <w:t>CC (Pearson Correlation Coefficient). Measures the spatial correlation between the predicted saliency map and the ground truth heatmap. CC = 0 is no correlation; CC = 1 is perfect spatial agreement.</w:t>
      </w:r>
    </w:p>
    <w:p>
      <w:pPr>
        <w:pStyle w:val="Heading2"/>
      </w:pPr>
      <w:r>
        <w:rPr>
          <w:color w:val="000000"/>
        </w:rPr>
        <w:t>5.2 Results Table</w:t>
      </w:r>
    </w:p>
    <w:p>
      <w:r>
        <w:rPr>
          <w:rFonts w:ascii="Times New Roman" w:hAnsi="Times New Roman"/>
          <w:b w:val="0"/>
          <w:i w:val="0"/>
          <w:sz w:val="24"/>
        </w:rPr>
        <w:t>All four sources were evaluated on the FIND test split (videos 070–075, 310 frames).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Saliency Source</w:t>
            </w:r>
          </w:p>
        </w:tc>
        <w:tc>
          <w:tcPr>
            <w:tcW w:type="dxa" w:w="2160"/>
          </w:tcPr>
          <w:p>
            <w:r>
              <w:rPr>
                <w:b/>
              </w:rPr>
              <w:t>AUC ↑</w:t>
            </w:r>
          </w:p>
        </w:tc>
        <w:tc>
          <w:tcPr>
            <w:tcW w:type="dxa" w:w="2160"/>
          </w:tcPr>
          <w:p>
            <w:r>
              <w:rPr>
                <w:b/>
              </w:rPr>
              <w:t>NSS ↑</w:t>
            </w:r>
          </w:p>
        </w:tc>
        <w:tc>
          <w:tcPr>
            <w:tcW w:type="dxa" w:w="2160"/>
          </w:tcPr>
          <w:p>
            <w:r>
              <w:rPr>
                <w:b/>
              </w:rPr>
              <w:t>CC ↑</w:t>
            </w:r>
          </w:p>
        </w:tc>
      </w:tr>
      <w:tr>
        <w:tc>
          <w:tcPr>
            <w:tcW w:type="dxa" w:w="2160"/>
          </w:tcPr>
          <w:p>
            <w:r>
              <w:t>Random (SaccadeJEPA baseline)</w:t>
            </w:r>
          </w:p>
        </w:tc>
        <w:tc>
          <w:tcPr>
            <w:tcW w:type="dxa" w:w="2160"/>
          </w:tcPr>
          <w:p>
            <w:r>
              <w:t>0.499</w:t>
            </w:r>
          </w:p>
        </w:tc>
        <w:tc>
          <w:tcPr>
            <w:tcW w:type="dxa" w:w="2160"/>
          </w:tcPr>
          <w:p>
            <w:r>
              <w:t>-0.004</w:t>
            </w:r>
          </w:p>
        </w:tc>
        <w:tc>
          <w:tcPr>
            <w:tcW w:type="dxa" w:w="2160"/>
          </w:tcPr>
          <w:p>
            <w:r>
              <w:t>0.000</w:t>
            </w:r>
          </w:p>
        </w:tc>
      </w:tr>
      <w:tr>
        <w:tc>
          <w:tcPr>
            <w:tcW w:type="dxa" w:w="2160"/>
          </w:tcPr>
          <w:p>
            <w:r>
              <w:t>Center bias (parametric)</w:t>
            </w:r>
          </w:p>
        </w:tc>
        <w:tc>
          <w:tcPr>
            <w:tcW w:type="dxa" w:w="2160"/>
          </w:tcPr>
          <w:p>
            <w:r>
              <w:t>0.774</w:t>
            </w:r>
          </w:p>
        </w:tc>
        <w:tc>
          <w:tcPr>
            <w:tcW w:type="dxa" w:w="2160"/>
          </w:tcPr>
          <w:p>
            <w:r>
              <w:t>1.056</w:t>
            </w:r>
          </w:p>
        </w:tc>
        <w:tc>
          <w:tcPr>
            <w:tcW w:type="dxa" w:w="2160"/>
          </w:tcPr>
          <w:p>
            <w:r>
              <w:t>0.460</w:t>
            </w:r>
          </w:p>
        </w:tc>
      </w:tr>
      <w:tr>
        <w:tc>
          <w:tcPr>
            <w:tcW w:type="dxa" w:w="2160"/>
          </w:tcPr>
          <w:p>
            <w:r>
              <w:t>Spectral residual (classical)</w:t>
            </w:r>
          </w:p>
        </w:tc>
        <w:tc>
          <w:tcPr>
            <w:tcW w:type="dxa" w:w="2160"/>
          </w:tcPr>
          <w:p>
            <w:r>
              <w:t>0.687</w:t>
            </w:r>
          </w:p>
        </w:tc>
        <w:tc>
          <w:tcPr>
            <w:tcW w:type="dxa" w:w="2160"/>
          </w:tcPr>
          <w:p>
            <w:r>
              <w:t>0.391</w:t>
            </w:r>
          </w:p>
        </w:tc>
        <w:tc>
          <w:tcPr>
            <w:tcW w:type="dxa" w:w="2160"/>
          </w:tcPr>
          <w:p>
            <w:r>
              <w:t>0.132</w:t>
            </w:r>
          </w:p>
        </w:tc>
      </w:tr>
      <w:tr>
        <w:tc>
          <w:tcPr>
            <w:tcW w:type="dxa" w:w="2160"/>
          </w:tcPr>
          <w:p>
            <w:r>
              <w:rPr>
                <w:b/>
              </w:rPr>
              <w:t>ResNetSaliency (ours)</w:t>
            </w:r>
          </w:p>
        </w:tc>
        <w:tc>
          <w:tcPr>
            <w:tcW w:type="dxa" w:w="2160"/>
          </w:tcPr>
          <w:p>
            <w:r>
              <w:rPr>
                <w:b/>
              </w:rPr>
              <w:t>0.891</w:t>
            </w:r>
          </w:p>
        </w:tc>
        <w:tc>
          <w:tcPr>
            <w:tcW w:type="dxa" w:w="2160"/>
          </w:tcPr>
          <w:p>
            <w:r>
              <w:rPr>
                <w:b/>
              </w:rPr>
              <w:t>2.549</w:t>
            </w:r>
          </w:p>
        </w:tc>
        <w:tc>
          <w:tcPr>
            <w:tcW w:type="dxa" w:w="2160"/>
          </w:tcPr>
          <w:p>
            <w:r>
              <w:rPr>
                <w:b/>
              </w:rPr>
              <w:t>0.713</w:t>
            </w:r>
          </w:p>
        </w:tc>
      </w:tr>
    </w:tbl>
    <w:p/>
    <w:p>
      <w:pPr>
        <w:pStyle w:val="Heading2"/>
      </w:pPr>
      <w:r>
        <w:rPr>
          <w:color w:val="000000"/>
        </w:rPr>
        <w:t>5.3 Discussion</w:t>
      </w:r>
    </w:p>
    <w:p>
      <w:r>
        <w:rPr>
          <w:rFonts w:ascii="Times New Roman" w:hAnsi="Times New Roman"/>
          <w:b w:val="0"/>
          <w:i w:val="0"/>
          <w:sz w:val="24"/>
        </w:rPr>
        <w:t>The random baseline achieves AUC = 0.499, confirming it performs at chance level and validating the evaluation pipeline. This also directly quantifies what SaccadeJEPA produces when used as a gaze simulator: effectively random fixations with no predictive power over human gaze.</w:t>
      </w:r>
    </w:p>
    <w:p/>
    <w:p>
      <w:r>
        <w:rPr>
          <w:rFonts w:ascii="Times New Roman" w:hAnsi="Times New Roman"/>
          <w:b w:val="0"/>
          <w:i w:val="0"/>
          <w:sz w:val="24"/>
        </w:rPr>
        <w:t>Spectral residual (classical) achieves AUC = 0.687, a meaningful improvement over both chance and center bias, though NSS (0.391) and CC (0.132) remain well below the learned model. Classical signal-processing saliency highlights edges and contrast but does not model faces or semantic content, so it underperforms on face-dominated social video.</w:t>
      </w:r>
    </w:p>
    <w:p/>
    <w:p>
      <w:r>
        <w:rPr>
          <w:rFonts w:ascii="Times New Roman" w:hAnsi="Times New Roman"/>
          <w:b w:val="0"/>
          <w:i w:val="0"/>
          <w:sz w:val="24"/>
        </w:rPr>
        <w:t>Center bias achieves AUC = 0.774, reflecting the genuine tendency of both camera operators and viewers to orient toward the center of the frame. This is a strong baseline that requires zero computation or data.</w:t>
      </w:r>
    </w:p>
    <w:p/>
    <w:p>
      <w:r>
        <w:rPr>
          <w:rFonts w:ascii="Times New Roman" w:hAnsi="Times New Roman"/>
          <w:b w:val="0"/>
          <w:i w:val="0"/>
          <w:sz w:val="24"/>
        </w:rPr>
        <w:t>ResNetSaliency achieves AUC = 0.891, NSS = 2.549, and CC = 0.713, outperforming all baselines on every metric. The NSS value of 2.55 is particularly meaningful: fixated pixels score 2.55 standard deviations above the mean of the saliency map, indicating a strong and reliable alignment between model predictions and human gaze.</w:t>
      </w:r>
    </w:p>
    <w:p/>
    <w:p>
      <w:r>
        <w:rPr>
          <w:rFonts w:ascii="Times New Roman" w:hAnsi="Times New Roman"/>
          <w:b w:val="0"/>
          <w:i w:val="0"/>
          <w:sz w:val="24"/>
        </w:rPr>
        <w:t>It is important to note that ResNetSaliency's performance is substantially driven by ImageNet pretraining, which implicitly encodes face and person detection. Since FIND consists of social videos where gaze is predominantly directed at faces, face-aware features are highly predictive of fixation locations. The 16,513-parameter head contributes relatively little beyond re-weighting the backbone's existing feature responses. This is evident from the fact that AUC was already 0.91 at epoch 1, before any meaningful training had occurred. With a larger and more diverse gaze dataset, fine-tuning the full backbone would yield a model that generalizes beyond social scenes.</w:t>
      </w:r>
    </w:p>
    <w:p>
      <w:pPr>
        <w:pStyle w:val="Heading1"/>
      </w:pPr>
      <w:r>
        <w:rPr>
          <w:color w:val="000000"/>
        </w:rPr>
        <w:t>6. Can SaccadeJEPA Be Reused for Gaze Simulation?</w:t>
      </w:r>
    </w:p>
    <w:p>
      <w:r>
        <w:rPr>
          <w:rFonts w:ascii="Times New Roman" w:hAnsi="Times New Roman"/>
          <w:b w:val="0"/>
          <w:i w:val="0"/>
          <w:sz w:val="24"/>
        </w:rPr>
        <w:t>Yes — with one change. SaccadeJEPA's gaze target selection is a single line:</w:t>
      </w:r>
    </w:p>
    <w:p/>
    <w:p>
      <w:r>
        <w:rPr>
          <w:rFonts w:ascii="Courier New" w:hAnsi="Courier New"/>
          <w:sz w:val="20"/>
        </w:rPr>
        <w:t>translations = torch.empty(b, 2).uniform_(-max_frac, max_frac)  # random</w:t>
      </w:r>
    </w:p>
    <w:p/>
    <w:p>
      <w:r>
        <w:rPr>
          <w:rFonts w:ascii="Times New Roman" w:hAnsi="Times New Roman"/>
          <w:b w:val="0"/>
          <w:i w:val="0"/>
          <w:sz w:val="24"/>
        </w:rPr>
        <w:t>Replacing it with saliency-guided sampling:</w:t>
      </w:r>
    </w:p>
    <w:p/>
    <w:p>
      <w:r>
        <w:rPr>
          <w:rFonts w:ascii="Courier New" w:hAnsi="Courier New"/>
          <w:sz w:val="20"/>
        </w:rPr>
        <w:t>saliency     = ResNetSaliency(frame)      # where does the model think people look?</w:t>
        <w:br/>
        <w:t>fixation     = sample_from(saliency)      # weighted sample from that distribution</w:t>
        <w:br/>
        <w:t>translations = fixation_to_ndc(fixation)  # convert to SaccadeJEPA coordinates</w:t>
      </w:r>
    </w:p>
    <w:p/>
    <w:p>
      <w:r>
        <w:rPr>
          <w:rFonts w:ascii="Times New Roman" w:hAnsi="Times New Roman"/>
          <w:b w:val="0"/>
          <w:i w:val="0"/>
          <w:sz w:val="24"/>
        </w:rPr>
        <w:t>The rest of SaccadeJEPA's machinery — affine warp, NeRF positional embedding, predictor network — is unchanged. This replacement is implemented in src/gaze_loop/saliency_saccade.py and demonstrated visually in the comparison figure.</w:t>
      </w:r>
    </w:p>
    <w:p/>
    <w:p>
      <w:r>
        <w:rPr>
          <w:rFonts w:ascii="Times New Roman" w:hAnsi="Times New Roman"/>
          <w:b w:val="0"/>
          <w:i w:val="0"/>
          <w:sz w:val="24"/>
        </w:rPr>
        <w:t>The improvement is substantial: replacing random sampling (AUC = 0.499) with ResNetSaliency (AUC = 0.891) reduces the gap to perfect gaze prediction by 78% in AUC terms and increases NSS from effectively zero (-0.004) to 2.549.</w:t>
      </w:r>
    </w:p>
    <w:p>
      <w:pPr>
        <w:pStyle w:val="Heading1"/>
      </w:pPr>
      <w:r>
        <w:rPr>
          <w:color w:val="000000"/>
        </w:rPr>
        <w:t>7. Conclusion</w:t>
      </w:r>
    </w:p>
    <w:p>
      <w:r>
        <w:rPr>
          <w:rFonts w:ascii="Times New Roman" w:hAnsi="Times New Roman"/>
          <w:b w:val="0"/>
          <w:i w:val="0"/>
          <w:sz w:val="24"/>
        </w:rPr>
        <w:t>SaccadeJEPA is a representation learning model, not a gaze simulator. Its saccade targets are uniformly random, producing fixation patterns indistinguishable from chance. By replacing the random sampling with a ResNet-18 saliency predictor trained on human eye-tracking data from the FIND dataset, we obtain a content-driven gaze model that achieves AUC = 0.891 and NSS = 2.549 on held-out social videos — compared to AUC = 0.499 for the SaccadeJEPA baseline.</w:t>
      </w:r>
    </w:p>
    <w:p/>
    <w:p>
      <w:r>
        <w:rPr>
          <w:rFonts w:ascii="Times New Roman" w:hAnsi="Times New Roman"/>
          <w:b w:val="0"/>
          <w:i w:val="0"/>
          <w:sz w:val="24"/>
        </w:rPr>
        <w:t>The learned model's strength on social video content reflects the dataset's structure: gaze on face-heavy content is well-captured by ImageNet-pretrained features. For a fully general gaze predictor, a more diverse training dataset and full backbone fine-tuning would be needed. Within the scope of the FIND dataset and social video domain, the results demonstrate that principled saliency substantially outperforms blind random sampling as a gaze simulation strategy.</w:t>
      </w:r>
    </w:p>
    <w:p>
      <w:pPr>
        <w:pStyle w:val="Heading1"/>
      </w:pPr>
      <w:r>
        <w:rPr>
          <w:color w:val="000000"/>
        </w:rPr>
        <w:t>References</w:t>
      </w:r>
    </w:p>
    <w:p>
      <w:pPr>
        <w:pStyle w:val="ListBullet"/>
      </w:pPr>
      <w:r>
        <w:rPr>
          <w:sz w:val="22"/>
        </w:rPr>
        <w:t>LeCun, Y. (2022). A path towards autonomous machine intelligence. OpenReview.</w:t>
      </w:r>
    </w:p>
    <w:p>
      <w:pPr>
        <w:pStyle w:val="ListBullet"/>
      </w:pPr>
      <w:r>
        <w:rPr>
          <w:sz w:val="22"/>
        </w:rPr>
        <w:t>Assran, M. et al. (2023). Self-supervised learning from images with a joint-embedding predictive architecture. CVPR.</w:t>
      </w:r>
    </w:p>
    <w:p>
      <w:pPr>
        <w:pStyle w:val="ListBullet"/>
      </w:pPr>
      <w:r>
        <w:rPr>
          <w:sz w:val="22"/>
        </w:rPr>
        <w:t>Itti, L., Koch, C., &amp; Niebur, E. (1998). A model of saliency-based visual attention for rapid scene analysis. IEEE TPAMI.</w:t>
      </w:r>
    </w:p>
    <w:p>
      <w:pPr>
        <w:pStyle w:val="ListBullet"/>
      </w:pPr>
      <w:r>
        <w:rPr>
          <w:sz w:val="22"/>
        </w:rPr>
        <w:t>Hou, X. &amp; Zhang, L. (2007). Saliency detection: A spectral residual approach. CVPR.</w:t>
      </w:r>
    </w:p>
    <w:p>
      <w:pPr>
        <w:pStyle w:val="ListBullet"/>
      </w:pPr>
      <w:r>
        <w:rPr>
          <w:sz w:val="22"/>
        </w:rPr>
        <w:t>Bylinskii, Z. et al. (2019). What do different evaluation metrics tell us about saliency models? IEEE TPAMI.</w:t>
      </w:r>
    </w:p>
    <w:p>
      <w:pPr>
        <w:pStyle w:val="ListBullet"/>
      </w:pPr>
      <w:r>
        <w:rPr>
          <w:sz w:val="22"/>
        </w:rPr>
        <w:t>Liu, Y. &amp; Xu, M. (2016). Find-Who-to-Look-at database. Beihang University.</w:t>
      </w:r>
    </w:p>
    <w:p>
      <w:pPr>
        <w:pStyle w:val="ListBullet"/>
      </w:pPr>
      <w:r>
        <w:rPr>
          <w:sz w:val="22"/>
        </w:rPr>
        <w:t>Judd, T. et al. (2009). Learning to predict where humans look. ICCV.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