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2 — التقويم التشخيصي والتكويني والختامي، والتقويم من أجل التعلم</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التقويم التشخيصي والتكويني والختامي من حيث الغرض والتوقيت ومن يستخدم النتيجة، ويطبّق ذلك على وحدة دراسية واحدة.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يفرّق بين التقويم من أجل التعلم، وتقويم التعلم، والتقويم بوصفه تعلماً، ويحدد موقع كل نشاط تقويمي منها.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يعرض ما توصلت إليه مراجعة بلاك وويليام (1998) عرضاً دقيقاً دون مبالغة في الأرقام.</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يطبّق الاستراتيجيات الخمس للتقويم التكويني عند ويليام بأسلوب صفي محدد لكل منها.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سؤالاً تشخيصياً يرتبط كل مموّه فيه بمفهوم خاطئ معروف، ويحدد الإجراء الذي يتخذه المعلم بعد كل إجابة.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تغذية راجعة على مستويات المهمة والعملية والتنظيم الذاتي، ويقيّم مسودات كلود في ضوء نموذج هاتي وتيمبرلي.</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1، ويبدأ فيه العمل على مخرج المساق 6 (البحث الإجرائي) الذي يُسلَّم في الأسبوع 14.</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التقويم يُعرَّف بالاستخدام لا بالأداة</w:t>
      </w:r>
    </w:p>
    <w:p>
      <w:pPr>
        <w:bidi/>
        <w:spacing w:after="120" w:line="300"/>
        <w:jc w:val="right"/>
      </w:pPr>
      <w:r>
        <w:rPr>
          <w:rFonts w:ascii="IBM Plex Sans Arabic" w:cs="IBM Plex Sans Arabic" w:eastAsia="IBM Plex Sans Arabic" w:hAnsi="IBM Plex Sans Arabic"/>
          <w:sz w:val="22"/>
          <w:szCs w:val="22"/>
          <w:rtl/>
        </w:rPr>
        <w:t xml:space="preserve">يظن كثير من المعلمين أن نوع التقويم تحدده الأداة: الاختبار القصير تكويني، واختبار نهاية الفصل ختامي. هذا غير دقيق. الأداة نفسها قد تخدم أغراضاً مختلفة، والذي يحدد نوع التقويم هو </w:t>
      </w:r>
      <w:r>
        <w:rPr>
          <w:rFonts w:ascii="IBM Plex Sans Arabic" w:cs="IBM Plex Sans Arabic" w:eastAsia="IBM Plex Sans Arabic" w:hAnsi="IBM Plex Sans Arabic"/>
          <w:b/>
          <w:bCs/>
          <w:sz w:val="22"/>
          <w:szCs w:val="22"/>
          <w:rtl/>
        </w:rPr>
        <w:t xml:space="preserve">ما نفعله بالنتيجة</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sz w:val="22"/>
          <w:szCs w:val="22"/>
          <w:rtl/>
        </w:rPr>
        <w:t xml:space="preserve">خذ اختباراً قصيراً من عشرة أسئلة عن حالات المادة: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إذا طُبّق قبل بدء الوحدة لمعرفة ما يعرفه الطلبة مسبقاً، فهو </w:t>
      </w:r>
      <w:r>
        <w:rPr>
          <w:rFonts w:ascii="IBM Plex Sans Arabic" w:cs="IBM Plex Sans Arabic" w:eastAsia="IBM Plex Sans Arabic" w:hAnsi="IBM Plex Sans Arabic"/>
          <w:b/>
          <w:bCs/>
          <w:sz w:val="22"/>
          <w:szCs w:val="22"/>
          <w:rtl/>
        </w:rPr>
        <w:t xml:space="preserve">تشخيصي</w:t>
      </w:r>
      <w:r>
        <w:rPr>
          <w:rFonts w:ascii="IBM Plex Sans Arabic" w:cs="IBM Plex Sans Arabic" w:eastAsia="IBM Plex Sans Arabic" w:hAnsi="IBM Plex Sans Arabic"/>
          <w:sz w:val="22"/>
          <w:szCs w:val="22"/>
        </w:rPr>
        <w:t xml:space="preserve">.</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إذا طُبّق في منتصف الوحدة وعدّل المعلم خطته في الحصة التالية بناءً عليه، فهو </w:t>
      </w:r>
      <w:r>
        <w:rPr>
          <w:rFonts w:ascii="IBM Plex Sans Arabic" w:cs="IBM Plex Sans Arabic" w:eastAsia="IBM Plex Sans Arabic" w:hAnsi="IBM Plex Sans Arabic"/>
          <w:b/>
          <w:bCs/>
          <w:sz w:val="22"/>
          <w:szCs w:val="22"/>
          <w:rtl/>
        </w:rPr>
        <w:t xml:space="preserve">تكويني</w:t>
      </w:r>
      <w:r>
        <w:rPr>
          <w:rFonts w:ascii="IBM Plex Sans Arabic" w:cs="IBM Plex Sans Arabic" w:eastAsia="IBM Plex Sans Arabic" w:hAnsi="IBM Plex Sans Arabic"/>
          <w:sz w:val="22"/>
          <w:szCs w:val="22"/>
        </w:rPr>
        <w:t xml:space="preserve">.</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إذا طُبّق في نهاية الوحدة ورُصدت درجته في السجل، فهو </w:t>
      </w:r>
      <w:r>
        <w:rPr>
          <w:rFonts w:ascii="IBM Plex Sans Arabic" w:cs="IBM Plex Sans Arabic" w:eastAsia="IBM Plex Sans Arabic" w:hAnsi="IBM Plex Sans Arabic"/>
          <w:b/>
          <w:bCs/>
          <w:sz w:val="22"/>
          <w:szCs w:val="22"/>
          <w:rtl/>
        </w:rPr>
        <w:t xml:space="preserve">ختامي</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sz w:val="22"/>
          <w:szCs w:val="22"/>
          <w:rtl/>
        </w:rPr>
        <w:t xml:space="preserve">لذلك نقول: التقويم يكون تكوينياً </w:t>
      </w:r>
      <w:r>
        <w:rPr>
          <w:rFonts w:ascii="IBM Plex Sans Arabic" w:cs="IBM Plex Sans Arabic" w:eastAsia="IBM Plex Sans Arabic" w:hAnsi="IBM Plex Sans Arabic"/>
          <w:b/>
          <w:bCs/>
          <w:sz w:val="22"/>
          <w:szCs w:val="22"/>
          <w:rtl/>
        </w:rPr>
        <w:t xml:space="preserve">بقدر</w:t>
      </w:r>
      <w:r>
        <w:rPr>
          <w:rFonts w:ascii="IBM Plex Sans Arabic" w:cs="IBM Plex Sans Arabic" w:eastAsia="IBM Plex Sans Arabic" w:hAnsi="IBM Plex Sans Arabic"/>
          <w:sz w:val="22"/>
          <w:szCs w:val="22"/>
          <w:rtl/>
        </w:rPr>
        <w:t xml:space="preserve"> ما يُستخدم دليله لتعديل التعليم أو التعلم. اختبار قصير يُصحَّح ويُرصد ثم يُنسى ليس تكوينياً، حتى لو سمّته الخطة كذلك.</w:t>
      </w:r>
    </w:p>
    <w:p>
      <w:pPr>
        <w:bidi/>
        <w:spacing w:after="120" w:line="300"/>
        <w:jc w:val="right"/>
      </w:pPr>
      <w:r>
        <w:rPr>
          <w:rFonts w:ascii="IBM Plex Sans Arabic" w:cs="IBM Plex Sans Arabic" w:eastAsia="IBM Plex Sans Arabic" w:hAnsi="IBM Plex Sans Arabic"/>
          <w:sz w:val="22"/>
          <w:szCs w:val="22"/>
          <w:rtl/>
        </w:rPr>
        <w:t xml:space="preserve">وهذا يعيدنا إلى فكرة الأسبوع الأول: التقويم سلسلة من القرارات. قبل أن تختار أداة، اسأل: ما القرار الذي سأتخذه بالنتيجة؟ ومن سيتخذه؟ ومتى؟</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ثلاث وظائف في وحدة واحدة</w:t>
      </w:r>
    </w:p>
    <w:p>
      <w:pPr>
        <w:bidi/>
        <w:spacing w:after="120" w:line="300"/>
        <w:jc w:val="right"/>
      </w:pPr>
      <w:r>
        <w:rPr>
          <w:rFonts w:ascii="IBM Plex Sans Arabic" w:cs="IBM Plex Sans Arabic" w:eastAsia="IBM Plex Sans Arabic" w:hAnsi="IBM Plex Sans Arabic"/>
          <w:sz w:val="22"/>
          <w:szCs w:val="22"/>
          <w:rtl/>
        </w:rPr>
        <w:t xml:space="preserve">نتابع في هذا الأسبوع وحدة واحدة من علوم الصف الثامن بعنوان «المادة وتغيّراتها». تتناول الوحدة: التغيرات الفيزيائية والكيميائية ومنها الذوبان، وحالات المادة ونموذج الجسيمات، والكثافة والطفو، وأدلة التفاعل الكيميائي، وحفظ الكتلة، وفصل مكونات المخاليط. وسنعود إلى الوحدة نفسها في الأسبوع 3 عندما نفحص مواءمة اختبارها الختامي مع نواتجها.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8"/>
        <w:gridCol w:w="2853"/>
        <w:gridCol w:w="3043"/>
        <w:gridCol w:w="2474"/>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الجانب</w:t>
            </w:r>
          </w:p>
        </w:tc>
        <w:tc>
          <w:tcPr>
            <w:tcW w:type="dxa" w:w="28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التشخيصي</w:t>
            </w:r>
          </w:p>
        </w:tc>
        <w:tc>
          <w:tcPr>
            <w:tcW w:type="dxa" w:w="30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التكويني</w:t>
            </w:r>
          </w:p>
        </w:tc>
        <w:tc>
          <w:tcPr>
            <w:tcW w:type="dxa" w:w="24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الختامي</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التوقيت</w:t>
            </w:r>
          </w:p>
        </w:tc>
        <w:tc>
          <w:tcPr>
            <w:tcW w:type="dxa" w:w="2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قبل الوحدة أو في بدايتها</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أثناء التعلم، في الحصة نفسها أو بين الحصص</w:t>
            </w:r>
          </w:p>
        </w:tc>
        <w:tc>
          <w:tcPr>
            <w:tcW w:type="dxa" w:w="2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في نهاية الوحدة أو الفصل</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السؤال الذي يجيب عنه</w:t>
            </w:r>
          </w:p>
        </w:tc>
        <w:tc>
          <w:tcPr>
            <w:tcW w:type="dxa" w:w="2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يعرف الطلبة؟ وما المفاهيم الخاطئة لديهم؟</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يتقدم التعلم كما خططت؟ ماذا أعدّل الآن؟</w:t>
            </w:r>
          </w:p>
        </w:tc>
        <w:tc>
          <w:tcPr>
            <w:tcW w:type="dxa" w:w="2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أتقن الطلبة في النهاية؟</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مثال من الوحدة</w:t>
            </w:r>
          </w:p>
        </w:tc>
        <w:tc>
          <w:tcPr>
            <w:tcW w:type="dxa" w:w="2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خمسة أسئلة عن الجسيمات قبل الدرس الأول</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مفصلي عن الذوبان، وتذكرة خروج عن حفظ الكتلة</w:t>
            </w:r>
          </w:p>
        </w:tc>
        <w:tc>
          <w:tcPr>
            <w:tcW w:type="dxa" w:w="2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الوحدة ومهمة أدائية عن فصل مخلوط</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يستخدم النتيجة؟</w:t>
            </w:r>
          </w:p>
        </w:tc>
        <w:tc>
          <w:tcPr>
            <w:tcW w:type="dxa" w:w="2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 في التخطيط</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 والطالب معاً</w:t>
            </w:r>
          </w:p>
        </w:tc>
        <w:tc>
          <w:tcPr>
            <w:tcW w:type="dxa" w:w="2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 والإدارة وولي الأمر</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تُرصد درجة؟</w:t>
            </w:r>
          </w:p>
        </w:tc>
        <w:tc>
          <w:tcPr>
            <w:tcW w:type="dxa" w:w="2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عادةً</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أو بوزن صغير جداً</w:t>
            </w:r>
          </w:p>
        </w:tc>
        <w:tc>
          <w:tcPr>
            <w:tcW w:type="dxa" w:w="2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نعم</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مستوى المخاطرة</w:t>
            </w:r>
          </w:p>
        </w:tc>
        <w:tc>
          <w:tcPr>
            <w:tcW w:type="dxa" w:w="2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منخفض</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منخفض</w:t>
            </w:r>
          </w:p>
        </w:tc>
        <w:tc>
          <w:tcPr>
            <w:tcW w:type="dxa" w:w="2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مرتفع</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التشخيص قبل الوحدة</w:t>
      </w:r>
    </w:p>
    <w:p>
      <w:pPr>
        <w:bidi/>
        <w:spacing w:after="120" w:line="300"/>
        <w:jc w:val="right"/>
      </w:pPr>
      <w:r>
        <w:rPr>
          <w:rFonts w:ascii="IBM Plex Sans Arabic" w:cs="IBM Plex Sans Arabic" w:eastAsia="IBM Plex Sans Arabic" w:hAnsi="IBM Plex Sans Arabic"/>
          <w:sz w:val="22"/>
          <w:szCs w:val="22"/>
          <w:rtl/>
        </w:rPr>
        <w:t xml:space="preserve">قبل بدء الوحدة يطرح المعلم خمسة أسئلة قصيرة، منها: «ماذا يوجد بين جسيمات الهواء؟» و«عندما يذوب السكر في الماء، أين يذهب؟». لا يهدف المعلم إلى درجة، بل إلى صورة: كم طالباً يعتقد أن الذوبان انصهار؟ كم طالباً يعتقد أن المادة تختفي؟</w:t>
      </w:r>
    </w:p>
    <w:p>
      <w:pPr>
        <w:bidi/>
        <w:spacing w:after="120" w:line="300"/>
        <w:jc w:val="right"/>
      </w:pPr>
      <w:r>
        <w:rPr>
          <w:rFonts w:ascii="IBM Plex Sans Arabic" w:cs="IBM Plex Sans Arabic" w:eastAsia="IBM Plex Sans Arabic" w:hAnsi="IBM Plex Sans Arabic"/>
          <w:sz w:val="22"/>
          <w:szCs w:val="22"/>
          <w:rtl/>
        </w:rPr>
        <w:t xml:space="preserve">قيمة التقويم التشخيصي أنه يكشف </w:t>
      </w:r>
      <w:r>
        <w:rPr>
          <w:rFonts w:ascii="IBM Plex Sans Arabic" w:cs="IBM Plex Sans Arabic" w:eastAsia="IBM Plex Sans Arabic" w:hAnsi="IBM Plex Sans Arabic"/>
          <w:b/>
          <w:bCs/>
          <w:sz w:val="22"/>
          <w:szCs w:val="22"/>
          <w:rtl/>
        </w:rPr>
        <w:t xml:space="preserve">المفاهيم الخاطئة</w:t>
      </w:r>
      <w:r>
        <w:rPr>
          <w:rFonts w:ascii="IBM Plex Sans Arabic" w:cs="IBM Plex Sans Arabic" w:eastAsia="IBM Plex Sans Arabic" w:hAnsi="IBM Plex Sans Arabic"/>
          <w:sz w:val="22"/>
          <w:szCs w:val="22"/>
          <w:rtl/>
        </w:rPr>
        <w:t xml:space="preserve"> لا مجرد نقص المعرفة. الطالب الذي لا يعرف يحتاج إلى تعليم، أما الطالب الذي يعرف معرفة خاطئة فيحتاج إلى تعليم يواجه الفكرة الخاطئة صراحة. ولهذا نستخدم في التشخيص أسئلة اختيار من متعدد مموهاتها مبنية على مفاهيم خاطئة، كما سنرى في القسم 6.</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2.2 التكوين أثناء الوحدة</w:t>
      </w:r>
    </w:p>
    <w:p>
      <w:pPr>
        <w:bidi/>
        <w:spacing w:after="120" w:line="300"/>
        <w:jc w:val="right"/>
      </w:pPr>
      <w:r>
        <w:rPr>
          <w:rFonts w:ascii="IBM Plex Sans Arabic" w:cs="IBM Plex Sans Arabic" w:eastAsia="IBM Plex Sans Arabic" w:hAnsi="IBM Plex Sans Arabic"/>
          <w:sz w:val="22"/>
          <w:szCs w:val="22"/>
          <w:rtl/>
        </w:rPr>
        <w:t xml:space="preserve">في منتصف درس الذوبان، يطرح المعلم سؤالاً واحداً ويرفع الطلبة جميعاً بطاقات البدائل في اللحظة نفسها. إذا اختار معظمهم الإجابة الصحيحة انتقل إلى الجزء التالي. وإذا انقسموا بين بديلين، عرف المعلم الفكرة الخاطئة السائدة وعالجها قبل أن يبني عليها.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2.3 الختام في نهاية الوحدة</w:t>
      </w:r>
    </w:p>
    <w:p>
      <w:pPr>
        <w:bidi/>
        <w:spacing w:after="120" w:line="300"/>
        <w:jc w:val="right"/>
      </w:pPr>
      <w:r>
        <w:rPr>
          <w:rFonts w:ascii="IBM Plex Sans Arabic" w:cs="IBM Plex Sans Arabic" w:eastAsia="IBM Plex Sans Arabic" w:hAnsi="IBM Plex Sans Arabic"/>
          <w:sz w:val="22"/>
          <w:szCs w:val="22"/>
          <w:rtl/>
        </w:rPr>
        <w:t xml:space="preserve">اختبار الوحدة يقدّم حكماً على مستوى الإتقان، ويُرصد في السجل. لأن المخاطرة هنا أعلى، تصبح أسئلة الصدق والثبات والعدالة أكثر إلحاحاً. هذا ما سنفحصه في الأسابيع 3 – 5.</w:t>
      </w:r>
    </w:p>
    <w:p>
      <w:pPr>
        <w:bidi/>
        <w:spacing w:after="120" w:line="300"/>
        <w:jc w:val="right"/>
      </w:pPr>
      <w:r>
        <w:rPr>
          <w:rFonts w:ascii="IBM Plex Sans Arabic" w:cs="IBM Plex Sans Arabic" w:eastAsia="IBM Plex Sans Arabic" w:hAnsi="IBM Plex Sans Arabic"/>
          <w:b/>
          <w:bCs/>
          <w:sz w:val="22"/>
          <w:szCs w:val="22"/>
          <w:rtl/>
        </w:rPr>
        <w:t xml:space="preserve">ملاحظة مهمة:</w:t>
      </w:r>
      <w:r>
        <w:rPr>
          <w:rFonts w:ascii="IBM Plex Sans Arabic" w:cs="IBM Plex Sans Arabic" w:eastAsia="IBM Plex Sans Arabic" w:hAnsi="IBM Plex Sans Arabic"/>
          <w:sz w:val="22"/>
          <w:szCs w:val="22"/>
          <w:rtl/>
        </w:rPr>
        <w:t xml:space="preserve"> يمكن أن يستخدم المعلم نتائج الاختبار الختامي استخداماً تكوينياً، مثل أن يحلل الأخطاء الشائعة ليعدّل تدريس الوحدة نفسها في العام التالي. هذا يؤكد مرة أخرى أن الاستخدام هو الذي يحدد الوظيفة.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التقويم من أجل التعلم، وتقويم التعلم، والتقويم بوصفه تعلماً</w:t>
      </w:r>
    </w:p>
    <w:p>
      <w:pPr>
        <w:bidi/>
        <w:spacing w:after="120" w:line="300"/>
        <w:jc w:val="right"/>
      </w:pPr>
      <w:r>
        <w:rPr>
          <w:rFonts w:ascii="IBM Plex Sans Arabic" w:cs="IBM Plex Sans Arabic" w:eastAsia="IBM Plex Sans Arabic" w:hAnsi="IBM Plex Sans Arabic"/>
          <w:sz w:val="22"/>
          <w:szCs w:val="22"/>
          <w:rtl/>
        </w:rPr>
        <w:t xml:space="preserve">تقسيم ثانٍ شائع في الأدبيات يركز على </w:t>
      </w:r>
      <w:r>
        <w:rPr>
          <w:rFonts w:ascii="IBM Plex Sans Arabic" w:cs="IBM Plex Sans Arabic" w:eastAsia="IBM Plex Sans Arabic" w:hAnsi="IBM Plex Sans Arabic"/>
          <w:b/>
          <w:bCs/>
          <w:sz w:val="22"/>
          <w:szCs w:val="22"/>
          <w:rtl/>
        </w:rPr>
        <w:t xml:space="preserve">علاقة التقويم بالتعلم</w:t>
      </w:r>
      <w:r>
        <w:rPr>
          <w:rFonts w:ascii="IBM Plex Sans Arabic" w:cs="IBM Plex Sans Arabic" w:eastAsia="IBM Plex Sans Arabic" w:hAnsi="IBM Plex Sans Arabic"/>
          <w:sz w:val="22"/>
          <w:szCs w:val="22"/>
          <w:rtl/>
        </w:rPr>
        <w:t xml:space="preserve"> لا على توقيته: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2"/>
        <w:gridCol w:w="3672"/>
        <w:gridCol w:w="1005"/>
        <w:gridCol w:w="3609"/>
      </w:tblGrid>
      <w:tr>
        <w:trPr>
          <w:cantSplit/>
          <w:tblHeader/>
        </w:trPr>
        <w:tc>
          <w:tcPr>
            <w:tcW w:type="dxa" w:w="13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w:t>
            </w:r>
          </w:p>
        </w:tc>
        <w:tc>
          <w:tcPr>
            <w:tcW w:type="dxa" w:w="36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الغرض</w:t>
            </w:r>
          </w:p>
        </w:tc>
        <w:tc>
          <w:tcPr>
            <w:tcW w:type="dxa" w:w="10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دور الطالب</w:t>
            </w:r>
          </w:p>
        </w:tc>
        <w:tc>
          <w:tcPr>
            <w:tcW w:type="dxa" w:w="36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من الوحدة</w:t>
            </w:r>
          </w:p>
        </w:tc>
      </w:tr>
      <w:tr>
        <w:trPr>
          <w:cantSplit/>
        </w:trPr>
        <w:tc>
          <w:tcPr>
            <w:tcW w:type="dxa" w:w="1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تقويم التعلم</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إصدار حكم على ما تعلّمه الطالب وتوثيقه</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يُقوَّم</w:t>
            </w:r>
          </w:p>
        </w:tc>
        <w:tc>
          <w:tcPr>
            <w:tcW w:type="dxa" w:w="3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الوحدة المرصود في السجل</w:t>
            </w:r>
          </w:p>
        </w:tc>
      </w:tr>
      <w:tr>
        <w:trPr>
          <w:cantSplit/>
        </w:trPr>
        <w:tc>
          <w:tcPr>
            <w:tcW w:type="dxa" w:w="1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من أجل التعلم</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جمع أدلة يستخدمها المعلم والطالب لتحديد الخطوة التالية</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شريك في الأدلة</w:t>
            </w:r>
          </w:p>
        </w:tc>
        <w:tc>
          <w:tcPr>
            <w:tcW w:type="dxa" w:w="3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مفصلي يعدّل المعلم بعده الشرح</w:t>
            </w:r>
          </w:p>
        </w:tc>
      </w:tr>
      <w:tr>
        <w:trPr>
          <w:cantSplit/>
        </w:trPr>
        <w:tc>
          <w:tcPr>
            <w:tcW w:type="dxa" w:w="1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بوصفه تعلماً</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أن يصبح التقويم نفسه وسيلة يراقب بها الطالب تعلمه وينظّمه</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مقوِّم لنفسه</w:t>
            </w:r>
          </w:p>
        </w:tc>
        <w:tc>
          <w:tcPr>
            <w:tcW w:type="dxa" w:w="3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قائمة تقويم ذاتي يقارن فيها الطالب تفسيره بمعايير النجاح</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العلاقة بين التقسيمين تقريبية: التقويم الختامي غالباً «تقويم التعلم»، والتكويني غالباً «من أجل التعلم». أما «التقويم بوصفه تعلماً» فهو حالة خاصة من التقويم من أجل التعلم يكون فيها الطالب هو المستخدم الأول للدليل. لا تتعامل مع هذه المصطلحات بوصفها صناديق مغلقة، فالنشاط الواحد قد يجمع أكثر من وظيفة.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ماذا تقول الأدلة؟ مراجعة بلاك وويليام (1998)</w:t>
      </w:r>
    </w:p>
    <w:p>
      <w:pPr>
        <w:bidi/>
        <w:spacing w:after="120" w:line="300"/>
        <w:jc w:val="right"/>
      </w:pPr>
      <w:r>
        <w:rPr>
          <w:rFonts w:ascii="IBM Plex Sans Arabic" w:cs="IBM Plex Sans Arabic" w:eastAsia="IBM Plex Sans Arabic" w:hAnsi="IBM Plex Sans Arabic"/>
          <w:sz w:val="22"/>
          <w:szCs w:val="22"/>
          <w:rtl/>
        </w:rPr>
        <w:t xml:space="preserve">نشر بول بلاك وديلان ويليام عام 1998 مراجعة واسعة للبحوث المنشورة حول التقويم الصفي بعنوان «التقويم والتعلم الصفي». جمعت المراجعة دراسات كثيرة ومتنوعة في المراحل والمواد والبلدان.</w:t>
      </w:r>
    </w:p>
    <w:p>
      <w:pPr>
        <w:bidi/>
        <w:spacing w:after="120" w:line="300"/>
        <w:jc w:val="right"/>
      </w:pPr>
      <w:r>
        <w:rPr>
          <w:rFonts w:ascii="IBM Plex Sans Arabic" w:cs="IBM Plex Sans Arabic" w:eastAsia="IBM Plex Sans Arabic" w:hAnsi="IBM Plex Sans Arabic"/>
          <w:b/>
          <w:bCs/>
          <w:sz w:val="22"/>
          <w:szCs w:val="22"/>
          <w:rtl/>
        </w:rPr>
        <w:t xml:space="preserve">ما خلصت إليه المراجعة بصورة عامة: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أن تحسين التقويم التكويني في الصف يرتبط بمكاسب ملموسة في التعلم.</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أن ممارسات التقويم السائدة في كثير من الصفوف كانت تركز على الدرجات والمقارنة بين الطلبة أكثر من تركيزها على تحسين التعلم.</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أن التغذية الراجعة التي تخبر الطالب كيف يتحسن أنفع من تلك التي تكتفي بالدرجة.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أن بعض الدراسات أشارت إلى أن الطلبة منخفضي التحصيل قد يستفيدون أكثر من غيرهم.</w:t>
      </w:r>
    </w:p>
    <w:p>
      <w:pPr>
        <w:bidi/>
        <w:spacing w:after="120" w:line="300"/>
        <w:jc w:val="right"/>
      </w:pPr>
      <w:r>
        <w:rPr>
          <w:rFonts w:ascii="IBM Plex Sans Arabic" w:cs="IBM Plex Sans Arabic" w:eastAsia="IBM Plex Sans Arabic" w:hAnsi="IBM Plex Sans Arabic"/>
          <w:b/>
          <w:bCs/>
          <w:sz w:val="22"/>
          <w:szCs w:val="22"/>
          <w:rtl/>
        </w:rPr>
        <w:t xml:space="preserve">ما يجب أن ننتبه إليه عند الاستشهاد بها: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لا نذكر رقماً لحجم الأثر في هذا المساق.</w:t>
      </w:r>
      <w:r>
        <w:rPr>
          <w:rFonts w:ascii="IBM Plex Sans Arabic" w:cs="IBM Plex Sans Arabic" w:eastAsia="IBM Plex Sans Arabic" w:hAnsi="IBM Plex Sans Arabic"/>
          <w:sz w:val="22"/>
          <w:szCs w:val="22"/>
          <w:rtl/>
        </w:rPr>
        <w:t xml:space="preserve"> تُتداول أرقام كثيرة منسوبة إلى هذه المراجعة، وكثير منها منقول خارج سياقه. الدراسات التي جمعتها متنوعة جداً في تصميمها وفي تعريفها للتقويم التكويني، وهذا يجعل أي رقم واحد تبسيطاً مضللاً.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ناقش باحثون لاحقون حجم الأثر الحقيقي، ورأى بعضهم أنه أصغر مما شاع. الخلاصة المتفق عليها أكثر هي </w:t>
      </w:r>
      <w:r>
        <w:rPr>
          <w:rFonts w:ascii="IBM Plex Sans Arabic" w:cs="IBM Plex Sans Arabic" w:eastAsia="IBM Plex Sans Arabic" w:hAnsi="IBM Plex Sans Arabic"/>
          <w:b/>
          <w:bCs/>
          <w:sz w:val="22"/>
          <w:szCs w:val="22"/>
          <w:rtl/>
        </w:rPr>
        <w:t xml:space="preserve">الاتجاه</w:t>
      </w:r>
      <w:r>
        <w:rPr>
          <w:rFonts w:ascii="IBM Plex Sans Arabic" w:cs="IBM Plex Sans Arabic" w:eastAsia="IBM Plex Sans Arabic" w:hAnsi="IBM Plex Sans Arabic"/>
          <w:sz w:val="22"/>
          <w:szCs w:val="22"/>
          <w:rtl/>
        </w:rPr>
        <w:t xml:space="preserve">: التقويم التكويني الجيد مفيد، وفائدته تعتمد على جودة التطبيق.</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المراجعة لا تقول إن أي نشاط يُسمّى «تكوينياً» يرفع التحصيل. الأثر يأتي من استخدام الدليل لتعديل التعليم، لا من كثرة الاختبارات القصيرة.</w:t>
      </w:r>
    </w:p>
    <w:p>
      <w:pPr>
        <w:bidi/>
        <w:spacing w:after="120" w:line="300"/>
        <w:jc w:val="right"/>
      </w:pPr>
      <w:r>
        <w:rPr>
          <w:rFonts w:ascii="IBM Plex Sans Arabic" w:cs="IBM Plex Sans Arabic" w:eastAsia="IBM Plex Sans Arabic" w:hAnsi="IBM Plex Sans Arabic"/>
          <w:b/>
          <w:bCs/>
          <w:sz w:val="22"/>
          <w:szCs w:val="22"/>
          <w:rtl/>
        </w:rPr>
        <w:t xml:space="preserve">قاعدة للاستشهاد:</w:t>
      </w:r>
      <w:r>
        <w:rPr>
          <w:rFonts w:ascii="IBM Plex Sans Arabic" w:cs="IBM Plex Sans Arabic" w:eastAsia="IBM Plex Sans Arabic" w:hAnsi="IBM Plex Sans Arabic"/>
          <w:sz w:val="22"/>
          <w:szCs w:val="22"/>
          <w:rtl/>
        </w:rPr>
        <w:t xml:space="preserve"> إذا قرأت في منشور أو عرض تقديمي أن «التقويم التكويني يضاعف سرعة التعلم» أو رقماً محدداً منسوباً إلى بلاك وويليام، فارجع إلى المصدر قبل أن تكرره. وينطبق هذا بقوة أكبر على ما يقوله كلود، كما سنرى في القسم 8.</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الاستراتيجيات الخمس للتقويم التكويني عند ويليام</w:t>
      </w:r>
    </w:p>
    <w:p>
      <w:pPr>
        <w:bidi/>
        <w:spacing w:after="120" w:line="300"/>
        <w:jc w:val="right"/>
      </w:pPr>
      <w:r>
        <w:rPr>
          <w:rFonts w:ascii="IBM Plex Sans Arabic" w:cs="IBM Plex Sans Arabic" w:eastAsia="IBM Plex Sans Arabic" w:hAnsi="IBM Plex Sans Arabic"/>
          <w:sz w:val="22"/>
          <w:szCs w:val="22"/>
          <w:rtl/>
        </w:rPr>
        <w:t xml:space="preserve">حوّل ويليام (2017) نتائج البحوث إلى إطار عملي يقوم على ثلاثة أسئلة: إلى أين يتجه الطالب؟ أين هو الآن؟ كيف يصل؟ وثلاثة أطراف: المعلم، والأقران، والطالب نفسه. من تقاطعها خرجت خمس استراتيجيات رئيسة: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2"/>
        <w:gridCol w:w="1527"/>
        <w:gridCol w:w="2001"/>
        <w:gridCol w:w="3688"/>
      </w:tblGrid>
      <w:tr>
        <w:trPr>
          <w:cantSplit/>
          <w:tblHeader/>
        </w:trPr>
        <w:tc>
          <w:tcPr>
            <w:tcW w:type="dxa" w:w="24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الاستراتيجية</w:t>
            </w:r>
          </w:p>
        </w:tc>
        <w:tc>
          <w:tcPr>
            <w:tcW w:type="dxa" w:w="1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تخدمه</w:t>
            </w:r>
          </w:p>
        </w:tc>
        <w:tc>
          <w:tcPr>
            <w:tcW w:type="dxa" w:w="20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أسلوب صفي محدد</w:t>
            </w:r>
          </w:p>
        </w:tc>
        <w:tc>
          <w:tcPr>
            <w:tcW w:type="dxa" w:w="36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من الوحدة</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توضيح أهداف التعلم ومعايير النجاح ومشاركتها</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إلى أين نتجه؟</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نجاح مكتوبة بلغة الطالب</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«أفسّر الذوبان بحركة الجسيمات وانتشارها بين جسيمات الماء»</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تصميم نقاشات ومهام تُظهر أدلة على التعلم</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أين الطالب الآن؟</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السؤال المفصلي وتذكرة الخروج</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الذوبان والانصهار بإجابة جماعية متزامنة، وسؤال حفظ الكتلة في آخر الحصة</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تقديم تغذية راجعة تدفع التعلم إلى الأمام</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كيف يصل؟</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تعليقات دون درجة تتطلب عملاً من الطالب</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«أعد كتابة تفسيرك للتمدد مستخدماً المسافات بين الجسيمات»</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تفعيل الطلبة بوصفهم مصادر تعلم لبعضهم</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الأسئلة الثلاثة، بدور الأقران</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تقويم الأقران بمعايير النجاح</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تبادل التفسيرات المكتوبة وتعليق «نجمتان وأمنية»</w:t>
            </w:r>
          </w:p>
        </w:tc>
      </w:tr>
      <w:tr>
        <w:trPr>
          <w:cantSplit/>
        </w:trPr>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تفعيل الطلبة بوصفهم مالكين لتعلمهم</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الأسئلة الثلاثة، بدور الطالب</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الذاتي</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إشارة الثقة بجانب كل معيار نجاح</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5.1 معايير النجاح</w:t>
      </w:r>
    </w:p>
    <w:p>
      <w:pPr>
        <w:bidi/>
        <w:spacing w:after="120" w:line="300"/>
        <w:jc w:val="right"/>
      </w:pPr>
      <w:r>
        <w:rPr>
          <w:rFonts w:ascii="IBM Plex Sans Arabic" w:cs="IBM Plex Sans Arabic" w:eastAsia="IBM Plex Sans Arabic" w:hAnsi="IBM Plex Sans Arabic"/>
          <w:sz w:val="22"/>
          <w:szCs w:val="22"/>
          <w:rtl/>
        </w:rPr>
        <w:t xml:space="preserve">هدف التعلم يصف ما سيتعلمه الطالب، ومعيار النجاح يصف </w:t>
      </w:r>
      <w:r>
        <w:rPr>
          <w:rFonts w:ascii="IBM Plex Sans Arabic" w:cs="IBM Plex Sans Arabic" w:eastAsia="IBM Plex Sans Arabic" w:hAnsi="IBM Plex Sans Arabic"/>
          <w:b/>
          <w:bCs/>
          <w:sz w:val="22"/>
          <w:szCs w:val="22"/>
          <w:rtl/>
        </w:rPr>
        <w:t xml:space="preserve">كيف سيعرف الطالب والمعلم أنه تعلّمه</w:t>
      </w:r>
      <w:r>
        <w:rPr>
          <w:rFonts w:ascii="IBM Plex Sans Arabic" w:cs="IBM Plex Sans Arabic" w:eastAsia="IBM Plex Sans Arabic" w:hAnsi="IBM Plex Sans Arabic"/>
          <w:sz w:val="22"/>
          <w:szCs w:val="22"/>
          <w:rtl/>
        </w:rPr>
        <w:t xml:space="preserve">. قارن: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هدف: «يفهم الطالب الذوبان». هذا غير قابل للملاحظة.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معايير نجاح: «أميّز الذوبان من الانصهار بمثال. أفسّر اختفاء السكر بحركة جسيماته وانتشارها. أتوقع كتلة المحلول وأبرر توقعي».</w:t>
      </w:r>
    </w:p>
    <w:p>
      <w:pPr>
        <w:bidi/>
        <w:spacing w:after="120" w:line="300"/>
        <w:jc w:val="right"/>
      </w:pPr>
      <w:r>
        <w:rPr>
          <w:rFonts w:ascii="IBM Plex Sans Arabic" w:cs="IBM Plex Sans Arabic" w:eastAsia="IBM Plex Sans Arabic" w:hAnsi="IBM Plex Sans Arabic"/>
          <w:sz w:val="22"/>
          <w:szCs w:val="22"/>
          <w:rtl/>
        </w:rPr>
        <w:t xml:space="preserve">المعايير الجيدة قصيرة، وتُكتب بلغة يفهمها الطالب، وتصف أداءً يمكن ملاحظته. ويفضّل أن يرى الطلبة مثالاً لعمل يحقق المعايير ومثالاً لعمل لا يحققها.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5.2 السؤال المفصلي</w:t>
      </w:r>
    </w:p>
    <w:p>
      <w:pPr>
        <w:bidi/>
        <w:spacing w:after="120" w:line="300"/>
        <w:jc w:val="right"/>
      </w:pPr>
      <w:r>
        <w:rPr>
          <w:rFonts w:ascii="IBM Plex Sans Arabic" w:cs="IBM Plex Sans Arabic" w:eastAsia="IBM Plex Sans Arabic" w:hAnsi="IBM Plex Sans Arabic"/>
          <w:sz w:val="22"/>
          <w:szCs w:val="22"/>
          <w:rtl/>
        </w:rPr>
        <w:t xml:space="preserve">السؤال المفصلي سؤال يُطرح عند «مفصل» في الدرس، أي عند نقطة لا يصح الانتقال بعدها إلا إذا فهم الطلبة المفهوم الأساسي. خصائصه: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يجيب عنه كل الطلبة في وقت واحد</w:t>
      </w:r>
      <w:r>
        <w:rPr>
          <w:rFonts w:ascii="IBM Plex Sans Arabic" w:cs="IBM Plex Sans Arabic" w:eastAsia="IBM Plex Sans Arabic" w:hAnsi="IBM Plex Sans Arabic"/>
          <w:sz w:val="22"/>
          <w:szCs w:val="22"/>
          <w:rtl/>
        </w:rPr>
        <w:t xml:space="preserve">، ببطاقات البدائل أو السبورات الصغيرة أو الأصابع، حتى لا يعتمد المعلم على إجابة طالبين متطوعين.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سريع:</w:t>
      </w:r>
      <w:r>
        <w:rPr>
          <w:rFonts w:ascii="IBM Plex Sans Arabic" w:cs="IBM Plex Sans Arabic" w:eastAsia="IBM Plex Sans Arabic" w:hAnsi="IBM Plex Sans Arabic"/>
          <w:sz w:val="22"/>
          <w:szCs w:val="22"/>
          <w:rtl/>
        </w:rPr>
        <w:t xml:space="preserve"> يقترح ويليام تقريباً أن يجيب عنه الطلبة في دقيقة أو دقيقتين، وأن يقرأ المعلم الإجابات ويقرر في نحو نصف دقيقة. هذه قاعدة عملية لا رقم قاطع.</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كل مموّه فيه يخبر المعلم بشيء:</w:t>
      </w:r>
      <w:r>
        <w:rPr>
          <w:rFonts w:ascii="IBM Plex Sans Arabic" w:cs="IBM Plex Sans Arabic" w:eastAsia="IBM Plex Sans Arabic" w:hAnsi="IBM Plex Sans Arabic"/>
          <w:sz w:val="22"/>
          <w:szCs w:val="22"/>
          <w:rtl/>
        </w:rPr>
        <w:t xml:space="preserve"> الطالب الذي يختار مموّهاً معيناً يكشف فكرة خاطئة محددة. إذا اختار طالب الإجابة الصحيحة فيجب أن يكون ذلك لسبب صحيح على الأرجح.</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يرتبط بقرار مخطط مسبقاً:</w:t>
      </w:r>
      <w:r>
        <w:rPr>
          <w:rFonts w:ascii="IBM Plex Sans Arabic" w:cs="IBM Plex Sans Arabic" w:eastAsia="IBM Plex Sans Arabic" w:hAnsi="IBM Plex Sans Arabic"/>
          <w:sz w:val="22"/>
          <w:szCs w:val="22"/>
          <w:rtl/>
        </w:rPr>
        <w:t xml:space="preserve"> يحدد المعلم قبل الحصة ماذا يفعل إذا أجاب معظم الصف إجابة صحيحة، وماذا يفعل إذا اختار مموّهاً معيناً ربع الصف أو أكثر.</w:t>
      </w:r>
    </w:p>
    <w:p>
      <w:pPr>
        <w:bidi/>
        <w:spacing w:after="120" w:line="300"/>
        <w:jc w:val="right"/>
      </w:pPr>
      <w:r>
        <w:rPr>
          <w:rFonts w:ascii="IBM Plex Sans Arabic" w:cs="IBM Plex Sans Arabic" w:eastAsia="IBM Plex Sans Arabic" w:hAnsi="IBM Plex Sans Arabic"/>
          <w:sz w:val="22"/>
          <w:szCs w:val="22"/>
          <w:rtl/>
        </w:rPr>
        <w:t xml:space="preserve">السؤال المفصلي الذي لا يغيّر شيئاً في الحصة هو سؤال عادي.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5.3 تذكرة الخروج</w:t>
      </w:r>
    </w:p>
    <w:p>
      <w:pPr>
        <w:bidi/>
        <w:spacing w:after="120" w:line="300"/>
        <w:jc w:val="right"/>
      </w:pPr>
      <w:r>
        <w:rPr>
          <w:rFonts w:ascii="IBM Plex Sans Arabic" w:cs="IBM Plex Sans Arabic" w:eastAsia="IBM Plex Sans Arabic" w:hAnsi="IBM Plex Sans Arabic"/>
          <w:sz w:val="22"/>
          <w:szCs w:val="22"/>
          <w:rtl/>
        </w:rPr>
        <w:t xml:space="preserve">في آخر الدقائق الثلاث من الحصة، يجيب كل طالب كتابياً عن سؤال أو سؤالين، ويسلّم الورقة عند الخروج. تذكرة الخروج تجمع الدليل، أما قيمتها التكوينية فتأتي مما يفعله المعلم بها: يفرز الأوراق في ثلاث مجموعات (أتقن، قريب، يحتاج دعماً)، ويبدأ الحصة التالية بناءً على ذلك.</w:t>
      </w:r>
    </w:p>
    <w:p>
      <w:pPr>
        <w:bidi/>
        <w:spacing w:after="120" w:line="300"/>
        <w:jc w:val="right"/>
      </w:pPr>
      <w:r>
        <w:rPr>
          <w:rFonts w:ascii="IBM Plex Sans Arabic" w:cs="IBM Plex Sans Arabic" w:eastAsia="IBM Plex Sans Arabic" w:hAnsi="IBM Plex Sans Arabic"/>
          <w:sz w:val="22"/>
          <w:szCs w:val="22"/>
          <w:rtl/>
        </w:rPr>
        <w:t xml:space="preserve">مثال: «وضعت 10 غ من الملح في 100 غ من الماء وحرّكته حتى اختفى. ما كتلة المحلول؟ اشرح في جملة واحدة».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5.4 تقويم الأقران</w:t>
      </w:r>
    </w:p>
    <w:p>
      <w:pPr>
        <w:bidi/>
        <w:spacing w:after="120" w:line="300"/>
        <w:jc w:val="right"/>
      </w:pPr>
      <w:r>
        <w:rPr>
          <w:rFonts w:ascii="IBM Plex Sans Arabic" w:cs="IBM Plex Sans Arabic" w:eastAsia="IBM Plex Sans Arabic" w:hAnsi="IBM Plex Sans Arabic"/>
          <w:sz w:val="22"/>
          <w:szCs w:val="22"/>
          <w:rtl/>
        </w:rPr>
        <w:t xml:space="preserve">يتبادل الطلبة تفسيراتهم المكتوبة، ويقرأ كل طالب تفسير زميله في ضوء معايير النجاح، ثم يكتب «نجمتين وأمنية»: أمرين حققهما الزميل، وأمراً واحداً يحسّنه. ينجح تقويم الأقران عندما تكون المعايير واضحة، وعندما يُدرَّب الطلبة على التعليق على العمل لا على الشخص.</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5.5 التقويم الذاتي</w:t>
      </w:r>
    </w:p>
    <w:p>
      <w:pPr>
        <w:bidi/>
        <w:spacing w:after="120" w:line="300"/>
        <w:jc w:val="right"/>
      </w:pPr>
      <w:r>
        <w:rPr>
          <w:rFonts w:ascii="IBM Plex Sans Arabic" w:cs="IBM Plex Sans Arabic" w:eastAsia="IBM Plex Sans Arabic" w:hAnsi="IBM Plex Sans Arabic"/>
          <w:sz w:val="22"/>
          <w:szCs w:val="22"/>
          <w:rtl/>
        </w:rPr>
        <w:t xml:space="preserve">يضع الطالب بجانب كل معيار نجاح إشارة: «أستطيع ذلك وحدي»، «أحتاج مساعدة قليلة»، «لم أفهم بعد». ثم يختار خطوة واحدة لتحسين ما لم يتقنه. التقويم الذاتي مهارة تُعلَّم، والطلبة في البداية يبالغون في تقدير أنفسهم أو يقللون منها. لذلك يقارن المعلم تقدير الطالب لنفسه بأدائه الفعلي من حين إلى آخر.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أسئلة تشخيصية مموهاتها مفاهيم خاطئة</w:t>
      </w:r>
    </w:p>
    <w:p>
      <w:pPr>
        <w:bidi/>
        <w:spacing w:after="120" w:line="300"/>
        <w:jc w:val="right"/>
      </w:pPr>
      <w:r>
        <w:rPr>
          <w:rFonts w:ascii="IBM Plex Sans Arabic" w:cs="IBM Plex Sans Arabic" w:eastAsia="IBM Plex Sans Arabic" w:hAnsi="IBM Plex Sans Arabic"/>
          <w:sz w:val="22"/>
          <w:szCs w:val="22"/>
          <w:rtl/>
        </w:rPr>
        <w:t xml:space="preserve">في الأسبوع 11 سنرى كيف يكشف تحليل المموهات عيوب الفقرات بعد تطبيق الاختبار. هنا نعكس الاتجاه: نكتب المموهات </w:t>
      </w:r>
      <w:r>
        <w:rPr>
          <w:rFonts w:ascii="IBM Plex Sans Arabic" w:cs="IBM Plex Sans Arabic" w:eastAsia="IBM Plex Sans Arabic" w:hAnsi="IBM Plex Sans Arabic"/>
          <w:b/>
          <w:bCs/>
          <w:sz w:val="22"/>
          <w:szCs w:val="22"/>
          <w:rtl/>
        </w:rPr>
        <w:t xml:space="preserve">عمداً</w:t>
      </w:r>
      <w:r>
        <w:rPr>
          <w:rFonts w:ascii="IBM Plex Sans Arabic" w:cs="IBM Plex Sans Arabic" w:eastAsia="IBM Plex Sans Arabic" w:hAnsi="IBM Plex Sans Arabic"/>
          <w:sz w:val="22"/>
          <w:szCs w:val="22"/>
          <w:rtl/>
        </w:rPr>
        <w:t xml:space="preserve"> بحيث يمثّل كل منها مفهوماً خاطئاً معروفاً لدى الطلبة. عندها يصبح البديل الذي يختاره الطالب تشخيصاً لا مجرد خطأ.</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المثال 1: الذوبان والانصهار</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وضعت مريم ملعقة سكر في كوب ماء ساخن، وحرّكته حتى لم تعد ترى السكر. ماذا حدث للسكر؟</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 انصهر السكر بسبب حرارة الماء وأصبح سائلاً.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ب. تحوّل السكر إلى ماء.</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 انفصلت جسيمات السكر وانتشرت بين جسيمات الماء.</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د. اختفى السكر ولم يعد موجوداً في الكوب.</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1"/>
        <w:gridCol w:w="3811"/>
        <w:gridCol w:w="4766"/>
      </w:tblGrid>
      <w:tr>
        <w:trPr>
          <w:cantSplit/>
          <w:tblHeader/>
        </w:trPr>
        <w:tc>
          <w:tcPr>
            <w:tcW w:type="dxa" w:w="1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البديل</w:t>
            </w:r>
          </w:p>
        </w:tc>
        <w:tc>
          <w:tcPr>
            <w:tcW w:type="dxa" w:w="38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يكشفه</w:t>
            </w:r>
          </w:p>
        </w:tc>
        <w:tc>
          <w:tcPr>
            <w:tcW w:type="dxa" w:w="47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إجراء المعلم</w:t>
            </w:r>
          </w:p>
        </w:tc>
      </w:tr>
      <w:tr>
        <w:trPr>
          <w:cantSplit/>
        </w:trPr>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خلط الذوبان بالانصهار: الطالب يربط اختفاء الصلب بالحرارة</w:t>
            </w:r>
          </w:p>
        </w:tc>
        <w:tc>
          <w:tcPr>
            <w:tcW w:type="dxa" w:w="4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مقارنة عملية: سكر في ماء بارد يذوب أيضاً، والسكر لا ينصهر إلا عند درجة حرارة أعلى بكثير من درجة غليان الماء</w:t>
            </w:r>
          </w:p>
        </w:tc>
      </w:tr>
      <w:tr>
        <w:trPr>
          <w:cantSplit/>
        </w:trPr>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تحوّل المادة إلى مادة أخرى</w:t>
            </w:r>
          </w:p>
        </w:tc>
        <w:tc>
          <w:tcPr>
            <w:tcW w:type="dxa" w:w="4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تبخير قطرات من المحلول لاسترجاع بلورات السكر</w:t>
            </w:r>
          </w:p>
        </w:tc>
      </w:tr>
      <w:tr>
        <w:trPr>
          <w:cantSplit/>
        </w:trPr>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الصحيحة</w:t>
            </w:r>
          </w:p>
        </w:tc>
        <w:tc>
          <w:tcPr>
            <w:tcW w:type="dxa" w:w="4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متابعة: «كيف تثبت أن السكر ما زال موجوداً؟»</w:t>
            </w:r>
          </w:p>
        </w:tc>
      </w:tr>
      <w:tr>
        <w:trPr>
          <w:cantSplit/>
        </w:trPr>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عدم بقاء المادة: ما لا يُرى غير موجود</w:t>
            </w:r>
          </w:p>
        </w:tc>
        <w:tc>
          <w:tcPr>
            <w:tcW w:type="dxa" w:w="4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ربط مباشر بسؤال حفظ الكتلة (المثال 2)</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المثال 2: حفظ الكتلة عند الذوبان</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وُضع كوب فارغ على ميزان، وصُفّر الميزان والكوب الفارغ عليه. ثم سُكب في الكوب 200 غ من الماء، وأُضيف إليه 10 غ من السكر وحُرّك حتى ذاب تماماً. ما قراءة الميزان الآن؟</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 200 غ</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ب. أقل من 210 غ، لأن جسيمات السكر دخلت في الفراغات بين جسيمات الماء.</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 210 غ</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د. أكثر من 210 غ، لأن المحلول أثقل من الماء.</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7"/>
        <w:gridCol w:w="4418"/>
        <w:gridCol w:w="4143"/>
      </w:tblGrid>
      <w:tr>
        <w:trPr>
          <w:cantSplit/>
          <w:tblHeader/>
        </w:trPr>
        <w:tc>
          <w:tcPr>
            <w:tcW w:type="dxa" w:w="10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البديل</w:t>
            </w:r>
          </w:p>
        </w:tc>
        <w:tc>
          <w:tcPr>
            <w:tcW w:type="dxa" w:w="44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يكشفه</w:t>
            </w:r>
          </w:p>
        </w:tc>
        <w:tc>
          <w:tcPr>
            <w:tcW w:type="dxa" w:w="41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إجراء المعلم</w:t>
            </w:r>
          </w:p>
        </w:tc>
      </w:tr>
      <w:tr>
        <w:trPr>
          <w:cantSplit/>
        </w:trPr>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w:t>
            </w:r>
          </w:p>
        </w:tc>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المادة الذائبة لا كتلة لها لأنها لم تعد تُرى</w:t>
            </w:r>
          </w:p>
        </w:tc>
        <w:tc>
          <w:tcPr>
            <w:tcW w:type="dxa" w:w="4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تجربة الوزن قبل الذوبان وبعده أمام الطلبة</w:t>
            </w:r>
          </w:p>
        </w:tc>
      </w:tr>
      <w:tr>
        <w:trPr>
          <w:cantSplit/>
        </w:trPr>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w:t>
            </w:r>
          </w:p>
        </w:tc>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خلط الحجم بالكتلة: تغيّر المكان لا يغيّر عدد الجسيمات</w:t>
            </w:r>
          </w:p>
        </w:tc>
        <w:tc>
          <w:tcPr>
            <w:tcW w:type="dxa" w:w="4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التمييز صراحة بين «كم تشغل المادة من حيز» و«كم فيها من مادة»</w:t>
            </w:r>
          </w:p>
        </w:tc>
      </w:tr>
      <w:tr>
        <w:trPr>
          <w:cantSplit/>
        </w:trPr>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w:t>
            </w:r>
          </w:p>
        </w:tc>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الصحيحة</w:t>
            </w:r>
          </w:p>
        </w:tc>
        <w:tc>
          <w:tcPr>
            <w:tcW w:type="dxa" w:w="4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متابعة: «هل تتغير الكتلة لو انتظرنا ساعة والكوب مغطى؟»</w:t>
            </w:r>
          </w:p>
        </w:tc>
      </w:tr>
      <w:tr>
        <w:trPr>
          <w:cantSplit/>
        </w:trPr>
        <w:tc>
          <w:tcPr>
            <w:tcW w:type="dxa" w:w="10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w:t>
            </w:r>
          </w:p>
        </w:tc>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الاعتقاد بأن الذوبان يضيف شيئاً أو أن «الكثافة» تعني كتلة إضافية</w:t>
            </w:r>
          </w:p>
        </w:tc>
        <w:tc>
          <w:tcPr>
            <w:tcW w:type="dxa" w:w="4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مقارنة الكتلة الكلية بمجموع الكتلتين</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البديل ب يحمل جزءاً صحيحاً: جسيمات السكر فعلاً تنتشر بين جسيمات الماء. الخطأ في الاستنتاج لا في الوصف. هذا النوع من المموهات قوي تشخيصياً، لكنه يحتاج إلى صياغة دقيقة حتى لا يصبح إجابة صحيحة ثانية.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المثال 3: التمدد الحراري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كرة فلزية تمر من حلقة فلزية وهي باردة، ولا تمر منها بعد تسخينها. لماذا؟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 لأن كل جسيم من جسيمات الفلز كبر حجمه بالتسخين.</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ب. لأن الجسيمات أصبحت تهتز بسرعة أكبر، فزادت المسافات بينها.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 لأن عدد الجسيمات في الكرة ازداد بالتسخين.</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د. لأن الحرارة مادة دخلت إلى الكرة وملأتها.</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7"/>
        <w:gridCol w:w="3892"/>
        <w:gridCol w:w="4699"/>
      </w:tblGrid>
      <w:tr>
        <w:trPr>
          <w:cantSplit/>
          <w:tblHeader/>
        </w:trPr>
        <w:tc>
          <w:tcPr>
            <w:tcW w:type="dxa" w:w="10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البديل</w:t>
            </w:r>
          </w:p>
        </w:tc>
        <w:tc>
          <w:tcPr>
            <w:tcW w:type="dxa" w:w="38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يكشفه</w:t>
            </w:r>
          </w:p>
        </w:tc>
        <w:tc>
          <w:tcPr>
            <w:tcW w:type="dxa" w:w="46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إجراء المعلم</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w:t>
            </w:r>
          </w:p>
        </w:tc>
        <w:tc>
          <w:tcPr>
            <w:tcW w:type="dxa" w:w="3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نقل خصائص المادة المرئية إلى الجسيم نفسه: «الجسيمات تتمدد»</w:t>
            </w:r>
          </w:p>
        </w:tc>
        <w:tc>
          <w:tcPr>
            <w:tcW w:type="dxa" w:w="4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نموذج بالطلبة أنفسهم: يهتزون في أماكنهم بسرعة أكبر فيحتاجون إلى مساحة أكبر دون أن يكبر أحد منهم</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w:t>
            </w:r>
          </w:p>
        </w:tc>
        <w:tc>
          <w:tcPr>
            <w:tcW w:type="dxa" w:w="3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الصحيحة</w:t>
            </w:r>
          </w:p>
        </w:tc>
        <w:tc>
          <w:tcPr>
            <w:tcW w:type="dxa" w:w="4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متابعة: «ماذا يحدث للكرة عند تبريدها؟»</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w:t>
            </w:r>
          </w:p>
        </w:tc>
        <w:tc>
          <w:tcPr>
            <w:tcW w:type="dxa" w:w="3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عدم حفظ عدد الجسيمات</w:t>
            </w:r>
          </w:p>
        </w:tc>
        <w:tc>
          <w:tcPr>
            <w:tcW w:type="dxa" w:w="4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وزن الكرة قبل التسخين وبعده</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w:t>
            </w:r>
          </w:p>
        </w:tc>
        <w:tc>
          <w:tcPr>
            <w:tcW w:type="dxa" w:w="3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تصور الحرارة مادة تُضاف</w:t>
            </w:r>
          </w:p>
        </w:tc>
        <w:tc>
          <w:tcPr>
            <w:tcW w:type="dxa" w:w="4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التمييز بين الحرارة بوصفها طاقة تنتقل والمادة التي تتكون من جسيمات</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قواعد كتابة هذه الأسئلة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ابدأ بالمفاهيم الخاطئة لا بالمموهات. اكتب قائمة الأفكار الخاطئة التي رأيتها في صفك أو تذكرها الكتب، ثم حوّل كل فكرة إلى بديل.</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اكتب كل مموّه بلغة الطلبة كما يقولونها، لا بلغة الكتاب. المموّه الذي يبدو «خاطئاً بوضوح» لا يجذب أحداً.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تأكد أن الإجابة الصحيحة واحدة فقط، وأن كل مموّه خاطئ علمياً بلا جدال.</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اجعل البدائل متقاربة في الطول والبنية حتى لا تدل الصياغة على الإجابة.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اكتب بجانب كل بديل الإجراء الذي ستتخذه. السؤال الذي لا تعرف ماذا تفعل بعد إجاباته لم يكتمل بعد.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التغذية الراجعة: نموذج هاتي وتيمبرلي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ثلاثة أسئلة</w:t>
      </w:r>
    </w:p>
    <w:p>
      <w:pPr>
        <w:bidi/>
        <w:spacing w:after="120" w:line="300"/>
        <w:jc w:val="right"/>
      </w:pPr>
      <w:r>
        <w:rPr>
          <w:rFonts w:ascii="IBM Plex Sans Arabic" w:cs="IBM Plex Sans Arabic" w:eastAsia="IBM Plex Sans Arabic" w:hAnsi="IBM Plex Sans Arabic"/>
          <w:sz w:val="22"/>
          <w:szCs w:val="22"/>
          <w:rtl/>
        </w:rPr>
        <w:t xml:space="preserve">يرى هاتي وتيمبرلي (2007) أن التغذية الراجعة الفعالة تجيب عن ثلاثة أسئلة يطرحها المعلم والطالب معاً: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إلى أين أتجه؟</w:t>
      </w:r>
      <w:r>
        <w:rPr>
          <w:rFonts w:ascii="IBM Plex Sans Arabic" w:cs="IBM Plex Sans Arabic" w:eastAsia="IBM Plex Sans Arabic" w:hAnsi="IBM Plex Sans Arabic"/>
          <w:sz w:val="22"/>
          <w:szCs w:val="22"/>
          <w:rtl/>
        </w:rPr>
        <w:t xml:space="preserve"> ما الهدف وما معايير النجاح؟</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كيف أتقدّم؟</w:t>
      </w:r>
      <w:r>
        <w:rPr>
          <w:rFonts w:ascii="IBM Plex Sans Arabic" w:cs="IBM Plex Sans Arabic" w:eastAsia="IBM Plex Sans Arabic" w:hAnsi="IBM Plex Sans Arabic"/>
          <w:sz w:val="22"/>
          <w:szCs w:val="22"/>
          <w:rtl/>
        </w:rPr>
        <w:t xml:space="preserve"> أين أنا الآن بالنسبة للهدف؟</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ما الخطوة التالية؟</w:t>
      </w:r>
      <w:r>
        <w:rPr>
          <w:rFonts w:ascii="IBM Plex Sans Arabic" w:cs="IBM Plex Sans Arabic" w:eastAsia="IBM Plex Sans Arabic" w:hAnsi="IBM Plex Sans Arabic"/>
          <w:sz w:val="22"/>
          <w:szCs w:val="22"/>
          <w:rtl/>
        </w:rPr>
        <w:t xml:space="preserve"> ماذا أفعل لأقترب من الهدف؟</w:t>
      </w:r>
    </w:p>
    <w:p>
      <w:pPr>
        <w:bidi/>
        <w:spacing w:after="120" w:line="300"/>
        <w:jc w:val="right"/>
      </w:pPr>
      <w:r>
        <w:rPr>
          <w:rFonts w:ascii="IBM Plex Sans Arabic" w:cs="IBM Plex Sans Arabic" w:eastAsia="IBM Plex Sans Arabic" w:hAnsi="IBM Plex Sans Arabic"/>
          <w:sz w:val="22"/>
          <w:szCs w:val="22"/>
          <w:rtl/>
        </w:rPr>
        <w:t xml:space="preserve">التغذية الراجعة التي تجيب عن السؤال الثاني وحده («أخطأت») ناقصة، لأنها لا تخبر الطالب ماذا يفعل.</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أربعة مستويات</w:t>
      </w:r>
    </w:p>
    <w:p>
      <w:pPr>
        <w:bidi/>
        <w:spacing w:after="120" w:line="300"/>
        <w:jc w:val="right"/>
      </w:pPr>
      <w:r>
        <w:rPr>
          <w:rFonts w:ascii="IBM Plex Sans Arabic" w:cs="IBM Plex Sans Arabic" w:eastAsia="IBM Plex Sans Arabic" w:hAnsi="IBM Plex Sans Arabic"/>
          <w:sz w:val="22"/>
          <w:szCs w:val="22"/>
          <w:rtl/>
        </w:rPr>
        <w:t xml:space="preserve">تعمل التغذية الراجعة على أربعة مستويات، وأثرها يختلف بحسب المستوى. نأخذ إجابة طالب عن سؤال «لماذا تمددت الكرة؟»: «لأن الجسيمات كبرت من الحرارة».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9"/>
        <w:gridCol w:w="2879"/>
        <w:gridCol w:w="3952"/>
        <w:gridCol w:w="1808"/>
      </w:tblGrid>
      <w:tr>
        <w:trPr>
          <w:cantSplit/>
          <w:tblHeader/>
        </w:trPr>
        <w:tc>
          <w:tcPr>
            <w:tcW w:type="dxa" w:w="9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28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يركز على</w:t>
            </w:r>
          </w:p>
        </w:tc>
        <w:tc>
          <w:tcPr>
            <w:tcW w:type="dxa" w:w="39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جيد</w:t>
            </w:r>
          </w:p>
        </w:tc>
        <w:tc>
          <w:tcPr>
            <w:tcW w:type="dxa" w:w="18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ضعيف</w:t>
            </w:r>
          </w:p>
        </w:tc>
      </w:tr>
      <w:tr>
        <w:trPr>
          <w:cantSplit/>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المهمة</w:t>
            </w:r>
          </w:p>
        </w:tc>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صحة الإجابة ومعلومات ناقصة أو خاطئة فيها</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«الجسيمات نفسها لا يتغير حجمها. الذي تغيّر هو المسافة بينها. أعد كتابة الجملة بهذا التصحيح.»</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«خطأ.»</w:t>
            </w:r>
          </w:p>
        </w:tc>
      </w:tr>
      <w:tr>
        <w:trPr>
          <w:cantSplit/>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العملية</w:t>
            </w:r>
          </w:p>
        </w:tc>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الاستراتيجية أو طريقة التفكير التي توصل إلى الإجابة</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«عندما تفسّر تغيّراً في المادة، اسأل نفسك: ماذا حدث لحركة الجسيمات وللمسافات بينها؟ طبّق هذا السؤال على التمدد.»</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«فكّر أكثر.»</w:t>
            </w:r>
          </w:p>
        </w:tc>
      </w:tr>
      <w:tr>
        <w:trPr>
          <w:cantSplit/>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التنظيم الذاتي</w:t>
            </w:r>
          </w:p>
        </w:tc>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قدرة الطالب على مراقبة عمله وتقويمه وتصحيحه</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«قارن تفسيرك بمعيار النجاح الثاني. هل ذكرت حركة الجسيمات؟ ما الذي ستضيفه؟»</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«راجع إجابتك.»</w:t>
            </w:r>
          </w:p>
        </w:tc>
      </w:tr>
      <w:tr>
        <w:trPr>
          <w:cantSplit/>
        </w:trPr>
        <w:tc>
          <w:tcPr>
            <w:tcW w:type="dxa" w:w="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الذات</w:t>
            </w:r>
          </w:p>
        </w:tc>
        <w:tc>
          <w:tcPr>
            <w:tcW w:type="dxa" w:w="2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الشخص لا العمل</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يوجد مثال جيد يحسّن التعلم في هذا المستوى وحده</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«أنت ذكي.» أو «أنت دائماً مهمل.»</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ما يقوله النموذج عن الأثر: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التغذية الراجعة على مستوى </w:t>
      </w:r>
      <w:r>
        <w:rPr>
          <w:rFonts w:ascii="IBM Plex Sans Arabic" w:cs="IBM Plex Sans Arabic" w:eastAsia="IBM Plex Sans Arabic" w:hAnsi="IBM Plex Sans Arabic"/>
          <w:b/>
          <w:bCs/>
          <w:sz w:val="22"/>
          <w:szCs w:val="22"/>
          <w:rtl/>
        </w:rPr>
        <w:t xml:space="preserve">الذات</w:t>
      </w:r>
      <w:r>
        <w:rPr>
          <w:rFonts w:ascii="IBM Plex Sans Arabic" w:cs="IBM Plex Sans Arabic" w:eastAsia="IBM Plex Sans Arabic" w:hAnsi="IBM Plex Sans Arabic"/>
          <w:sz w:val="22"/>
          <w:szCs w:val="22"/>
          <w:rtl/>
        </w:rPr>
        <w:t xml:space="preserve">، أي المديح العام للشخص، هي الأضعف أثراً في التعلم، لأنها لا تحمل معلومات عن العمل. هذا لا يعني منع التشجيع، بل عدم الاكتفاء به.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التغذية الراجعة على مستوى </w:t>
      </w:r>
      <w:r>
        <w:rPr>
          <w:rFonts w:ascii="IBM Plex Sans Arabic" w:cs="IBM Plex Sans Arabic" w:eastAsia="IBM Plex Sans Arabic" w:hAnsi="IBM Plex Sans Arabic"/>
          <w:b/>
          <w:bCs/>
          <w:sz w:val="22"/>
          <w:szCs w:val="22"/>
          <w:rtl/>
        </w:rPr>
        <w:t xml:space="preserve">المهمة</w:t>
      </w:r>
      <w:r>
        <w:rPr>
          <w:rFonts w:ascii="IBM Plex Sans Arabic" w:cs="IBM Plex Sans Arabic" w:eastAsia="IBM Plex Sans Arabic" w:hAnsi="IBM Plex Sans Arabic"/>
          <w:sz w:val="22"/>
          <w:szCs w:val="22"/>
          <w:rtl/>
        </w:rPr>
        <w:t xml:space="preserve"> مفيدة، خاصة عندما تصحح فهماً خاطئاً لا مجرد معلومة ناقصة. لكنها إذا اقتصرت على التفاصيل قد لا تنتقل إلى مهام جديدة.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التغذية الراجعة على مستويَي </w:t>
      </w:r>
      <w:r>
        <w:rPr>
          <w:rFonts w:ascii="IBM Plex Sans Arabic" w:cs="IBM Plex Sans Arabic" w:eastAsia="IBM Plex Sans Arabic" w:hAnsi="IBM Plex Sans Arabic"/>
          <w:b/>
          <w:bCs/>
          <w:sz w:val="22"/>
          <w:szCs w:val="22"/>
          <w:rtl/>
        </w:rPr>
        <w:t xml:space="preserve">العملية</w:t>
      </w:r>
      <w:r>
        <w:rPr>
          <w:rFonts w:ascii="IBM Plex Sans Arabic" w:cs="IBM Plex Sans Arabic" w:eastAsia="IBM Plex Sans Arabic" w:hAnsi="IBM Plex Sans Arabic"/>
          <w:sz w:val="22"/>
          <w:szCs w:val="22"/>
          <w:rtl/>
        </w:rPr>
        <w:t xml:space="preserve"> و</w:t>
      </w:r>
      <w:r>
        <w:rPr>
          <w:rFonts w:ascii="IBM Plex Sans Arabic" w:cs="IBM Plex Sans Arabic" w:eastAsia="IBM Plex Sans Arabic" w:hAnsi="IBM Plex Sans Arabic"/>
          <w:b/>
          <w:bCs/>
          <w:sz w:val="22"/>
          <w:szCs w:val="22"/>
          <w:rtl/>
        </w:rPr>
        <w:t xml:space="preserve">التنظيم الذاتي</w:t>
      </w:r>
      <w:r>
        <w:rPr>
          <w:rFonts w:ascii="IBM Plex Sans Arabic" w:cs="IBM Plex Sans Arabic" w:eastAsia="IBM Plex Sans Arabic" w:hAnsi="IBM Plex Sans Arabic"/>
          <w:sz w:val="22"/>
          <w:szCs w:val="22"/>
          <w:rtl/>
        </w:rPr>
        <w:t xml:space="preserve"> أقوى في تعميق الفهم ونقله، لأنها تعلّم الطالب كيف يفكر وكيف يراقب تفكيره.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يحتاج الطالب المبتدئ في المفهوم غالباً إلى تغذية راجعة على مستوى المهمة أولاً، ثم ينتقل إلى العملية والتنظيم الذاتي كلما تقدم.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قواعد عملية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قبل الدرجة أو بدلها:</w:t>
      </w:r>
      <w:r>
        <w:rPr>
          <w:rFonts w:ascii="IBM Plex Sans Arabic" w:cs="IBM Plex Sans Arabic" w:eastAsia="IBM Plex Sans Arabic" w:hAnsi="IBM Plex Sans Arabic"/>
          <w:sz w:val="22"/>
          <w:szCs w:val="22"/>
          <w:rtl/>
        </w:rPr>
        <w:t xml:space="preserve"> إذا وُضعت الدرجة بجانب التعليق، ينظر كثير من الطلبة إلى الدرجة ويتجاهلون التعليق. في التقويم التكويني قدّم التعليق أولاً.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قليل ومحدد:</w:t>
      </w:r>
      <w:r>
        <w:rPr>
          <w:rFonts w:ascii="IBM Plex Sans Arabic" w:cs="IBM Plex Sans Arabic" w:eastAsia="IBM Plex Sans Arabic" w:hAnsi="IBM Plex Sans Arabic"/>
          <w:sz w:val="22"/>
          <w:szCs w:val="22"/>
          <w:rtl/>
        </w:rPr>
        <w:t xml:space="preserve"> تعليق واحد قابل للتنفيذ أنفع من خمسة تعليقات عامة.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يتطلب عملاً من الطالب:</w:t>
      </w:r>
      <w:r>
        <w:rPr>
          <w:rFonts w:ascii="IBM Plex Sans Arabic" w:cs="IBM Plex Sans Arabic" w:eastAsia="IBM Plex Sans Arabic" w:hAnsi="IBM Plex Sans Arabic"/>
          <w:sz w:val="22"/>
          <w:szCs w:val="22"/>
          <w:rtl/>
        </w:rPr>
        <w:t xml:space="preserve"> التغذية الراجعة الجيدة تنتهي بمهمة: «أعد كتابة»، «طبّق على المثال التالي»، «قارن بالمعيار».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في الوقت المناسب:</w:t>
      </w:r>
      <w:r>
        <w:rPr>
          <w:rFonts w:ascii="IBM Plex Sans Arabic" w:cs="IBM Plex Sans Arabic" w:eastAsia="IBM Plex Sans Arabic" w:hAnsi="IBM Plex Sans Arabic"/>
          <w:sz w:val="22"/>
          <w:szCs w:val="22"/>
          <w:rtl/>
        </w:rPr>
        <w:t xml:space="preserve"> الفورية أنفع غالباً على مستوى المهمة، وقد يناسب تأخير قصير مستوى العملية. وفي الحالتين لا تأتي التغذية الراجعة قبل أن يحاول الطالب بنفسه.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التقويم التكويني بمساعدة كلود</w:t>
      </w:r>
    </w:p>
    <w:p>
      <w:pPr>
        <w:bidi/>
        <w:spacing w:after="120" w:line="300"/>
        <w:jc w:val="right"/>
      </w:pPr>
      <w:r>
        <w:rPr>
          <w:rFonts w:ascii="IBM Plex Sans Arabic" w:cs="IBM Plex Sans Arabic" w:eastAsia="IBM Plex Sans Arabic" w:hAnsi="IBM Plex Sans Arabic"/>
          <w:sz w:val="22"/>
          <w:szCs w:val="22"/>
          <w:rtl/>
        </w:rPr>
        <w:t xml:space="preserve">مستوى استخدام الذكاء الاصطناعي في مشغل هذا الأسبوع هو المستوى 2: تعاون موثّق. كلود يقترح المسودات، وأنت تحكم عليها وتعدّلها وتوثّق ما غيّرته.</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قائمة أولية بالمفاهيم الخاطئة الشائعة في موضوع محدد، تكون نقطة بداية لقائمتك.</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صياغة أسئلة مفصلية بمموهات مبنية على مفاهيم خاطئة، بسرعة وبصيغ متعددة.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إعداد بنك تعليقات للتغذية الراجعة على المستويات الثلاثة الأولى، لأخطاء متوقعة في درس محدد.</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إعادة صياغة معايير النجاح بلغة أبسط تناسب صفاً معيناً.</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الدقة العلمية.</w:t>
      </w:r>
      <w:r>
        <w:rPr>
          <w:rFonts w:ascii="IBM Plex Sans Arabic" w:cs="IBM Plex Sans Arabic" w:eastAsia="IBM Plex Sans Arabic" w:hAnsi="IBM Plex Sans Arabic"/>
          <w:sz w:val="22"/>
          <w:szCs w:val="22"/>
          <w:rtl/>
        </w:rPr>
        <w:t xml:space="preserve"> قد يكتب كلود مموّهاً صحيحاً جزئياً فيصبح للسؤال إجابتان، أو يكتب إجابة «صحيحة» فيها تبسيط مخل. مثال: البديل «الجسيمات تهتز بسرعة أكبر» وحده دون ذكر تباعدها قد يُعدّ صحيحاً عند بعض المصححين وناقصاً عند غيرهم.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كل مموّه يمثّل مفهوماً خاطئاً حقيقياً.</w:t>
      </w:r>
      <w:r>
        <w:rPr>
          <w:rFonts w:ascii="IBM Plex Sans Arabic" w:cs="IBM Plex Sans Arabic" w:eastAsia="IBM Plex Sans Arabic" w:hAnsi="IBM Plex Sans Arabic"/>
          <w:sz w:val="22"/>
          <w:szCs w:val="22"/>
          <w:rtl/>
        </w:rPr>
        <w:t xml:space="preserve"> كلود قد يكتب مموّهاً خاطئاً لكنه لا يعبّر عن فكرة يحملها الطلبة فعلاً، فلا يجذب أحداً ولا يشخّص شيئاً. اسأل: هل سمعت طالباً يقول هذا؟ هل تذكره الكتب؟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ادعاءات الأبحاث.</w:t>
      </w:r>
      <w:r>
        <w:rPr>
          <w:rFonts w:ascii="IBM Plex Sans Arabic" w:cs="IBM Plex Sans Arabic" w:eastAsia="IBM Plex Sans Arabic" w:hAnsi="IBM Plex Sans Arabic"/>
          <w:sz w:val="22"/>
          <w:szCs w:val="22"/>
          <w:rtl/>
        </w:rPr>
        <w:t xml:space="preserve"> إذا ذكر كلود رقماً لحجم أثر أو نسب نتيجة إلى باحث، فلا تقبله دون الرجوع إلى المصدر. هذا مهم خاصة مع بلاك وويليام وهاتي.</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مستوى اللغة.</w:t>
      </w:r>
      <w:r>
        <w:rPr>
          <w:rFonts w:ascii="IBM Plex Sans Arabic" w:cs="IBM Plex Sans Arabic" w:eastAsia="IBM Plex Sans Arabic" w:hAnsi="IBM Plex Sans Arabic"/>
          <w:sz w:val="22"/>
          <w:szCs w:val="22"/>
          <w:rtl/>
        </w:rPr>
        <w:t xml:space="preserve"> هل الصياغة مناسبة لطالب في الصف الثامن؟ هل فيها كلمات أصعب من المفهوم نفسه؟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مستوى التغذية الراجعة.</w:t>
      </w:r>
      <w:r>
        <w:rPr>
          <w:rFonts w:ascii="IBM Plex Sans Arabic" w:cs="IBM Plex Sans Arabic" w:eastAsia="IBM Plex Sans Arabic" w:hAnsi="IBM Plex Sans Arabic"/>
          <w:sz w:val="22"/>
          <w:szCs w:val="22"/>
          <w:rtl/>
        </w:rPr>
        <w:t xml:space="preserve"> كثير من مسودات التغذية الراجعة الآلية تبدأ بمديح عام للشخص، أو تكتفي بتصحيح الإجابة. صنّف كل جملة في المسودة بحسب مستويات هاتي وتيمبرلي قبل اعتمادها.</w:t>
      </w:r>
    </w:p>
    <w:p>
      <w:pPr>
        <w:bidi/>
        <w:spacing w:after="12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لا تلصق في كلود أي عمل لطالب حقيقي يمكن التعرف عليه: لا اسم، ولا رقم، ولا خط يد مصوَّر، ولا تفاصيل تكشف هويته. استخدم إجابات مصاغة أو منقولة بعد إزالة كل ما يدل على صاحبها، والتزم بإقرار الاستخدام المسؤول الذي وقّعته في الأسبوع الأول.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من الصف إلى البحث الإجرائي</w:t>
      </w:r>
    </w:p>
    <w:p>
      <w:pPr>
        <w:bidi/>
        <w:spacing w:after="120" w:line="300"/>
        <w:jc w:val="right"/>
      </w:pPr>
      <w:r>
        <w:rPr>
          <w:rFonts w:ascii="IBM Plex Sans Arabic" w:cs="IBM Plex Sans Arabic" w:eastAsia="IBM Plex Sans Arabic" w:hAnsi="IBM Plex Sans Arabic"/>
          <w:sz w:val="22"/>
          <w:szCs w:val="22"/>
          <w:rtl/>
        </w:rPr>
        <w:t xml:space="preserve">يبدأ هذا الأسبوع مشروع البحث الإجرائي (20% من تقييم المساق). البحث الإجرائي دورة يقوم بها المعلم في صفه: يحدد مشكلة، ويجرّب إجراءً، ويجمع أدلة، ويتأمل النتيجة. والمطلوب في هذا المساق أن تكون المشكلة </w:t>
      </w:r>
      <w:r>
        <w:rPr>
          <w:rFonts w:ascii="IBM Plex Sans Arabic" w:cs="IBM Plex Sans Arabic" w:eastAsia="IBM Plex Sans Arabic" w:hAnsi="IBM Plex Sans Arabic"/>
          <w:b/>
          <w:bCs/>
          <w:sz w:val="22"/>
          <w:szCs w:val="22"/>
          <w:rtl/>
        </w:rPr>
        <w:t xml:space="preserve">مشكلة تقويم</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sz w:val="22"/>
          <w:szCs w:val="22"/>
          <w:rtl/>
        </w:rPr>
        <w:t xml:space="preserve">أمثلة على مشكلات تقويم صالحة: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«طلبتي يحصلون على درجات جيدة في الاختبارات القصيرة، ثم يخفقون في الأسئلة نفسها في الاختبار الختامي».</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«أكتب تعليقات مفصلة على الواجبات، ولا يقرؤها الطلبة».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«لا أعرف هل فهم الطلبة الدرس إلا بعد الاختبار».</w:t>
      </w:r>
    </w:p>
    <w:p>
      <w:pPr>
        <w:bidi/>
        <w:spacing w:after="120" w:line="300"/>
        <w:jc w:val="right"/>
      </w:pPr>
      <w:r>
        <w:rPr>
          <w:rFonts w:ascii="IBM Plex Sans Arabic" w:cs="IBM Plex Sans Arabic" w:eastAsia="IBM Plex Sans Arabic" w:hAnsi="IBM Plex Sans Arabic"/>
          <w:sz w:val="22"/>
          <w:szCs w:val="22"/>
          <w:rtl/>
        </w:rPr>
        <w:t xml:space="preserve">أمثلة على مشكلات غير مناسبة لهذا المشروع:</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«الطلبة غير متحمسين للمادة». هذه مشكلة دافعية عامة، إلا إذا ربطتها بممارسة تقويمية محددة.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«المنهج طويل». هذه مشكلة لا يملك المعلم إجراءً تقويمياً لحلها.</w:t>
      </w:r>
    </w:p>
    <w:p>
      <w:pPr>
        <w:bidi/>
        <w:spacing w:after="120" w:line="300"/>
        <w:jc w:val="right"/>
      </w:pPr>
      <w:r>
        <w:rPr>
          <w:rFonts w:ascii="IBM Plex Sans Arabic" w:cs="IBM Plex Sans Arabic" w:eastAsia="IBM Plex Sans Arabic" w:hAnsi="IBM Plex Sans Arabic"/>
          <w:sz w:val="22"/>
          <w:szCs w:val="22"/>
          <w:rtl/>
        </w:rPr>
        <w:t xml:space="preserve">المشكلة الجيدة محددة، وتقع في صف تدرّسه أو تتدرّب فيه، ويمكن جمع أدلة عنها، ويمكن أن يجرّب المعلم إجراءً تقويمياً لمعالجتها. تكتب في هذا الأسبوع بياناً من 150 كلمة تقريباً، وتسلّمه في الأسبوع 3، وستعود إليه في الأسبوع 14 عند التحليل والكتابة.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معلم يطبّق اختباراً قصيراً أسبوعياً ويرصد درجته في السجل ولا يغيّر شيئاً في تدريسه. هل هذا تقويم تكويني؟ برّر إجابتك.</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قرأت في عرض تقديمي أن «بلاك وويليام أثبتا أن التقويم التكويني يضاعف التحصيل». كيف تتعامل مع هذه العبارة؟</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اكتب سؤالاً مفصلياً لمفهوم من مادتك، وحدد المفهوم الخاطئ الذي يمثّله كل مموّه، وماذا ستفعل إذا اختار المموّه نفسه ربع الصف أو أكثر.</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صنّف التعليق التالي بحسب مستويات هاتي وتيمبرلي، ثم أعد كتابته ليصبح أنفع: «عمل رائع، أنت طالب متميز، لكن انتبه للأخطاء».</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أعطاك كلود سؤالاً مفصلياً جاهزاً بأربعة بدائل. ما الأسئلة الثلاثة التي تطرحها على كل بديل قبل استخدامه في الصف؟</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Wiliam, D. (2017). Embedded Formative Assessment (2nd ed.). Solution Tree.</w:t>
      </w:r>
    </w:p>
    <w:p>
      <w:pPr>
        <w:bidi/>
        <w:spacing w:after="120" w:line="300"/>
        <w:jc w:val="right"/>
      </w:pPr>
      <w:r>
        <w:rPr>
          <w:rFonts w:ascii="IBM Plex Sans Arabic" w:cs="IBM Plex Sans Arabic" w:eastAsia="IBM Plex Sans Arabic" w:hAnsi="IBM Plex Sans Arabic"/>
          <w:sz w:val="22"/>
          <w:szCs w:val="22"/>
          <w:rtl/>
        </w:rPr>
        <w:t xml:space="preserve">الفصول الخاصة بالاستراتيجيات الخمس، وبخاصة استراتيجية تصميم مهام تُظهر أدلة التعلم.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Black, P., &amp; Wiliam, D. (1998). Assessment and classroom learning. Assessment in Education: Principles, Policy &amp; Practice, 5(1), 7–74.</w:t>
      </w:r>
    </w:p>
    <w:p>
      <w:pPr>
        <w:bidi w:val="false"/>
        <w:spacing w:after="120" w:line="300"/>
        <w:jc w:val="left"/>
      </w:pPr>
      <w:r>
        <w:rPr>
          <w:rFonts w:ascii="IBM Plex Sans Arabic" w:cs="IBM Plex Sans Arabic" w:eastAsia="IBM Plex Sans Arabic" w:hAnsi="IBM Plex Sans Arabic"/>
          <w:sz w:val="22"/>
          <w:szCs w:val="22"/>
        </w:rPr>
        <w:t xml:space="preserve">Hattie, J., &amp; Timperley, H. (2007). The power of feedback. Review of Educational Research, 77(1), 81–112.</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Brookhart, S. M. (2013). How to Create and Use Rubrics for Formative Assessment and Grading. ASCD.</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bidi/>
        <w:spacing w:after="120" w:line="300"/>
        <w:jc w:val="right"/>
      </w:pPr>
      <w:r>
        <w:rPr>
          <w:rFonts w:ascii="IBM Plex Sans Arabic" w:cs="IBM Plex Sans Arabic" w:eastAsia="IBM Plex Sans Arabic" w:hAnsi="IBM Plex Sans Arabic"/>
          <w:sz w:val="22"/>
          <w:szCs w:val="22"/>
          <w:rtl/>
        </w:rPr>
        <w:t xml:space="preserve">توجيهات تؤكد أن الحكم التربوي يبقى للمعلم، وأن بيانات الطلبة تحتاج إلى حماية عند استخدام أدوات الذكاء الاصطناعي.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8"/>
        <w:gridCol w:w="4980"/>
      </w:tblGrid>
      <w:tr>
        <w:trPr>
          <w:cantSplit/>
          <w:tblHeader/>
        </w:trPr>
        <w:tc>
          <w:tcPr>
            <w:tcW w:type="dxa" w:w="46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49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التشخيصي</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Diagnostic assessment</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التكويني</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Formative assessment</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الختامي</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Summative assessment</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من أجل التعلم</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Assessment for learning</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تقويم التعلم</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Assessment of learning</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بوصفه تعلماً</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Assessment as learning</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هدف التعلم</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Learning intention</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النجاح</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Success criteria</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السؤال المفصلي</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Hinge question</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تذكرة الخروج</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Exit ticket</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تقويم الأقران</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Peer assessment</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الذاتي</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Self-assessment</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المفهوم الخاطئ</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Misconception</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السؤال التشخيصي متعدد البدائل</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Diagnostic multiple-choice item</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التغذية الراجعة</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Feedback</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التنظيم الذاتي</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Self-regulation</w:t>
            </w:r>
          </w:p>
        </w:tc>
      </w:tr>
      <w:tr>
        <w:trPr>
          <w:cantSplit/>
        </w:trPr>
        <w:tc>
          <w:tcPr>
            <w:tcW w:type="dxa" w:w="4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البحث الإجرائي</w:t>
            </w:r>
          </w:p>
        </w:tc>
        <w:tc>
          <w:tcPr>
            <w:tcW w:type="dxa" w:w="4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Action research</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2: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2: المحتوى العلمي</dc:title>
  <dc:creator>عماد عادل فريج</dc:creator>
  <cp:lastModifiedBy>Un-named</cp:lastModifiedBy>
  <cp:revision>1</cp:revision>
  <dcterms:created xsi:type="dcterms:W3CDTF">2026-10-07T19:24:42.194Z</dcterms:created>
  <dcterms:modified xsi:type="dcterms:W3CDTF">2026-10-07T19:24:42.194Z</dcterms:modified>
</cp:coreProperties>
</file>

<file path=docProps/custom.xml><?xml version="1.0" encoding="utf-8"?>
<Properties xmlns="http://schemas.openxmlformats.org/officeDocument/2006/custom-properties" xmlns:vt="http://schemas.openxmlformats.org/officeDocument/2006/docPropsVTypes"/>
</file>