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bidi/>
        <w:spacing w:after="160"/>
        <w:jc w:val="center"/>
      </w:pPr>
      <w:r>
        <w:rPr>
          <w:rFonts w:ascii="IBM Plex Sans Arabic" w:cs="IBM Plex Sans Arabic" w:eastAsia="IBM Plex Sans Arabic" w:hAnsi="IBM Plex Sans Arabic"/>
          <w:b/>
          <w:bCs/>
          <w:color w:val="1F4E79"/>
          <w:sz w:val="36"/>
          <w:szCs w:val="36"/>
          <w:rtl/>
        </w:rPr>
        <w:t xml:space="preserve">مهمة المرحلة 1 من مشروع الاختبار المتكامل: نواتج التعلم وجدول المواصفات</w:t>
      </w:r>
    </w:p>
    <w:p>
      <w:pPr>
        <w:pBdr>
          <w:bottom w:val="single" w:color="1F4E79" w:sz="8" w:space="8"/>
        </w:pBdr>
        <w:bidi/>
        <w:spacing w:after="360"/>
        <w:jc w:val="center"/>
      </w:pPr>
      <w:r>
        <w:rPr>
          <w:rFonts w:ascii="IBM Plex Sans Arabic" w:cs="IBM Plex Sans Arabic" w:eastAsia="IBM Plex Sans Arabic" w:hAnsi="IBM Plex Sans Arabic"/>
          <w:color w:val="595959"/>
          <w:sz w:val="22"/>
          <w:szCs w:val="22"/>
          <w:rtl/>
        </w:rPr>
        <w:t xml:space="preserve">الوزن 10% من درجة المساق · تُسلَّم نهاية الأسبوع 6 · مستوى استخدام الذكاء الاصطناعي: 2 (تعاون موثّق)</w:t>
      </w:r>
    </w:p>
    <w:p>
      <w:pPr>
        <w:pStyle w:val="Heading1"/>
        <w:bidi/>
        <w:spacing w:after="160" w:before="360"/>
        <w:jc w:val="right"/>
      </w:pPr>
      <w:r>
        <w:rPr>
          <w:rFonts w:ascii="IBM Plex Sans Arabic" w:cs="IBM Plex Sans Arabic" w:eastAsia="IBM Plex Sans Arabic" w:hAnsi="IBM Plex Sans Arabic"/>
          <w:b/>
          <w:bCs/>
          <w:color w:val="1F4E79"/>
          <w:sz w:val="30"/>
          <w:szCs w:val="30"/>
          <w:rtl/>
        </w:rPr>
        <w:t xml:space="preserve">المهمة</w:t>
      </w:r>
    </w:p>
    <w:p>
      <w:pPr>
        <w:bidi/>
        <w:spacing w:after="120" w:line="300"/>
        <w:jc w:val="right"/>
      </w:pPr>
      <w:r>
        <w:rPr>
          <w:rFonts w:ascii="IBM Plex Sans Arabic" w:cs="IBM Plex Sans Arabic" w:eastAsia="IBM Plex Sans Arabic" w:hAnsi="IBM Plex Sans Arabic"/>
          <w:sz w:val="22"/>
          <w:szCs w:val="22"/>
          <w:rtl/>
        </w:rPr>
        <w:t xml:space="preserve">اختر وحدة دراسية حقيقية تدرّسها أو ستدرّسها، واكتب لها نواتج تعلم قابلة للقياس، وابنِ جدول مواصفات لاختبارها بقالب الإكسل، وبرّر الأوزان وتوزيع المستويات المعرفية بالرجوع إلى وثيقة المنهج. هذا الجدول هو الأساس الذي تكتب عليه فقرات اختبارك في الأسبوع 7، وتطبّقه وتحلله في المرحلة 3.</w:t>
      </w:r>
    </w:p>
    <w:p>
      <w:pPr>
        <w:pStyle w:val="Heading1"/>
        <w:bidi/>
        <w:spacing w:after="160" w:before="360"/>
        <w:jc w:val="right"/>
      </w:pPr>
      <w:r>
        <w:rPr>
          <w:rFonts w:ascii="IBM Plex Sans Arabic" w:cs="IBM Plex Sans Arabic" w:eastAsia="IBM Plex Sans Arabic" w:hAnsi="IBM Plex Sans Arabic"/>
          <w:b/>
          <w:bCs/>
          <w:color w:val="1F4E79"/>
          <w:sz w:val="30"/>
          <w:szCs w:val="30"/>
          <w:rtl/>
        </w:rPr>
        <w:t xml:space="preserve">المتطلبات</w:t>
      </w:r>
    </w:p>
    <w:p>
      <w:pPr>
        <w:pStyle w:val="ListParagraph"/>
        <w:keepNext/>
        <w:numPr>
          <w:ilvl w:val="0"/>
          <w:numId w:val="2"/>
        </w:numPr>
        <w:bidi/>
        <w:spacing w:after="60" w:before="80" w:line="300"/>
        <w:jc w:val="right"/>
      </w:pPr>
      <w:r>
        <w:rPr>
          <w:rFonts w:ascii="IBM Plex Sans Arabic" w:cs="IBM Plex Sans Arabic" w:eastAsia="IBM Plex Sans Arabic" w:hAnsi="IBM Plex Sans Arabic"/>
          <w:b/>
          <w:bCs/>
          <w:sz w:val="22"/>
          <w:szCs w:val="22"/>
          <w:rtl/>
        </w:rPr>
        <w:t xml:space="preserve">الوحدة:</w:t>
      </w:r>
      <w:r>
        <w:rPr>
          <w:rFonts w:ascii="IBM Plex Sans Arabic" w:cs="IBM Plex Sans Arabic" w:eastAsia="IBM Plex Sans Arabic" w:hAnsi="IBM Plex Sans Arabic"/>
          <w:sz w:val="22"/>
          <w:szCs w:val="22"/>
          <w:rtl/>
        </w:rPr>
        <w:t xml:space="preserve"> وحدة حقيقية من منهج معتمد، يُذكر فيها المادة والصف وعنوان الوحدة ودروسها وعدد حصص كل درس، ويُرفق مصدر هذه المعلومات (وثيقة المنهج أو دليل المعلم أو الخطة الفصلية).</w:t>
      </w:r>
    </w:p>
    <w:p>
      <w:pPr>
        <w:pStyle w:val="ListParagraph"/>
        <w:keepNext/>
        <w:numPr>
          <w:ilvl w:val="0"/>
          <w:numId w:val="2"/>
        </w:numPr>
        <w:bidi/>
        <w:spacing w:after="60" w:before="80" w:line="300"/>
        <w:jc w:val="right"/>
      </w:pPr>
      <w:r>
        <w:rPr>
          <w:rFonts w:ascii="IBM Plex Sans Arabic" w:cs="IBM Plex Sans Arabic" w:eastAsia="IBM Plex Sans Arabic" w:hAnsi="IBM Plex Sans Arabic"/>
          <w:b/>
          <w:bCs/>
          <w:sz w:val="22"/>
          <w:szCs w:val="22"/>
          <w:rtl/>
        </w:rPr>
        <w:t xml:space="preserve">النواتج:</w:t>
      </w:r>
      <w:r>
        <w:rPr>
          <w:rFonts w:ascii="IBM Plex Sans Arabic" w:cs="IBM Plex Sans Arabic" w:eastAsia="IBM Plex Sans Arabic" w:hAnsi="IBM Plex Sans Arabic"/>
          <w:sz w:val="22"/>
          <w:szCs w:val="22"/>
          <w:rtl/>
        </w:rPr>
        <w:t xml:space="preserve"> من 5 إلى 8 نواتج قابلة للقياس. لكل ناتج: فعل واحد يمكن ملاحظته، ومحتوى محدد، وشرط أداء حيث يلزم، والدروس التي يرتبط بها، والمجال المعرفي الأعلى الذي يطلبه.</w:t>
      </w:r>
    </w:p>
    <w:p>
      <w:pPr>
        <w:pStyle w:val="ListParagraph"/>
        <w:keepNext/>
        <w:numPr>
          <w:ilvl w:val="0"/>
          <w:numId w:val="2"/>
        </w:numPr>
        <w:bidi/>
        <w:spacing w:after="60" w:before="80" w:line="300"/>
        <w:jc w:val="right"/>
      </w:pPr>
      <w:r>
        <w:rPr>
          <w:rFonts w:ascii="IBM Plex Sans Arabic" w:cs="IBM Plex Sans Arabic" w:eastAsia="IBM Plex Sans Arabic" w:hAnsi="IBM Plex Sans Arabic"/>
          <w:b/>
          <w:bCs/>
          <w:sz w:val="22"/>
          <w:szCs w:val="22"/>
          <w:rtl/>
        </w:rPr>
        <w:t xml:space="preserve">جدول المواصفات:</w:t>
      </w:r>
      <w:r>
        <w:rPr>
          <w:rFonts w:ascii="IBM Plex Sans Arabic" w:cs="IBM Plex Sans Arabic" w:eastAsia="IBM Plex Sans Arabic" w:hAnsi="IBM Plex Sans Arabic"/>
          <w:sz w:val="22"/>
          <w:szCs w:val="22"/>
          <w:rtl/>
        </w:rPr>
        <w:t xml:space="preserve"> من ورقة «قالبك» في ملف «03 جدول المواصفات - الأسبوع 6»، بالمدخلات التي تختارها: مجموع الدرجات، ومتوسط درجة الفقرة، وأوزان المستويات الثلاثة. يجب أن تعرض خانة الفحص «المجموع مطابق» في النسخة النهائية.</w:t>
      </w:r>
    </w:p>
    <w:p>
      <w:pPr>
        <w:pStyle w:val="ListParagraph"/>
        <w:keepNext/>
        <w:numPr>
          <w:ilvl w:val="0"/>
          <w:numId w:val="2"/>
        </w:numPr>
        <w:bidi/>
        <w:spacing w:after="60" w:before="80" w:line="300"/>
        <w:jc w:val="right"/>
      </w:pPr>
      <w:r>
        <w:rPr>
          <w:rFonts w:ascii="IBM Plex Sans Arabic" w:cs="IBM Plex Sans Arabic" w:eastAsia="IBM Plex Sans Arabic" w:hAnsi="IBM Plex Sans Arabic"/>
          <w:b/>
          <w:bCs/>
          <w:sz w:val="22"/>
          <w:szCs w:val="22"/>
          <w:rtl/>
        </w:rPr>
        <w:t xml:space="preserve">قرار التقريب:</w:t>
      </w:r>
      <w:r>
        <w:rPr>
          <w:rFonts w:ascii="IBM Plex Sans Arabic" w:cs="IBM Plex Sans Arabic" w:eastAsia="IBM Plex Sans Arabic" w:hAnsi="IBM Plex Sans Arabic"/>
          <w:sz w:val="22"/>
          <w:szCs w:val="22"/>
          <w:rtl/>
        </w:rPr>
        <w:t xml:space="preserve"> كل خلية عُدّلت يدوياً تُلوَّن في الملف، وتُوثَّق في جدول يبيّن القيمة قبل التعديل وبعده، وسببه، وأثره في وزن المستوى ووزن الناتج. إن لم تُعدّل أي خلية، يُبرَّر ذلك بالأرقام.</w:t>
      </w:r>
    </w:p>
    <w:p>
      <w:pPr>
        <w:pStyle w:val="ListParagraph"/>
        <w:keepNext/>
        <w:numPr>
          <w:ilvl w:val="0"/>
          <w:numId w:val="2"/>
        </w:numPr>
        <w:bidi/>
        <w:spacing w:after="60" w:before="80" w:line="300"/>
        <w:jc w:val="right"/>
      </w:pPr>
      <w:r>
        <w:rPr>
          <w:rFonts w:ascii="IBM Plex Sans Arabic" w:cs="IBM Plex Sans Arabic" w:eastAsia="IBM Plex Sans Arabic" w:hAnsi="IBM Plex Sans Arabic"/>
          <w:b/>
          <w:bCs/>
          <w:sz w:val="22"/>
          <w:szCs w:val="22"/>
          <w:rtl/>
        </w:rPr>
        <w:t xml:space="preserve">عدد الفقرات وأنواعها:</w:t>
      </w:r>
      <w:r>
        <w:rPr>
          <w:rFonts w:ascii="IBM Plex Sans Arabic" w:cs="IBM Plex Sans Arabic" w:eastAsia="IBM Plex Sans Arabic" w:hAnsi="IBM Plex Sans Arabic"/>
          <w:sz w:val="22"/>
          <w:szCs w:val="22"/>
          <w:rtl/>
        </w:rPr>
        <w:t xml:space="preserve"> لكل ناتج: عدد الفقرات المقترح، وأنواع الفقرات المخطط لها في كل مستوى، مع توضيح أي اختلاف بين العدد المخطط والعدد الذي يقترحه القالب.</w:t>
      </w:r>
    </w:p>
    <w:p>
      <w:pPr>
        <w:pStyle w:val="ListParagraph"/>
        <w:keepNext/>
        <w:numPr>
          <w:ilvl w:val="0"/>
          <w:numId w:val="2"/>
        </w:numPr>
        <w:bidi/>
        <w:spacing w:after="60" w:before="80" w:line="300"/>
        <w:jc w:val="right"/>
      </w:pPr>
      <w:r>
        <w:rPr>
          <w:rFonts w:ascii="IBM Plex Sans Arabic" w:cs="IBM Plex Sans Arabic" w:eastAsia="IBM Plex Sans Arabic" w:hAnsi="IBM Plex Sans Arabic"/>
          <w:b/>
          <w:bCs/>
          <w:sz w:val="22"/>
          <w:szCs w:val="22"/>
          <w:rtl/>
        </w:rPr>
        <w:t xml:space="preserve">مبررات الأوزان:</w:t>
      </w:r>
      <w:r>
        <w:rPr>
          <w:rFonts w:ascii="IBM Plex Sans Arabic" w:cs="IBM Plex Sans Arabic" w:eastAsia="IBM Plex Sans Arabic" w:hAnsi="IBM Plex Sans Arabic"/>
          <w:sz w:val="22"/>
          <w:szCs w:val="22"/>
          <w:rtl/>
        </w:rPr>
        <w:t xml:space="preserve"> نص من 400 إلى 600 كلمة يبرر أهمية كل ناتج، وأوزان المستويات الثلاثة، ويربطها بوثيقة المنهج، وبإطار تيمس حيث يكون ذلك مناسباً للمادة والصف. للمرجع: يحدد إطار تيمس 2023 لعلوم الصف الثامن معرفة 35% وتطبيقاً 35% واستدلالاً 30%، ولعلوم الصف الرابع 40% و40% و20%. يحق لك أن تختلف عن هذا التوزيع، على أن تشرح السبب.</w:t>
      </w:r>
    </w:p>
    <w:p>
      <w:pPr>
        <w:pStyle w:val="ListParagraph"/>
        <w:keepNext/>
        <w:numPr>
          <w:ilvl w:val="0"/>
          <w:numId w:val="2"/>
        </w:numPr>
        <w:bidi/>
        <w:spacing w:after="60" w:before="80" w:line="300"/>
        <w:jc w:val="right"/>
      </w:pPr>
      <w:r>
        <w:rPr>
          <w:rFonts w:ascii="IBM Plex Sans Arabic" w:cs="IBM Plex Sans Arabic" w:eastAsia="IBM Plex Sans Arabic" w:hAnsi="IBM Plex Sans Arabic"/>
          <w:b/>
          <w:bCs/>
          <w:sz w:val="22"/>
          <w:szCs w:val="22"/>
          <w:rtl/>
        </w:rPr>
        <w:t xml:space="preserve">سجل استخدام كلود:</w:t>
      </w:r>
      <w:r>
        <w:rPr>
          <w:rFonts w:ascii="IBM Plex Sans Arabic" w:cs="IBM Plex Sans Arabic" w:eastAsia="IBM Plex Sans Arabic" w:hAnsi="IBM Plex Sans Arabic"/>
          <w:sz w:val="22"/>
          <w:szCs w:val="22"/>
          <w:rtl/>
        </w:rPr>
        <w:t xml:space="preserve"> التعليمات التي استخدمتها، وما قبلته من مخرجات كلود، وما عدّلته أو رفضته، والسبب في كل حالة. ويتضمن جدول مطابقة بين أرقام كلود وأرقام الإكسل في خمسة بنود على الأقل.</w:t>
      </w:r>
    </w:p>
    <w:p>
      <w:pPr>
        <w:pStyle w:val="Heading1"/>
        <w:bidi/>
        <w:spacing w:after="160" w:before="360"/>
        <w:jc w:val="right"/>
      </w:pPr>
      <w:r>
        <w:rPr>
          <w:rFonts w:ascii="IBM Plex Sans Arabic" w:cs="IBM Plex Sans Arabic" w:eastAsia="IBM Plex Sans Arabic" w:hAnsi="IBM Plex Sans Arabic"/>
          <w:b/>
          <w:bCs/>
          <w:color w:val="1F4E79"/>
          <w:sz w:val="30"/>
          <w:szCs w:val="30"/>
          <w:rtl/>
        </w:rPr>
        <w:t xml:space="preserve">ما يُسلَّم</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57"/>
        <w:gridCol w:w="7581"/>
      </w:tblGrid>
      <w:tr>
        <w:trPr>
          <w:cantSplit/>
          <w:tblHeader/>
        </w:trPr>
        <w:tc>
          <w:tcPr>
            <w:tcW w:type="dxa" w:w="2057"/>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الملف</w:t>
            </w:r>
          </w:p>
        </w:tc>
        <w:tc>
          <w:tcPr>
            <w:tcW w:type="dxa" w:w="7581"/>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الوصف</w:t>
            </w:r>
          </w:p>
        </w:tc>
      </w:tr>
      <w:tr>
        <w:trPr>
          <w:cantSplit/>
        </w:trPr>
        <w:tc>
          <w:tcPr>
            <w:tcW w:type="dxa" w:w="20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وثيقة المرحلة 1</w:t>
            </w:r>
          </w:p>
        </w:tc>
        <w:tc>
          <w:tcPr>
            <w:tcW w:type="dxa" w:w="75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النواتج، وجدول عدد الفقرات وأنواعها، ومبررات الأوزان (400 – 600 كلمة)، وجدول قرار التقريب</w:t>
            </w:r>
          </w:p>
        </w:tc>
      </w:tr>
      <w:tr>
        <w:trPr>
          <w:cantSplit/>
        </w:trPr>
        <w:tc>
          <w:tcPr>
            <w:tcW w:type="dxa" w:w="20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ملف الإكسل</w:t>
            </w:r>
          </w:p>
        </w:tc>
        <w:tc>
          <w:tcPr>
            <w:tcW w:type="dxa" w:w="75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ورقة «قالبك» مكتملة، والخلايا المعدّلة ملوّنة</w:t>
            </w:r>
          </w:p>
        </w:tc>
      </w:tr>
      <w:tr>
        <w:trPr>
          <w:cantSplit/>
        </w:trPr>
        <w:tc>
          <w:tcPr>
            <w:tcW w:type="dxa" w:w="20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مصدر معلومات الوحدة</w:t>
            </w:r>
          </w:p>
        </w:tc>
        <w:tc>
          <w:tcPr>
            <w:tcW w:type="dxa" w:w="75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صفحة من وثيقة المنهج أو الخطة الفصلية تُظهر الدروس والحصص</w:t>
            </w:r>
          </w:p>
        </w:tc>
      </w:tr>
      <w:tr>
        <w:trPr>
          <w:cantSplit/>
        </w:trPr>
        <w:tc>
          <w:tcPr>
            <w:tcW w:type="dxa" w:w="20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سجل استخدام كلود</w:t>
            </w:r>
          </w:p>
        </w:tc>
        <w:tc>
          <w:tcPr>
            <w:tcW w:type="dxa" w:w="75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التعليمات، والقبول والتعديل والرفض مع الأسباب، وجدول المطابقة، ورابط المحادثة أو ملف تصديرها</w:t>
            </w:r>
          </w:p>
        </w:tc>
      </w:tr>
      <w:tr>
        <w:trPr>
          <w:cantSplit/>
        </w:trPr>
        <w:tc>
          <w:tcPr>
            <w:tcW w:type="dxa" w:w="20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إقرار الاستخدام</w:t>
            </w:r>
          </w:p>
        </w:tc>
        <w:tc>
          <w:tcPr>
            <w:tcW w:type="dxa" w:w="75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أي أداة ذكاء اصطناعي استُخدمت، وفي أي مرحلة، وماذا غيّرت في مخرجاتها</w:t>
            </w:r>
          </w:p>
        </w:tc>
      </w:tr>
    </w:tbl>
    <w:p>
      <w:pPr>
        <w:spacing w:after="120"/>
      </w:pPr>
    </w:p>
    <w:p>
      <w:pPr>
        <w:pStyle w:val="Heading1"/>
        <w:bidi/>
        <w:spacing w:after="160" w:before="360"/>
        <w:jc w:val="right"/>
      </w:pPr>
      <w:r>
        <w:rPr>
          <w:rFonts w:ascii="IBM Plex Sans Arabic" w:cs="IBM Plex Sans Arabic" w:eastAsia="IBM Plex Sans Arabic" w:hAnsi="IBM Plex Sans Arabic"/>
          <w:b/>
          <w:bCs/>
          <w:color w:val="1F4E79"/>
          <w:sz w:val="30"/>
          <w:szCs w:val="30"/>
          <w:rtl/>
        </w:rPr>
        <w:t xml:space="preserve">سلم التقدير (10 درجات)</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35"/>
        <w:gridCol w:w="450"/>
        <w:gridCol w:w="2338"/>
        <w:gridCol w:w="1971"/>
        <w:gridCol w:w="2004"/>
        <w:gridCol w:w="1840"/>
      </w:tblGrid>
      <w:tr>
        <w:trPr>
          <w:cantSplit/>
          <w:tblHeader/>
        </w:trPr>
        <w:tc>
          <w:tcPr>
            <w:tcW w:type="dxa" w:w="1035"/>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المعيار</w:t>
            </w:r>
          </w:p>
        </w:tc>
        <w:tc>
          <w:tcPr>
            <w:tcW w:type="dxa" w:w="45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الوزن</w:t>
            </w:r>
          </w:p>
        </w:tc>
        <w:tc>
          <w:tcPr>
            <w:tcW w:type="dxa" w:w="233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متميز (4)</w:t>
            </w:r>
          </w:p>
        </w:tc>
        <w:tc>
          <w:tcPr>
            <w:tcW w:type="dxa" w:w="1971"/>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متمكن (3)</w:t>
            </w:r>
          </w:p>
        </w:tc>
        <w:tc>
          <w:tcPr>
            <w:tcW w:type="dxa" w:w="2004"/>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نامٍ (2)</w:t>
            </w:r>
          </w:p>
        </w:tc>
        <w:tc>
          <w:tcPr>
            <w:tcW w:type="dxa" w:w="184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مبتدئ (1)</w:t>
            </w:r>
          </w:p>
        </w:tc>
      </w:tr>
      <w:tr>
        <w:trPr>
          <w:cantSplit/>
        </w:trPr>
        <w:tc>
          <w:tcPr>
            <w:tcW w:type="dxa" w:w="103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جودة نواتج التعلم</w:t>
            </w:r>
          </w:p>
        </w:tc>
        <w:tc>
          <w:tcPr>
            <w:tcW w:type="dxa" w:w="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3</w:t>
            </w:r>
          </w:p>
        </w:tc>
        <w:tc>
          <w:tcPr>
            <w:tcW w:type="dxa" w:w="2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كل النواتج بفعل واحد قابل للملاحظة ومحتوى وشرط محددين، وتغطي الوحدة دون تكرار، ومستوى كل منها مبرر</w:t>
            </w:r>
          </w:p>
        </w:tc>
        <w:tc>
          <w:tcPr>
            <w:tcW w:type="dxa" w:w="197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معظم النواتج قابلة للقياس، مع ناتج أو اثنين يحتاجان إلى ضبط</w:t>
            </w:r>
          </w:p>
        </w:tc>
        <w:tc>
          <w:tcPr>
            <w:tcW w:type="dxa" w:w="20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عدة نواتج بأفعال عامة أو أفعال متعددة، أو تغطية ناقصة للوحدة</w:t>
            </w:r>
          </w:p>
        </w:tc>
        <w:tc>
          <w:tcPr>
            <w:tcW w:type="dxa" w:w="18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نواتج بأفعال مثل «يفهم» و«يعرف»، أو منسوخة دون صياغة</w:t>
            </w:r>
          </w:p>
        </w:tc>
      </w:tr>
      <w:tr>
        <w:trPr>
          <w:cantSplit/>
        </w:trPr>
        <w:tc>
          <w:tcPr>
            <w:tcW w:type="dxa" w:w="103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دقة الجدول وسلامة الحسابات</w:t>
            </w:r>
          </w:p>
        </w:tc>
        <w:tc>
          <w:tcPr>
            <w:tcW w:type="dxa" w:w="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2</w:t>
            </w:r>
          </w:p>
        </w:tc>
        <w:tc>
          <w:tcPr>
            <w:tcW w:type="dxa" w:w="2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المدخلات صحيحة، والمجموع مطابق، وكل خلية معدّلة ملوّنة وموثقة، والجدول متسق مع النواتج</w:t>
            </w:r>
          </w:p>
        </w:tc>
        <w:tc>
          <w:tcPr>
            <w:tcW w:type="dxa" w:w="197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الجدول صحيح مع خلل توثيق بسيط</w:t>
            </w:r>
          </w:p>
        </w:tc>
        <w:tc>
          <w:tcPr>
            <w:tcW w:type="dxa" w:w="20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أخطاء في المدخلات أو خلايا معدّلة دون توثيق</w:t>
            </w:r>
          </w:p>
        </w:tc>
        <w:tc>
          <w:tcPr>
            <w:tcW w:type="dxa" w:w="18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جدول غير مكتمل، أو أرقام منقولة من كلود دون قالب الإكسل</w:t>
            </w:r>
          </w:p>
        </w:tc>
      </w:tr>
      <w:tr>
        <w:trPr>
          <w:cantSplit/>
        </w:trPr>
        <w:tc>
          <w:tcPr>
            <w:tcW w:type="dxa" w:w="103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مبررات الأوزان وتوزيع المستويات</w:t>
            </w:r>
          </w:p>
        </w:tc>
        <w:tc>
          <w:tcPr>
            <w:tcW w:type="dxa" w:w="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2</w:t>
            </w:r>
          </w:p>
        </w:tc>
        <w:tc>
          <w:tcPr>
            <w:tcW w:type="dxa" w:w="2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مبررات مرتبطة بوثيقة المنهج لكل ناتج، ومقارنة واعية بإطار تيمس، وشرح لأي اختلاف عنه</w:t>
            </w:r>
          </w:p>
        </w:tc>
        <w:tc>
          <w:tcPr>
            <w:tcW w:type="dxa" w:w="197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مبررات واضحة لمعظم النواتج مع إشارة إلى المنهج</w:t>
            </w:r>
          </w:p>
        </w:tc>
        <w:tc>
          <w:tcPr>
            <w:tcW w:type="dxa" w:w="20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مبررات عامة لا ترجع إلى المنهج</w:t>
            </w:r>
          </w:p>
        </w:tc>
        <w:tc>
          <w:tcPr>
            <w:tcW w:type="dxa" w:w="18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غياب المبررات، أو نص خارج الحد المطلوب كثيراً</w:t>
            </w:r>
          </w:p>
        </w:tc>
      </w:tr>
      <w:tr>
        <w:trPr>
          <w:cantSplit/>
        </w:trPr>
        <w:tc>
          <w:tcPr>
            <w:tcW w:type="dxa" w:w="103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قرار التقريب وتخطيط الفقرات</w:t>
            </w:r>
          </w:p>
        </w:tc>
        <w:tc>
          <w:tcPr>
            <w:tcW w:type="dxa" w:w="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1</w:t>
            </w:r>
          </w:p>
        </w:tc>
        <w:tc>
          <w:tcPr>
            <w:tcW w:type="dxa" w:w="2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قرار مبرر يوازن بين المستويات وأهمية النواتج ويذكر أثره فيهما، وأنواع فقرات مناسبة لكل مستوى</w:t>
            </w:r>
          </w:p>
        </w:tc>
        <w:tc>
          <w:tcPr>
            <w:tcW w:type="dxa" w:w="197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قرار مبرر يذكر أثره في المستويات فقط</w:t>
            </w:r>
          </w:p>
        </w:tc>
        <w:tc>
          <w:tcPr>
            <w:tcW w:type="dxa" w:w="20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تعديل دون مبرر واضح، أو أنواع فقرات لا تناسب المستوى</w:t>
            </w:r>
          </w:p>
        </w:tc>
        <w:tc>
          <w:tcPr>
            <w:tcW w:type="dxa" w:w="18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لا قرار ولا تخطيط للفقرات</w:t>
            </w:r>
          </w:p>
        </w:tc>
      </w:tr>
      <w:tr>
        <w:trPr>
          <w:cantSplit/>
        </w:trPr>
        <w:tc>
          <w:tcPr>
            <w:tcW w:type="dxa" w:w="103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سجل استخدام كلود والحكم النقدي</w:t>
            </w:r>
          </w:p>
        </w:tc>
        <w:tc>
          <w:tcPr>
            <w:tcW w:type="dxa" w:w="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2</w:t>
            </w:r>
          </w:p>
        </w:tc>
        <w:tc>
          <w:tcPr>
            <w:tcW w:type="dxa" w:w="2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سجل كامل يبيّن ما قُبل وما رُفض ولماذا، ومطابقة خمسة بنود أو أكثر تفسّر كل اختلاف</w:t>
            </w:r>
          </w:p>
        </w:tc>
        <w:tc>
          <w:tcPr>
            <w:tcW w:type="dxa" w:w="197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سجل واضح ومطابقة جزئية</w:t>
            </w:r>
          </w:p>
        </w:tc>
        <w:tc>
          <w:tcPr>
            <w:tcW w:type="dxa" w:w="20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سجل شكلي يكتفي بالتعليمات</w:t>
            </w:r>
          </w:p>
        </w:tc>
        <w:tc>
          <w:tcPr>
            <w:tcW w:type="dxa" w:w="18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غياب السجل، أو اعتماد مخرجات كلود كما هي</w:t>
            </w:r>
          </w:p>
        </w:tc>
      </w:tr>
    </w:tbl>
    <w:p>
      <w:pPr>
        <w:spacing w:after="120"/>
      </w:pPr>
    </w:p>
    <w:p>
      <w:pPr>
        <w:bidi/>
        <w:spacing w:after="120" w:line="300"/>
        <w:jc w:val="right"/>
      </w:pPr>
      <w:r>
        <w:rPr>
          <w:rFonts w:ascii="IBM Plex Sans Arabic" w:cs="IBM Plex Sans Arabic" w:eastAsia="IBM Plex Sans Arabic" w:hAnsi="IBM Plex Sans Arabic"/>
          <w:b/>
          <w:bCs/>
          <w:sz w:val="22"/>
          <w:szCs w:val="22"/>
          <w:rtl/>
        </w:rPr>
        <w:t xml:space="preserve">طريقة الحساب:</w:t>
      </w:r>
      <w:r>
        <w:rPr>
          <w:rFonts w:ascii="IBM Plex Sans Arabic" w:cs="IBM Plex Sans Arabic" w:eastAsia="IBM Plex Sans Arabic" w:hAnsi="IBM Plex Sans Arabic"/>
          <w:sz w:val="22"/>
          <w:szCs w:val="22"/>
          <w:rtl/>
        </w:rPr>
        <w:t xml:space="preserve"> درجة المعيار = (المستوى ÷ 4) × وزنه. المجموع من 10.</w:t>
      </w:r>
    </w:p>
    <w:p>
      <w:pPr>
        <w:pStyle w:val="Heading1"/>
        <w:bidi/>
        <w:spacing w:after="160" w:before="360"/>
        <w:jc w:val="right"/>
      </w:pPr>
      <w:r>
        <w:rPr>
          <w:rFonts w:ascii="IBM Plex Sans Arabic" w:cs="IBM Plex Sans Arabic" w:eastAsia="IBM Plex Sans Arabic" w:hAnsi="IBM Plex Sans Arabic"/>
          <w:b/>
          <w:bCs/>
          <w:color w:val="1F4E79"/>
          <w:sz w:val="30"/>
          <w:szCs w:val="30"/>
          <w:rtl/>
        </w:rPr>
        <w:t xml:space="preserve">أسئلة المناقشة الشفهية المرتبطة بهذه المرحلة</w:t>
      </w:r>
    </w:p>
    <w:p>
      <w:pPr>
        <w:bidi/>
        <w:spacing w:after="120" w:line="300"/>
        <w:jc w:val="right"/>
      </w:pPr>
      <w:r>
        <w:rPr>
          <w:rFonts w:ascii="IBM Plex Sans Arabic" w:cs="IBM Plex Sans Arabic" w:eastAsia="IBM Plex Sans Arabic" w:hAnsi="IBM Plex Sans Arabic"/>
          <w:sz w:val="22"/>
          <w:szCs w:val="22"/>
          <w:rtl/>
        </w:rPr>
        <w:t xml:space="preserve">في المناقشة النهائية يُسأل الطالب سؤالاً واحداً على الأقل من هذه الأسئلة، دون الرجوع لأي أداة:</w:t>
      </w:r>
    </w:p>
    <w:p>
      <w:pPr>
        <w:pStyle w:val="ListParagraph"/>
        <w:keepNext/>
        <w:numPr>
          <w:ilvl w:val="0"/>
          <w:numId w:val="3"/>
        </w:numPr>
        <w:bidi/>
        <w:spacing w:after="60" w:before="80" w:line="300"/>
        <w:jc w:val="right"/>
      </w:pPr>
      <w:r>
        <w:rPr>
          <w:rFonts w:ascii="IBM Plex Sans Arabic" w:cs="IBM Plex Sans Arabic" w:eastAsia="IBM Plex Sans Arabic" w:hAnsi="IBM Plex Sans Arabic"/>
          <w:sz w:val="22"/>
          <w:szCs w:val="22"/>
          <w:rtl/>
        </w:rPr>
        <w:t xml:space="preserve">اختر الناتج الأعلى وزناً في جدولك. لماذا يستحق هذا الوزن؟ وما الذي في المنهج يدعمه؟</w:t>
      </w:r>
    </w:p>
    <w:p>
      <w:pPr>
        <w:pStyle w:val="ListParagraph"/>
        <w:keepNext/>
        <w:numPr>
          <w:ilvl w:val="0"/>
          <w:numId w:val="3"/>
        </w:numPr>
        <w:bidi/>
        <w:spacing w:after="60" w:before="80" w:line="300"/>
        <w:jc w:val="right"/>
      </w:pPr>
      <w:r>
        <w:rPr>
          <w:rFonts w:ascii="IBM Plex Sans Arabic" w:cs="IBM Plex Sans Arabic" w:eastAsia="IBM Plex Sans Arabic" w:hAnsi="IBM Plex Sans Arabic"/>
          <w:sz w:val="22"/>
          <w:szCs w:val="22"/>
          <w:rtl/>
        </w:rPr>
        <w:t xml:space="preserve">أين اختلفت مع كلود في صياغة ناتج أو تصنيف مستواه أو حساب خلية؟ ومن كان على حق؟</w:t>
      </w:r>
    </w:p>
    <w:p>
      <w:pPr>
        <w:pStyle w:val="ListParagraph"/>
        <w:keepNext/>
        <w:numPr>
          <w:ilvl w:val="0"/>
          <w:numId w:val="3"/>
        </w:numPr>
        <w:bidi/>
        <w:spacing w:after="60" w:before="80" w:line="300"/>
        <w:jc w:val="right"/>
      </w:pPr>
      <w:r>
        <w:rPr>
          <w:rFonts w:ascii="IBM Plex Sans Arabic" w:cs="IBM Plex Sans Arabic" w:eastAsia="IBM Plex Sans Arabic" w:hAnsi="IBM Plex Sans Arabic"/>
          <w:sz w:val="22"/>
          <w:szCs w:val="22"/>
          <w:rtl/>
        </w:rPr>
        <w:t xml:space="preserve">لو أعدت بناء الجدول بعد تحليل فقرات اختبارك في المرحلة 3، فما الذي ستغيّره؟</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IBM Plex Sans Arabic" w:cs="IBM Plex Sans Arabic" w:eastAsia="IBM Plex Sans Arabic" w:hAnsi="IBM Plex Sans Arabic"/>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bidi/>
      <w:jc w:val="right"/>
    </w:pPr>
    <w:r>
      <w:rPr>
        <w:rFonts w:ascii="IBM Plex Sans Arabic" w:cs="IBM Plex Sans Arabic" w:eastAsia="IBM Plex Sans Arabic" w:hAnsi="IBM Plex Sans Arabic"/>
        <w:color w:val="808080"/>
        <w:sz w:val="16"/>
        <w:szCs w:val="16"/>
        <w:rtl/>
      </w:rPr>
      <w:t xml:space="preserve">القياس والتقويم التربوي · مهمة المرحلة 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abstractNum w:abstractNumId="3" w15:restartNumberingAfterBreak="0">
    <w:multiLevelType w:val="hybridMultilevel"/>
    <w:lvl w:ilvl="0" w15:tentative="1">
      <w:start w:val="1"/>
      <w:numFmt w:val="bullet"/>
      <w:lvlText w:val="•"/>
      <w:lvlJc w:val="right"/>
      <w:pPr>
        <w:ind w:right="540" w:hanging="300"/>
      </w:pPr>
    </w:lvl>
  </w:abstractNum>
  <w:abstractNum w:abstractNumId="4" w15:restartNumberingAfterBreak="0">
    <w:multiLevelType w:val="hybridMultilevel"/>
    <w:lvl w:ilvl="0" w15:tentative="1">
      <w:start w:val="1"/>
      <w:numFmt w:val="decimal"/>
      <w:lvlText w:val="%1."/>
      <w:lvlJc w:val="right"/>
      <w:pPr>
        <w:ind w:right="540" w:hanging="360"/>
      </w:pPr>
    </w:lvl>
  </w:abstractNum>
  <w:abstractNum w:abstractNumId="5" w15:restartNumberingAfterBreak="0">
    <w:multiLevelType w:val="hybridMultilevel"/>
    <w:lvl w:ilvl="0" w15:tentative="1">
      <w:start w:val="1"/>
      <w:numFmt w:val="decimal"/>
      <w:lvlText w:val="%1."/>
      <w:lvlJc w:val="right"/>
      <w:pPr>
        <w:ind w:right="540" w:hanging="360"/>
      </w:pPr>
    </w:lvl>
  </w:abstractNum>
  <w:num w:numId="1">
    <w:abstractNumId w:val="1"/>
    <w:lvlOverride w:ilvl="0">
      <w:startOverride w:val="1"/>
    </w:lvlOverride>
  </w:num>
  <w:num w:numId="2">
    <w:abstractNumId w:val="4"/>
    <w:lvlOverride w:ilvl="0">
      <w:startOverride w:val="1"/>
    </w:lvlOverride>
  </w:num>
  <w:num w:numId="3">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BM Plex Sans Arabic" w:cs="IBM Plex Sans Arabic" w:eastAsia="IBM Plex Sans Arabic" w:hAnsi="IBM Plex Sans Arabi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IBM Plex Sans Arabic" w:cs="IBM Plex Sans Arabic" w:eastAsia="IBM Plex Sans Arabic" w:hAnsi="IBM Plex Sans Arabic"/>
      <w:b/>
      <w:bCs/>
      <w:color w:val="1F4E79"/>
      <w:sz w:val="30"/>
      <w:szCs w:val="30"/>
    </w:rPr>
  </w:style>
  <w:style w:type="paragraph" w:styleId="Heading2">
    <w:name w:val="Heading 2"/>
    <w:basedOn w:val="Normal"/>
    <w:next w:val="Normal"/>
    <w:qFormat/>
    <w:pPr>
      <w:outlineLvl w:val="1"/>
    </w:pPr>
    <w:rPr>
      <w:rFonts w:ascii="IBM Plex Sans Arabic" w:cs="IBM Plex Sans Arabic" w:eastAsia="IBM Plex Sans Arabic" w:hAnsi="IBM Plex Sans Arabic"/>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مهمة المرحلة 1</dc:title>
  <dc:creator>عماد عادل فريج</dc:creator>
  <cp:lastModifiedBy>Un-named</cp:lastModifiedBy>
  <cp:revision>1</cp:revision>
  <dcterms:created xsi:type="dcterms:W3CDTF">2026-10-07T19:25:02.165Z</dcterms:created>
  <dcterms:modified xsi:type="dcterms:W3CDTF">2026-10-07T19:25:02.165Z</dcterms:modified>
</cp:coreProperties>
</file>

<file path=docProps/custom.xml><?xml version="1.0" encoding="utf-8"?>
<Properties xmlns="http://schemas.openxmlformats.org/officeDocument/2006/custom-properties" xmlns:vt="http://schemas.openxmlformats.org/officeDocument/2006/docPropsVTypes"/>
</file>