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12 — الاختبارات الدولية: الأطر والأسئلة الرقمية ومواءمة المنهج</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بين دراسات تيمس وبيزا وبيرلز من حيث ما تقيسه، ومن تستهدفه، وعلاقتها بالمنهج.</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يقرأ إطار تقييم دولي بوصفه جدول مواصفات على مستوى النظام التعليمي، ويربطه بجدول المواصفات الذي بناه في الأسبوع 6.</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يبني مصفوفة مواءمة بين منهج الصف الثامن وموضوعات إطار تيمس 2023 للعلوم، ويحسب التغطية الموزونة وغير الموزونة.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يفسّر نتائج دراسة دولية في ضوء فرصة التعلم، فلا ينسب ضعف الأداء إلى الطلبة قبل أن يسأل: هل دُرّس المحتوى أصلاً؟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يصنّف فقرات بأسلوب تيمس بالمجال والموضوع والمجال المعرفي، ويكتب فقرة مبنية الإجابة بدليل تصحيح.</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يوظّف كلود في مواءمة الوثائق وتصنيف الفقرات وصياغتها، ويحدد ما يجب أن يتحقق منه بنفسه.</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5، ومنتجه مصفوفة مواءمة المنهج التي تُضاف إلى ملف الإنجاز، وتمهّد لقراءة تقارير النتائج في الأسبوع 13.</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ما الدراسات الدولية الكبرى، ولماذا تشارك فيها الأنظمة؟</w:t>
      </w:r>
    </w:p>
    <w:p>
      <w:pPr>
        <w:bidi/>
        <w:spacing w:after="120" w:line="300"/>
        <w:jc w:val="right"/>
      </w:pPr>
      <w:r>
        <w:rPr>
          <w:rFonts w:ascii="IBM Plex Sans Arabic" w:cs="IBM Plex Sans Arabic" w:eastAsia="IBM Plex Sans Arabic" w:hAnsi="IBM Plex Sans Arabic"/>
          <w:sz w:val="22"/>
          <w:szCs w:val="22"/>
          <w:rtl/>
        </w:rPr>
        <w:t xml:space="preserve">الدراسات الدولية الكبرى تقييمات تُطبّق على عينات ممثلة من الطلبة في دول كثيرة، بأدوات واحدة وإجراءات موحّدة، ثم تُنشر نتائجها على مقياس مشترك. لا تعطي هذه الدراسات درجة لطالب بعينه، بل تصف أداء النظام التعليمي كله. وتشارك فيها دولة الإمارات، وتحتل نتائجها مكاناً مهماً في الحوار التربوي الوطني.</w:t>
      </w:r>
    </w:p>
    <w:p>
      <w:pPr>
        <w:bidi/>
        <w:spacing w:after="120" w:line="300"/>
        <w:jc w:val="right"/>
      </w:pPr>
      <w:r>
        <w:rPr>
          <w:rFonts w:ascii="IBM Plex Sans Arabic" w:cs="IBM Plex Sans Arabic" w:eastAsia="IBM Plex Sans Arabic" w:hAnsi="IBM Plex Sans Arabic"/>
          <w:sz w:val="22"/>
          <w:szCs w:val="22"/>
          <w:rtl/>
        </w:rPr>
        <w:t xml:space="preserve">ثلاث دراسات يحتاج المعلم إلى التمييز بينها: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3"/>
        <w:gridCol w:w="2004"/>
        <w:gridCol w:w="1371"/>
        <w:gridCol w:w="2532"/>
        <w:gridCol w:w="2798"/>
      </w:tblGrid>
      <w:tr>
        <w:trPr>
          <w:cantSplit/>
          <w:tblHeader/>
        </w:trPr>
        <w:tc>
          <w:tcPr>
            <w:tcW w:type="dxa" w:w="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الدراسة</w:t>
            </w:r>
          </w:p>
        </w:tc>
        <w:tc>
          <w:tcPr>
            <w:tcW w:type="dxa" w:w="20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الجهة</w:t>
            </w:r>
          </w:p>
        </w:tc>
        <w:tc>
          <w:tcPr>
            <w:tcW w:type="dxa" w:w="13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من تستهدف</w:t>
            </w:r>
          </w:p>
        </w:tc>
        <w:tc>
          <w:tcPr>
            <w:tcW w:type="dxa" w:w="2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ماذا تقيس</w:t>
            </w:r>
          </w:p>
        </w:tc>
        <w:tc>
          <w:tcPr>
            <w:tcW w:type="dxa" w:w="27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الدورية</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تيمس</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الرابطة الدولية لتقييم التحصيل التربوي</w:t>
            </w:r>
          </w:p>
        </w:tc>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طلبة الصفين الرابع والثامن</w:t>
            </w:r>
          </w:p>
        </w:tc>
        <w:tc>
          <w:tcPr>
            <w:tcW w:type="dxa" w:w="2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الرياضيات والعلوم، وهي مبنية على المناهج</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4 سنوات</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بيرلز</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الرابطة الدولية لتقييم التحصيل التربوي</w:t>
            </w:r>
          </w:p>
        </w:tc>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طلبة الصف الرابع</w:t>
            </w:r>
          </w:p>
        </w:tc>
        <w:tc>
          <w:tcPr>
            <w:tcW w:type="dxa" w:w="2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القراءة</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5 سنوات</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بيزا</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منظمة التعاون الاقتصادي والتنمية</w:t>
            </w:r>
          </w:p>
        </w:tc>
        <w:tc>
          <w:tcPr>
            <w:tcW w:type="dxa" w:w="1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الطلبة في عمر 15 سنة</w:t>
            </w:r>
          </w:p>
        </w:tc>
        <w:tc>
          <w:tcPr>
            <w:tcW w:type="dxa" w:w="2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توظيف القراءة والرياضيات والعلوم في مواقف حياتية</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3 سنوات تقليدياً، وتغيّر جدولها في الدورات الأخيرة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الفرق الأهم لهذا الأسبوع بين تيمس وبيزا: </w:t>
      </w:r>
      <w:r>
        <w:rPr>
          <w:rFonts w:ascii="IBM Plex Sans Arabic" w:cs="IBM Plex Sans Arabic" w:eastAsia="IBM Plex Sans Arabic" w:hAnsi="IBM Plex Sans Arabic"/>
          <w:b/>
          <w:bCs/>
          <w:sz w:val="22"/>
          <w:szCs w:val="22"/>
          <w:rtl/>
        </w:rPr>
        <w:t xml:space="preserve">تيمس تنطلق من المناهج.</w:t>
      </w:r>
      <w:r>
        <w:rPr>
          <w:rFonts w:ascii="IBM Plex Sans Arabic" w:cs="IBM Plex Sans Arabic" w:eastAsia="IBM Plex Sans Arabic" w:hAnsi="IBM Plex Sans Arabic"/>
          <w:sz w:val="22"/>
          <w:szCs w:val="22"/>
          <w:rtl/>
        </w:rPr>
        <w:t xml:space="preserve"> تُبنى أطرها على ما تدرّسه الدول المشاركة عادة في الصفين الرابع والثامن، لذلك يصح أن نسأل عن كل فقرة فيها: هل دُرّس محتواها في منهجنا؟ أما بيزا فتستهدف عمراً لا صفاً، وتقيس قدرة الطالب على توظيف ما تعلمه في مواقف جديدة، دون أن تُبنى على منهج صف بعينه.</w:t>
      </w:r>
    </w:p>
    <w:p>
      <w:pPr>
        <w:bidi/>
        <w:spacing w:after="120" w:line="300"/>
        <w:jc w:val="right"/>
      </w:pPr>
      <w:r>
        <w:rPr>
          <w:rFonts w:ascii="IBM Plex Sans Arabic" w:cs="IBM Plex Sans Arabic" w:eastAsia="IBM Plex Sans Arabic" w:hAnsi="IBM Plex Sans Arabic"/>
          <w:b/>
          <w:bCs/>
          <w:sz w:val="22"/>
          <w:szCs w:val="22"/>
          <w:rtl/>
        </w:rPr>
        <w:t xml:space="preserve">لماذا تشارك الأنظمة؟</w:t>
      </w:r>
      <w:r>
        <w:rPr>
          <w:rFonts w:ascii="IBM Plex Sans Arabic" w:cs="IBM Plex Sans Arabic" w:eastAsia="IBM Plex Sans Arabic" w:hAnsi="IBM Plex Sans Arabic"/>
          <w:sz w:val="22"/>
          <w:szCs w:val="22"/>
          <w:rtl/>
        </w:rPr>
        <w:t xml:space="preserve"> لأسباب عملية واضحة: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مرآة خارجية:</w:t>
      </w:r>
      <w:r>
        <w:rPr>
          <w:rFonts w:ascii="IBM Plex Sans Arabic" w:cs="IBM Plex Sans Arabic" w:eastAsia="IBM Plex Sans Arabic" w:hAnsi="IBM Plex Sans Arabic"/>
          <w:sz w:val="22"/>
          <w:szCs w:val="22"/>
          <w:rtl/>
        </w:rPr>
        <w:t xml:space="preserve"> تعرف الدولة موقع أداء طلبتها مقارنة بأنظمة أخرى، بأدوات لم تصنعها هي.</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الاتجاه عبر الزمن:</w:t>
      </w:r>
      <w:r>
        <w:rPr>
          <w:rFonts w:ascii="IBM Plex Sans Arabic" w:cs="IBM Plex Sans Arabic" w:eastAsia="IBM Plex Sans Arabic" w:hAnsi="IBM Plex Sans Arabic"/>
          <w:sz w:val="22"/>
          <w:szCs w:val="22"/>
          <w:rtl/>
        </w:rPr>
        <w:t xml:space="preserve"> تتكرر الدراسة بالإطار نفسه تقريباً، فتظهر التغيرات من دورة إلى أخرى.</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بيانات سياقية:</w:t>
      </w:r>
      <w:r>
        <w:rPr>
          <w:rFonts w:ascii="IBM Plex Sans Arabic" w:cs="IBM Plex Sans Arabic" w:eastAsia="IBM Plex Sans Arabic" w:hAnsi="IBM Plex Sans Arabic"/>
          <w:sz w:val="22"/>
          <w:szCs w:val="22"/>
          <w:rtl/>
        </w:rPr>
        <w:t xml:space="preserve"> تجمع الدراسات استبانات للطلبة والمعلمين والمدارس، فتربط الأداء بظروف التعلم.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مراجعة المنهج:</w:t>
      </w:r>
      <w:r>
        <w:rPr>
          <w:rFonts w:ascii="IBM Plex Sans Arabic" w:cs="IBM Plex Sans Arabic" w:eastAsia="IBM Plex Sans Arabic" w:hAnsi="IBM Plex Sans Arabic"/>
          <w:sz w:val="22"/>
          <w:szCs w:val="22"/>
          <w:rtl/>
        </w:rPr>
        <w:t xml:space="preserve"> المقارنة بين الإطار الدولي والمنهج الوطني تكشف الموضوعات الغائبة أو المتأخرة.</w:t>
      </w:r>
    </w:p>
    <w:p>
      <w:pPr>
        <w:bidi/>
        <w:spacing w:after="120" w:line="300"/>
        <w:jc w:val="right"/>
      </w:pPr>
      <w:r>
        <w:rPr>
          <w:rFonts w:ascii="IBM Plex Sans Arabic" w:cs="IBM Plex Sans Arabic" w:eastAsia="IBM Plex Sans Arabic" w:hAnsi="IBM Plex Sans Arabic"/>
          <w:sz w:val="22"/>
          <w:szCs w:val="22"/>
          <w:rtl/>
        </w:rPr>
        <w:t xml:space="preserve">والحذر واجب من الجهة المقابلة: الدراسة الدولية لا تقيس كل ما يطمح إليه المنهج الوطني، والترتيب بين الدول ليس غاية في ذاته. وسنعود إلى قراءة التقارير وحدودها في الأسبوع 13.</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الإطار: جدول مواصفات على مستوى النظام</w:t>
      </w:r>
    </w:p>
    <w:p>
      <w:pPr>
        <w:bidi/>
        <w:spacing w:after="120" w:line="300"/>
        <w:jc w:val="right"/>
      </w:pPr>
      <w:r>
        <w:rPr>
          <w:rFonts w:ascii="IBM Plex Sans Arabic" w:cs="IBM Plex Sans Arabic" w:eastAsia="IBM Plex Sans Arabic" w:hAnsi="IBM Plex Sans Arabic"/>
          <w:sz w:val="22"/>
          <w:szCs w:val="22"/>
          <w:rtl/>
        </w:rPr>
        <w:t xml:space="preserve">في الأسبوع 6 بنيت جدول مواصفات لاختبار صفي: نواتج في الصفوف، ومستويات معرفية في الأعمدة، وأوزان تحدد عدد الدرجات في كل خلية. </w:t>
      </w:r>
      <w:r>
        <w:rPr>
          <w:rFonts w:ascii="IBM Plex Sans Arabic" w:cs="IBM Plex Sans Arabic" w:eastAsia="IBM Plex Sans Arabic" w:hAnsi="IBM Plex Sans Arabic"/>
          <w:b/>
          <w:bCs/>
          <w:sz w:val="22"/>
          <w:szCs w:val="22"/>
          <w:rtl/>
        </w:rPr>
        <w:t xml:space="preserve">إطار التقييم</w:t>
      </w:r>
      <w:r>
        <w:rPr>
          <w:rFonts w:ascii="IBM Plex Sans Arabic" w:cs="IBM Plex Sans Arabic" w:eastAsia="IBM Plex Sans Arabic" w:hAnsi="IBM Plex Sans Arabic"/>
          <w:sz w:val="22"/>
          <w:szCs w:val="22"/>
          <w:rtl/>
        </w:rPr>
        <w:t xml:space="preserve"> هو الشيء نفسه على مستوى أكبر. يحدد ما الذي يُقاس، وبأي وزن، وبأي مستوى من التفكير، ثم تُكتب الفقرات لتملأ هذا الإطار.</w:t>
      </w:r>
    </w:p>
    <w:p>
      <w:pPr>
        <w:bidi/>
        <w:spacing w:after="120" w:line="300"/>
        <w:jc w:val="right"/>
      </w:pPr>
      <w:r>
        <w:rPr>
          <w:rFonts w:ascii="IBM Plex Sans Arabic" w:cs="IBM Plex Sans Arabic" w:eastAsia="IBM Plex Sans Arabic" w:hAnsi="IBM Plex Sans Arabic"/>
          <w:sz w:val="22"/>
          <w:szCs w:val="22"/>
          <w:rtl/>
        </w:rPr>
        <w:t xml:space="preserve">يتكون إطار تيمس 2023 للعلوم من بُعدين، كما في جدولك: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بُعد المحتوى:</w:t>
      </w:r>
      <w:r>
        <w:rPr>
          <w:rFonts w:ascii="IBM Plex Sans Arabic" w:cs="IBM Plex Sans Arabic" w:eastAsia="IBM Plex Sans Arabic" w:hAnsi="IBM Plex Sans Arabic"/>
          <w:sz w:val="22"/>
          <w:szCs w:val="22"/>
          <w:rtl/>
        </w:rPr>
        <w:t xml:space="preserve"> المجالات العلمية وموضوعاتها، أي ما يعرفه الطالب.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البُعد المعرفي:</w:t>
      </w:r>
      <w:r>
        <w:rPr>
          <w:rFonts w:ascii="IBM Plex Sans Arabic" w:cs="IBM Plex Sans Arabic" w:eastAsia="IBM Plex Sans Arabic" w:hAnsi="IBM Plex Sans Arabic"/>
          <w:sz w:val="22"/>
          <w:szCs w:val="22"/>
          <w:rtl/>
        </w:rPr>
        <w:t xml:space="preserve"> نوع التفكير المطلوب، أي ما يفعله الطالب بما يعرفه.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مجالات المحتوى للصف الثامن</w:t>
      </w:r>
    </w:p>
    <w:p>
      <w:pPr>
        <w:bidi/>
        <w:spacing w:after="120" w:line="300"/>
        <w:jc w:val="right"/>
      </w:pPr>
      <w:r>
        <w:rPr>
          <w:rFonts w:ascii="IBM Plex Sans Arabic" w:cs="IBM Plex Sans Arabic" w:eastAsia="IBM Plex Sans Arabic" w:hAnsi="IBM Plex Sans Arabic"/>
          <w:sz w:val="22"/>
          <w:szCs w:val="22"/>
          <w:rtl/>
        </w:rPr>
        <w:t xml:space="preserve">حدّد إطار تيمس 2023 (موليس وزملاؤه، 2021) لعلوم الصف الثامن أربعة مجالات بأوزان مستهدفة، تضم 18 موضوعاً: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0"/>
        <w:gridCol w:w="1485"/>
        <w:gridCol w:w="1642"/>
        <w:gridCol w:w="5251"/>
      </w:tblGrid>
      <w:tr>
        <w:trPr>
          <w:cantSplit/>
          <w:tblHeader/>
        </w:trPr>
        <w:tc>
          <w:tcPr>
            <w:tcW w:type="dxa" w:w="1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المجال</w:t>
            </w:r>
          </w:p>
        </w:tc>
        <w:tc>
          <w:tcPr>
            <w:tcW w:type="dxa" w:w="14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 المستهدف</w:t>
            </w:r>
          </w:p>
        </w:tc>
        <w:tc>
          <w:tcPr>
            <w:tcW w:type="dxa" w:w="16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الموضوعات</w:t>
            </w:r>
          </w:p>
        </w:tc>
        <w:tc>
          <w:tcPr>
            <w:tcW w:type="dxa" w:w="52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الموضوعات</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الأحياء</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5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خصائص الكائنات الحية وعملياتها الحيوية؛ الخلايا ووظائفها؛ دورات الحياة والتكاثر والوراثة؛ التنوع والتكيّف والانتقاء الطبيعي؛ الأنظمة البيئية؛ صحة الإنسان</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الكيمياء</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5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تركيب المادة؛ خصائص المادة؛ التغيّر الكيميائي</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الفيزياء</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25%</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5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الحالات الفيزيائية للمادة وتغيّراتها؛ تحوّلات الطاقة وانتقالها؛ الضوء والصوت؛ الكهرباء والمغناطيسية؛ الحركة والقوى</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علوم الأرض</w:t>
            </w: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5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بنية الأرض ومعالمها؛ عمليات الأرض ودوراتها وتاريخها؛ موارد الأرض واستخدامها والمحافظة عليها؛ الأرض في المجموعة الشمسية والكون</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أسماء الموضوعات هنا وفي ملف الإكسل مترجمة إلى العربية بتصرف يسير. عند أي استخدام رسمي، ارجع إلى نص الإطار المنشور.</w:t>
      </w:r>
    </w:p>
    <w:p>
      <w:pPr>
        <w:bidi/>
        <w:spacing w:after="120" w:line="300"/>
        <w:jc w:val="right"/>
      </w:pPr>
      <w:r>
        <w:rPr>
          <w:rFonts w:ascii="IBM Plex Sans Arabic" w:cs="IBM Plex Sans Arabic" w:eastAsia="IBM Plex Sans Arabic" w:hAnsi="IBM Plex Sans Arabic"/>
          <w:sz w:val="22"/>
          <w:szCs w:val="22"/>
          <w:rtl/>
        </w:rPr>
        <w:t xml:space="preserve">لاحظ أن الأوزان للمجالات لا للموضوعات. الإطار لا يقول إن كل موضوع داخل الأحياء يأخذ الوزن نفسه، لذلك سنفترض في حساباتنا تساوي الموضوعات داخل المجال، وهذا تبسيط يجب أن نعلنه.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2.2 المجالات المعرفية</w:t>
      </w:r>
    </w:p>
    <w:p>
      <w:pPr>
        <w:bidi/>
        <w:spacing w:after="120" w:line="300"/>
        <w:jc w:val="right"/>
      </w:pPr>
      <w:r>
        <w:rPr>
          <w:rFonts w:ascii="IBM Plex Sans Arabic" w:cs="IBM Plex Sans Arabic" w:eastAsia="IBM Plex Sans Arabic" w:hAnsi="IBM Plex Sans Arabic"/>
          <w:sz w:val="22"/>
          <w:szCs w:val="22"/>
          <w:rtl/>
        </w:rPr>
        <w:t xml:space="preserve">يصنّف الإطار كل فقرة في واحد من ثلاثة مجالات معرفية: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4"/>
        <w:gridCol w:w="5674"/>
        <w:gridCol w:w="1264"/>
        <w:gridCol w:w="1266"/>
      </w:tblGrid>
      <w:tr>
        <w:trPr>
          <w:cantSplit/>
          <w:tblHeader/>
        </w:trPr>
        <w:tc>
          <w:tcPr>
            <w:tcW w:type="dxa" w:w="14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المجال المعرفي</w:t>
            </w:r>
          </w:p>
        </w:tc>
        <w:tc>
          <w:tcPr>
            <w:tcW w:type="dxa" w:w="56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يطلبه من الطالب</w:t>
            </w:r>
          </w:p>
        </w:tc>
        <w:tc>
          <w:tcPr>
            <w:tcW w:type="dxa" w:w="12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الصف الثامن</w:t>
            </w:r>
          </w:p>
        </w:tc>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الصف الرابع</w:t>
            </w:r>
          </w:p>
        </w:tc>
      </w:tr>
      <w:tr>
        <w:trPr>
          <w:cantSplit/>
        </w:trPr>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w:t>
            </w:r>
          </w:p>
        </w:tc>
        <w:tc>
          <w:tcPr>
            <w:tcW w:type="dxa" w:w="5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استدعاء حقائق ومفاهيم وتعرّفها ووصفها وإعطاء أمثلة عليها</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40%</w:t>
            </w:r>
          </w:p>
        </w:tc>
      </w:tr>
      <w:tr>
        <w:trPr>
          <w:cantSplit/>
        </w:trPr>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5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استخدام المعرفة في مواقف مألوفة: المقارنة والتصنيف، واستخدام النماذج، وتفسير المعلومات، والتفسير بمفهوم مدروس</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40%</w:t>
            </w:r>
          </w:p>
        </w:tc>
      </w:tr>
      <w:tr>
        <w:trPr>
          <w:cantSplit/>
        </w:trPr>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5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تحليل مواقف جديدة أو معقدة: صياغة الأسئلة والفرضيات، وتصميم الاستقصاء، وتقويم الأدلة، والاستنتاج، والتعميم، والتبرير</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يرتفع وزن الاستدلال من 20% في الصف الرابع إلى 30% في الصف الثامن، وهذا منطقي مع نمو الطلبة.</w:t>
      </w:r>
    </w:p>
    <w:p>
      <w:pPr>
        <w:bidi/>
        <w:spacing w:after="120" w:line="300"/>
        <w:jc w:val="right"/>
      </w:pPr>
      <w:r>
        <w:rPr>
          <w:rFonts w:ascii="IBM Plex Sans Arabic" w:cs="IBM Plex Sans Arabic" w:eastAsia="IBM Plex Sans Arabic" w:hAnsi="IBM Plex Sans Arabic"/>
          <w:b/>
          <w:bCs/>
          <w:sz w:val="22"/>
          <w:szCs w:val="22"/>
          <w:rtl/>
        </w:rPr>
        <w:t xml:space="preserve">صلة بالأسبوع 6:</w:t>
      </w:r>
      <w:r>
        <w:rPr>
          <w:rFonts w:ascii="IBM Plex Sans Arabic" w:cs="IBM Plex Sans Arabic" w:eastAsia="IBM Plex Sans Arabic" w:hAnsi="IBM Plex Sans Arabic"/>
          <w:sz w:val="22"/>
          <w:szCs w:val="22"/>
          <w:rtl/>
        </w:rPr>
        <w:t xml:space="preserve"> اعتمد معلم المثال المحلول هناك توزيعاً اختاره بنفسه: 35% و40% و25%. هذا التوزيع </w:t>
      </w:r>
      <w:r>
        <w:rPr>
          <w:rFonts w:ascii="IBM Plex Sans Arabic" w:cs="IBM Plex Sans Arabic" w:eastAsia="IBM Plex Sans Arabic" w:hAnsi="IBM Plex Sans Arabic"/>
          <w:b/>
          <w:bCs/>
          <w:sz w:val="22"/>
          <w:szCs w:val="22"/>
          <w:rtl/>
        </w:rPr>
        <w:t xml:space="preserve">ليس</w:t>
      </w:r>
      <w:r>
        <w:rPr>
          <w:rFonts w:ascii="IBM Plex Sans Arabic" w:cs="IBM Plex Sans Arabic" w:eastAsia="IBM Plex Sans Arabic" w:hAnsi="IBM Plex Sans Arabic"/>
          <w:sz w:val="22"/>
          <w:szCs w:val="22"/>
          <w:rtl/>
        </w:rPr>
        <w:t xml:space="preserve"> توزيع تيمس، بل قرار معلم برّره بمنهجه وطلبته. إطار تيمس مرجع للمقارنة، لا قاعدة ملزمة للاختبار الصفي.</w:t>
      </w:r>
    </w:p>
    <w:p>
      <w:pPr>
        <w:bidi/>
        <w:spacing w:after="120" w:line="300"/>
        <w:jc w:val="right"/>
      </w:pPr>
      <w:r>
        <w:rPr>
          <w:rFonts w:ascii="IBM Plex Sans Arabic" w:cs="IBM Plex Sans Arabic" w:eastAsia="IBM Plex Sans Arabic" w:hAnsi="IBM Plex Sans Arabic"/>
          <w:b/>
          <w:bCs/>
          <w:sz w:val="22"/>
          <w:szCs w:val="22"/>
          <w:rtl/>
        </w:rPr>
        <w:t xml:space="preserve">الفرق بين الإطار وجدولك:</w:t>
      </w:r>
      <w:r>
        <w:rPr>
          <w:rFonts w:ascii="IBM Plex Sans Arabic" w:cs="IBM Plex Sans Arabic" w:eastAsia="IBM Plex Sans Arabic" w:hAnsi="IBM Plex Sans Arabic"/>
          <w:sz w:val="22"/>
          <w:szCs w:val="22"/>
          <w:rtl/>
        </w:rPr>
        <w:t xml:space="preserve"> جدولك يبني اختباراً واحداً من 20 أو 30 فقرة. أما الإطار فيبني بنكاً كبيراً من الفقرات يتوزع على كراسات متعددة، ولا يجيب الطالب الواحد إلا عن جزء منها. لذلك تستطيع الدراسة أن تغطي الموضوعات الثمانية عشر بأوزانها دون أن يطول اختبار الطالب.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صيغ الفقرات في الدراسات الدولية</w:t>
      </w:r>
    </w:p>
    <w:p>
      <w:pPr>
        <w:bidi/>
        <w:spacing w:after="120" w:line="300"/>
        <w:jc w:val="right"/>
      </w:pPr>
      <w:r>
        <w:rPr>
          <w:rFonts w:ascii="IBM Plex Sans Arabic" w:cs="IBM Plex Sans Arabic" w:eastAsia="IBM Plex Sans Arabic" w:hAnsi="IBM Plex Sans Arabic"/>
          <w:sz w:val="22"/>
          <w:szCs w:val="22"/>
          <w:rtl/>
        </w:rPr>
        <w:t xml:space="preserve">تستخدم تيمس ثلاث صيغ رئيسة: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الاختيار من متعدد:</w:t>
      </w:r>
      <w:r>
        <w:rPr>
          <w:rFonts w:ascii="IBM Plex Sans Arabic" w:cs="IBM Plex Sans Arabic" w:eastAsia="IBM Plex Sans Arabic" w:hAnsi="IBM Plex Sans Arabic"/>
          <w:sz w:val="22"/>
          <w:szCs w:val="22"/>
          <w:rtl/>
        </w:rPr>
        <w:t xml:space="preserve"> فقرة بأربعة بدائل غالباً. اقتصادية وسريعة التصحيح، وتصلح للمجالات المعرفية الثلاثة إذا كُتبت جيداً.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الإجابة المبنية:</w:t>
      </w:r>
      <w:r>
        <w:rPr>
          <w:rFonts w:ascii="IBM Plex Sans Arabic" w:cs="IBM Plex Sans Arabic" w:eastAsia="IBM Plex Sans Arabic" w:hAnsi="IBM Plex Sans Arabic"/>
          <w:sz w:val="22"/>
          <w:szCs w:val="22"/>
          <w:rtl/>
        </w:rPr>
        <w:t xml:space="preserve"> يكتب فيها الطالب إجابته، من رقم أو جملة إلى تفسير كامل. يرافق كل فقرة منها </w:t>
      </w:r>
      <w:r>
        <w:rPr>
          <w:rFonts w:ascii="IBM Plex Sans Arabic" w:cs="IBM Plex Sans Arabic" w:eastAsia="IBM Plex Sans Arabic" w:hAnsi="IBM Plex Sans Arabic"/>
          <w:b/>
          <w:bCs/>
          <w:sz w:val="22"/>
          <w:szCs w:val="22"/>
          <w:rtl/>
        </w:rPr>
        <w:t xml:space="preserve">دليل تصحيح</w:t>
      </w:r>
      <w:r>
        <w:rPr>
          <w:rFonts w:ascii="IBM Plex Sans Arabic" w:cs="IBM Plex Sans Arabic" w:eastAsia="IBM Plex Sans Arabic" w:hAnsi="IBM Plex Sans Arabic"/>
          <w:sz w:val="22"/>
          <w:szCs w:val="22"/>
          <w:rtl/>
        </w:rPr>
        <w:t xml:space="preserve"> يحدد ما يُقبل وما لا يُقبل، بأمثلة من إجابات حقيقية، ليصحّحها المصححون في الدول كلها بالطريقة نفسها. وتستخدم تيمس في أدلة تصحيحها رموزاً من رقمين: الأول للدرجة والثاني لنوع الإجابة.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الفقرات التفاعلية الرقمية:</w:t>
      </w:r>
      <w:r>
        <w:rPr>
          <w:rFonts w:ascii="IBM Plex Sans Arabic" w:cs="IBM Plex Sans Arabic" w:eastAsia="IBM Plex Sans Arabic" w:hAnsi="IBM Plex Sans Arabic"/>
          <w:sz w:val="22"/>
          <w:szCs w:val="22"/>
          <w:rtl/>
        </w:rPr>
        <w:t xml:space="preserve"> فقرات يتفاعل فيها الطالب مع الشاشة: يسحب ويرتّب، أو يختار من قائمة، أو يغيّر قيمة في محاكاة ويلاحظ أثرها.</w:t>
      </w:r>
    </w:p>
    <w:p>
      <w:pPr>
        <w:bidi/>
        <w:spacing w:after="120" w:line="300"/>
        <w:jc w:val="right"/>
      </w:pPr>
      <w:r>
        <w:rPr>
          <w:rFonts w:ascii="IBM Plex Sans Arabic" w:cs="IBM Plex Sans Arabic" w:eastAsia="IBM Plex Sans Arabic" w:hAnsi="IBM Plex Sans Arabic"/>
          <w:b/>
          <w:bCs/>
          <w:sz w:val="22"/>
          <w:szCs w:val="22"/>
          <w:rtl/>
        </w:rPr>
        <w:t xml:space="preserve">التحول الرقمي:</w:t>
      </w:r>
      <w:r>
        <w:rPr>
          <w:rFonts w:ascii="IBM Plex Sans Arabic" w:cs="IBM Plex Sans Arabic" w:eastAsia="IBM Plex Sans Arabic" w:hAnsi="IBM Plex Sans Arabic"/>
          <w:sz w:val="22"/>
          <w:szCs w:val="22"/>
          <w:rtl/>
        </w:rPr>
        <w:t xml:space="preserve"> أكملت تيمس 2023 انتقالها إلى التقييم الرقمي، وتضمنت </w:t>
      </w:r>
      <w:r>
        <w:rPr>
          <w:rFonts w:ascii="IBM Plex Sans Arabic" w:cs="IBM Plex Sans Arabic" w:eastAsia="IBM Plex Sans Arabic" w:hAnsi="IBM Plex Sans Arabic"/>
          <w:b/>
          <w:bCs/>
          <w:sz w:val="22"/>
          <w:szCs w:val="22"/>
          <w:rtl/>
        </w:rPr>
        <w:t xml:space="preserve">مهام حل المشكلات والاستقصاء</w:t>
      </w:r>
      <w:r>
        <w:rPr>
          <w:rFonts w:ascii="IBM Plex Sans Arabic" w:cs="IBM Plex Sans Arabic" w:eastAsia="IBM Plex Sans Arabic" w:hAnsi="IBM Plex Sans Arabic"/>
          <w:sz w:val="22"/>
          <w:szCs w:val="22"/>
          <w:rtl/>
        </w:rPr>
        <w:t xml:space="preserve">، وهي مهام أطول من الفقرة العادية، مبنية على سيناريو، يمر فيها الطالب بعدة خطوات مترابطة داخل موقف واحد (فون دافييه وزملاؤه، 2024).</w:t>
      </w:r>
    </w:p>
    <w:p>
      <w:pPr>
        <w:bidi/>
        <w:spacing w:after="120" w:line="300"/>
        <w:jc w:val="right"/>
      </w:pPr>
      <w:r>
        <w:rPr>
          <w:rFonts w:ascii="IBM Plex Sans Arabic" w:cs="IBM Plex Sans Arabic" w:eastAsia="IBM Plex Sans Arabic" w:hAnsi="IBM Plex Sans Arabic"/>
          <w:b/>
          <w:bCs/>
          <w:sz w:val="22"/>
          <w:szCs w:val="22"/>
          <w:rtl/>
        </w:rPr>
        <w:t xml:space="preserve">ماذا يعني هذا للمعلم؟</w:t>
      </w:r>
      <w:r>
        <w:rPr>
          <w:rFonts w:ascii="IBM Plex Sans Arabic" w:cs="IBM Plex Sans Arabic" w:eastAsia="IBM Plex Sans Arabic" w:hAnsi="IBM Plex Sans Arabic"/>
          <w:sz w:val="22"/>
          <w:szCs w:val="22"/>
          <w:rtl/>
        </w:rPr>
        <w:t xml:space="preserve"> الصيغة الرقمية ليست قيمة في ذاتها. السحب والإفلات الذي يحل محل اختيار بديل لا يقيس شيئاً جديداً. أما المحاكاة التي يضبط فيها الطالب متغيراً ويثبّت غيره، فتقيس مهارة استقصاء لا تظهر جيداً على الورق. القاعدة: </w:t>
      </w:r>
      <w:r>
        <w:rPr>
          <w:rFonts w:ascii="IBM Plex Sans Arabic" w:cs="IBM Plex Sans Arabic" w:eastAsia="IBM Plex Sans Arabic" w:hAnsi="IBM Plex Sans Arabic"/>
          <w:b/>
          <w:bCs/>
          <w:sz w:val="22"/>
          <w:szCs w:val="22"/>
          <w:rtl/>
        </w:rPr>
        <w:t xml:space="preserve">التفاعل الرقمي يُضاف حين يضيف قيمة قياسية</w:t>
      </w:r>
      <w:r>
        <w:rPr>
          <w:rFonts w:ascii="IBM Plex Sans Arabic" w:cs="IBM Plex Sans Arabic" w:eastAsia="IBM Plex Sans Arabic" w:hAnsi="IBM Plex Sans Arabic"/>
          <w:sz w:val="22"/>
          <w:szCs w:val="22"/>
          <w:rtl/>
        </w:rPr>
        <w:t xml:space="preserve">، لا حين يجمّل الفقرة.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فرصة التعلم ومواءمة المنهج</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ثلاثة مستويات للمنهج</w:t>
      </w:r>
    </w:p>
    <w:p>
      <w:pPr>
        <w:bidi/>
        <w:spacing w:after="120" w:line="300"/>
        <w:jc w:val="right"/>
      </w:pPr>
      <w:r>
        <w:rPr>
          <w:rFonts w:ascii="IBM Plex Sans Arabic" w:cs="IBM Plex Sans Arabic" w:eastAsia="IBM Plex Sans Arabic" w:hAnsi="IBM Plex Sans Arabic"/>
          <w:sz w:val="22"/>
          <w:szCs w:val="22"/>
          <w:rtl/>
        </w:rPr>
        <w:t xml:space="preserve">تقوم تيمس على تمييز معروف بين ثلاثة مستويات للمنهج:</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المنهج المقصود:</w:t>
      </w:r>
      <w:r>
        <w:rPr>
          <w:rFonts w:ascii="IBM Plex Sans Arabic" w:cs="IBM Plex Sans Arabic" w:eastAsia="IBM Plex Sans Arabic" w:hAnsi="IBM Plex Sans Arabic"/>
          <w:sz w:val="22"/>
          <w:szCs w:val="22"/>
          <w:rtl/>
        </w:rPr>
        <w:t xml:space="preserve"> ما تنص عليه الوثائق الرسمية أن يتعلمه الطلبة.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المنهج المطبَّق:</w:t>
      </w:r>
      <w:r>
        <w:rPr>
          <w:rFonts w:ascii="IBM Plex Sans Arabic" w:cs="IBM Plex Sans Arabic" w:eastAsia="IBM Plex Sans Arabic" w:hAnsi="IBM Plex Sans Arabic"/>
          <w:sz w:val="22"/>
          <w:szCs w:val="22"/>
          <w:rtl/>
        </w:rPr>
        <w:t xml:space="preserve"> ما يُدرَّس فعلاً في الصفوف.</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المنهج المتحقَّق:</w:t>
      </w:r>
      <w:r>
        <w:rPr>
          <w:rFonts w:ascii="IBM Plex Sans Arabic" w:cs="IBM Plex Sans Arabic" w:eastAsia="IBM Plex Sans Arabic" w:hAnsi="IBM Plex Sans Arabic"/>
          <w:sz w:val="22"/>
          <w:szCs w:val="22"/>
          <w:rtl/>
        </w:rPr>
        <w:t xml:space="preserve"> ما تعلمه الطلبة فعلاً، كما يظهر في أدائهم.</w:t>
      </w:r>
    </w:p>
    <w:p>
      <w:pPr>
        <w:bidi/>
        <w:spacing w:after="120" w:line="300"/>
        <w:jc w:val="right"/>
      </w:pPr>
      <w:r>
        <w:rPr>
          <w:rFonts w:ascii="IBM Plex Sans Arabic" w:cs="IBM Plex Sans Arabic" w:eastAsia="IBM Plex Sans Arabic" w:hAnsi="IBM Plex Sans Arabic"/>
          <w:sz w:val="22"/>
          <w:szCs w:val="22"/>
          <w:rtl/>
        </w:rPr>
        <w:t xml:space="preserve">الفجوة بين المستويات الثلاثة طبيعية. موضوع قد يكون في الوثيقة ولا يصل إلى الصف لضيق الوقت، وموضوع قد يُدرَّس ولا يُتعلَّم.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فرصة التعلم</w:t>
      </w:r>
    </w:p>
    <w:p>
      <w:pPr>
        <w:bidi/>
        <w:spacing w:after="120" w:line="300"/>
        <w:jc w:val="right"/>
      </w:pPr>
      <w:r>
        <w:rPr>
          <w:rFonts w:ascii="IBM Plex Sans Arabic" w:cs="IBM Plex Sans Arabic" w:eastAsia="IBM Plex Sans Arabic" w:hAnsi="IBM Plex Sans Arabic"/>
          <w:b/>
          <w:bCs/>
          <w:sz w:val="22"/>
          <w:szCs w:val="22"/>
          <w:rtl/>
        </w:rPr>
        <w:t xml:space="preserve">فرصة التعلم</w:t>
      </w:r>
      <w:r>
        <w:rPr>
          <w:rFonts w:ascii="IBM Plex Sans Arabic" w:cs="IBM Plex Sans Arabic" w:eastAsia="IBM Plex Sans Arabic" w:hAnsi="IBM Plex Sans Arabic"/>
          <w:sz w:val="22"/>
          <w:szCs w:val="22"/>
          <w:rtl/>
        </w:rPr>
        <w:t xml:space="preserve"> سؤال بسيط: هل أُتيح للطالب أن يتعلم هذا المحتوى قبل أن يُختبر فيه؟ إن لم يُدرَّس موضوع ما قبل الاختبار، فإن ضعف الأداء فيه لا يدل على ضعف الطلبة ولا على ضعف تعليمهم، بل على غياب الفرصة.</w:t>
      </w:r>
    </w:p>
    <w:p>
      <w:pPr>
        <w:bidi/>
        <w:spacing w:after="120" w:line="300"/>
        <w:jc w:val="right"/>
      </w:pPr>
      <w:r>
        <w:rPr>
          <w:rFonts w:ascii="IBM Plex Sans Arabic" w:cs="IBM Plex Sans Arabic" w:eastAsia="IBM Plex Sans Arabic" w:hAnsi="IBM Plex Sans Arabic"/>
          <w:sz w:val="22"/>
          <w:szCs w:val="22"/>
          <w:rtl/>
        </w:rPr>
        <w:t xml:space="preserve">لذلك تجمع تيمس معلومات عن المنهج في كل دولة مشاركة. تصف </w:t>
      </w:r>
      <w:r>
        <w:rPr>
          <w:rFonts w:ascii="IBM Plex Sans Arabic" w:cs="IBM Plex Sans Arabic" w:eastAsia="IBM Plex Sans Arabic" w:hAnsi="IBM Plex Sans Arabic"/>
          <w:b/>
          <w:bCs/>
          <w:sz w:val="22"/>
          <w:szCs w:val="22"/>
          <w:rtl/>
        </w:rPr>
        <w:t xml:space="preserve">موسوعة تيمس</w:t>
      </w:r>
      <w:r>
        <w:rPr>
          <w:rFonts w:ascii="IBM Plex Sans Arabic" w:cs="IBM Plex Sans Arabic" w:eastAsia="IBM Plex Sans Arabic" w:hAnsi="IBM Plex Sans Arabic"/>
          <w:sz w:val="22"/>
          <w:szCs w:val="22"/>
          <w:rtl/>
        </w:rPr>
        <w:t xml:space="preserve"> النظام التعليمي والمنهج في كل دولة، وتجمع </w:t>
      </w:r>
      <w:r>
        <w:rPr>
          <w:rFonts w:ascii="IBM Plex Sans Arabic" w:cs="IBM Plex Sans Arabic" w:eastAsia="IBM Plex Sans Arabic" w:hAnsi="IBM Plex Sans Arabic"/>
          <w:b/>
          <w:bCs/>
          <w:sz w:val="22"/>
          <w:szCs w:val="22"/>
          <w:rtl/>
        </w:rPr>
        <w:t xml:space="preserve">استبانات المنهج</w:t>
      </w:r>
      <w:r>
        <w:rPr>
          <w:rFonts w:ascii="IBM Plex Sans Arabic" w:cs="IBM Plex Sans Arabic" w:eastAsia="IBM Plex Sans Arabic" w:hAnsi="IBM Plex Sans Arabic"/>
          <w:sz w:val="22"/>
          <w:szCs w:val="22"/>
          <w:rtl/>
        </w:rPr>
        <w:t xml:space="preserve"> معلومات عن الموضوعات المقررة. هذه المعلومات سياق ضروري لقراءة النتائج، لا ملحق يُتجاوز.</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4.3 المواءمة</w:t>
      </w:r>
    </w:p>
    <w:p>
      <w:pPr>
        <w:bidi/>
        <w:spacing w:after="120" w:line="300"/>
        <w:jc w:val="right"/>
      </w:pPr>
      <w:r>
        <w:rPr>
          <w:rFonts w:ascii="IBM Plex Sans Arabic" w:cs="IBM Plex Sans Arabic" w:eastAsia="IBM Plex Sans Arabic" w:hAnsi="IBM Plex Sans Arabic"/>
          <w:b/>
          <w:bCs/>
          <w:sz w:val="22"/>
          <w:szCs w:val="22"/>
          <w:rtl/>
        </w:rPr>
        <w:t xml:space="preserve">المواءمة</w:t>
      </w:r>
      <w:r>
        <w:rPr>
          <w:rFonts w:ascii="IBM Plex Sans Arabic" w:cs="IBM Plex Sans Arabic" w:eastAsia="IBM Plex Sans Arabic" w:hAnsi="IBM Plex Sans Arabic"/>
          <w:sz w:val="22"/>
          <w:szCs w:val="22"/>
          <w:rtl/>
        </w:rPr>
        <w:t xml:space="preserve"> درجة اتفاق ما يُقاس مع ما يُتوقع أن يُتعلَّم. قدّم ويب (1997) معايير لفحص المواءمة بين المعايير والتقييمات، منها أربعة تهمنا: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4"/>
        <w:gridCol w:w="7664"/>
      </w:tblGrid>
      <w:tr>
        <w:trPr>
          <w:cantSplit/>
          <w:tblHeader/>
        </w:trPr>
        <w:tc>
          <w:tcPr>
            <w:tcW w:type="dxa" w:w="19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معيار ويب</w:t>
            </w:r>
          </w:p>
        </w:tc>
        <w:tc>
          <w:tcPr>
            <w:tcW w:type="dxa" w:w="76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يطرحه</w:t>
            </w:r>
          </w:p>
        </w:tc>
      </w:tr>
      <w:tr>
        <w:trPr>
          <w:cantSplit/>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التوافق في الفئات</w:t>
            </w:r>
          </w:p>
        </w:tc>
        <w:tc>
          <w:tcPr>
            <w:tcW w:type="dxa" w:w="7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يغطي التقييم كل مجال في المنهج بعدد كافٍ من الفقرات؟</w:t>
            </w:r>
          </w:p>
        </w:tc>
      </w:tr>
      <w:tr>
        <w:trPr>
          <w:cantSplit/>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اتساق عمق المعرفة</w:t>
            </w:r>
          </w:p>
        </w:tc>
        <w:tc>
          <w:tcPr>
            <w:tcW w:type="dxa" w:w="7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تطلب الفقرات مستوى التفكير نفسه الذي يطلبه المنهج؟</w:t>
            </w:r>
          </w:p>
        </w:tc>
      </w:tr>
      <w:tr>
        <w:trPr>
          <w:cantSplit/>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مدى المعرفة</w:t>
            </w:r>
          </w:p>
        </w:tc>
        <w:tc>
          <w:tcPr>
            <w:tcW w:type="dxa" w:w="7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 من موضوعات المجال يغطيها التقييم فعلاً؟</w:t>
            </w:r>
          </w:p>
        </w:tc>
      </w:tr>
      <w:tr>
        <w:trPr>
          <w:cantSplit/>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توازن التمثيل</w:t>
            </w:r>
          </w:p>
        </w:tc>
        <w:tc>
          <w:tcPr>
            <w:tcW w:type="dxa" w:w="7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تتوزع الفقرات على الموضوعات توزيعاً متوازناً أم تتركز في بعضها؟</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في هذا الأسبوع نطبق السؤال من الاتجاه المعاكس: لا نسأل هل يغطي الاختبار المنهج، بل </w:t>
      </w:r>
      <w:r>
        <w:rPr>
          <w:rFonts w:ascii="IBM Plex Sans Arabic" w:cs="IBM Plex Sans Arabic" w:eastAsia="IBM Plex Sans Arabic" w:hAnsi="IBM Plex Sans Arabic"/>
          <w:b/>
          <w:bCs/>
          <w:sz w:val="22"/>
          <w:szCs w:val="22"/>
          <w:rtl/>
        </w:rPr>
        <w:t xml:space="preserve">هل يغطي المنهج الإطار؟</w:t>
      </w:r>
      <w:r>
        <w:rPr>
          <w:rFonts w:ascii="IBM Plex Sans Arabic" w:cs="IBM Plex Sans Arabic" w:eastAsia="IBM Plex Sans Arabic" w:hAnsi="IBM Plex Sans Arabic"/>
          <w:sz w:val="22"/>
          <w:szCs w:val="22"/>
          <w:rtl/>
        </w:rPr>
        <w:t xml:space="preserve"> وهذا ما تصنعه </w:t>
      </w:r>
      <w:r>
        <w:rPr>
          <w:rFonts w:ascii="IBM Plex Sans Arabic" w:cs="IBM Plex Sans Arabic" w:eastAsia="IBM Plex Sans Arabic" w:hAnsi="IBM Plex Sans Arabic"/>
          <w:b/>
          <w:bCs/>
          <w:sz w:val="22"/>
          <w:szCs w:val="22"/>
          <w:rtl/>
        </w:rPr>
        <w:t xml:space="preserve">مصفوفة المواءمة</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sz w:val="22"/>
          <w:szCs w:val="22"/>
          <w:rtl/>
        </w:rPr>
        <w:t xml:space="preserve">وهذا جزء من أدلة صدق المحتوى التي تتحدث عنها المعايير الدولية للاختبارات التربوية والنفسية (2014): تفسير الدرجة على أنها «مستوى تحصيل العلوم في هذا النظام» يحتاج إلى دليل على أن ما قيس هو ما دُرّس.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مثال محلول: مصفوفة مواءمة لمنهج افتراضي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5.1 البيانات</w:t>
      </w:r>
    </w:p>
    <w:p>
      <w:pPr>
        <w:bidi/>
        <w:spacing w:after="120" w:line="300"/>
        <w:jc w:val="right"/>
      </w:pPr>
      <w:r>
        <w:rPr>
          <w:rFonts w:ascii="IBM Plex Sans Arabic" w:cs="IBM Plex Sans Arabic" w:eastAsia="IBM Plex Sans Arabic" w:hAnsi="IBM Plex Sans Arabic"/>
          <w:sz w:val="22"/>
          <w:szCs w:val="22"/>
          <w:rtl/>
        </w:rPr>
        <w:t xml:space="preserve">في ملف الإكسل «03 أطر الدراسات الدولية والمواءمة - الأسبوع 12»، ورقة «مثال محلول»، منهج </w:t>
      </w:r>
      <w:r>
        <w:rPr>
          <w:rFonts w:ascii="IBM Plex Sans Arabic" w:cs="IBM Plex Sans Arabic" w:eastAsia="IBM Plex Sans Arabic" w:hAnsi="IBM Plex Sans Arabic"/>
          <w:b/>
          <w:bCs/>
          <w:sz w:val="22"/>
          <w:szCs w:val="22"/>
          <w:rtl/>
        </w:rPr>
        <w:t xml:space="preserve">افتراضي</w:t>
      </w:r>
      <w:r>
        <w:rPr>
          <w:rFonts w:ascii="IBM Plex Sans Arabic" w:cs="IBM Plex Sans Arabic" w:eastAsia="IBM Plex Sans Arabic" w:hAnsi="IBM Plex Sans Arabic"/>
          <w:sz w:val="22"/>
          <w:szCs w:val="22"/>
          <w:rtl/>
        </w:rPr>
        <w:t xml:space="preserve"> لا يمثّل منهج أي دولة، وحالة تغطيته مفترضة للتدريب. لكل موضوع من الثمانية عشر حالة من ثلاث بنهاية الصف الثامن: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يُدرّس كاملاً:</w:t>
      </w:r>
      <w:r>
        <w:rPr>
          <w:rFonts w:ascii="IBM Plex Sans Arabic" w:cs="IBM Plex Sans Arabic" w:eastAsia="IBM Plex Sans Arabic" w:hAnsi="IBM Plex Sans Arabic"/>
          <w:sz w:val="22"/>
          <w:szCs w:val="22"/>
          <w:rtl/>
        </w:rPr>
        <w:t xml:space="preserve"> قيمته 1.</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يُدرّس جزئياً:</w:t>
      </w:r>
      <w:r>
        <w:rPr>
          <w:rFonts w:ascii="IBM Plex Sans Arabic" w:cs="IBM Plex Sans Arabic" w:eastAsia="IBM Plex Sans Arabic" w:hAnsi="IBM Plex Sans Arabic"/>
          <w:sz w:val="22"/>
          <w:szCs w:val="22"/>
          <w:rtl/>
        </w:rPr>
        <w:t xml:space="preserve"> قيمته 0.5.</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لا يُدرّس:</w:t>
      </w:r>
      <w:r>
        <w:rPr>
          <w:rFonts w:ascii="IBM Plex Sans Arabic" w:cs="IBM Plex Sans Arabic" w:eastAsia="IBM Plex Sans Arabic" w:hAnsi="IBM Plex Sans Arabic"/>
          <w:sz w:val="22"/>
          <w:szCs w:val="22"/>
          <w:rtl/>
        </w:rPr>
        <w:t xml:space="preserve"> قيمته 0.</w:t>
      </w:r>
    </w:p>
    <w:p>
      <w:pPr>
        <w:bidi/>
        <w:spacing w:after="120" w:line="300"/>
        <w:jc w:val="right"/>
      </w:pPr>
      <w:r>
        <w:rPr>
          <w:rFonts w:ascii="IBM Plex Sans Arabic" w:cs="IBM Plex Sans Arabic" w:eastAsia="IBM Plex Sans Arabic" w:hAnsi="IBM Plex Sans Arabic"/>
          <w:sz w:val="22"/>
          <w:szCs w:val="22"/>
          <w:rtl/>
        </w:rPr>
        <w:t xml:space="preserve">في المنهج الافتراضي يُدرَّس 12 موضوعاً كاملاً، وأربعة جزئياً، وموضوعان لا يُدرَّسان: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6"/>
        <w:gridCol w:w="7882"/>
      </w:tblGrid>
      <w:tr>
        <w:trPr>
          <w:cantSplit/>
          <w:tblHeader/>
        </w:trPr>
        <w:tc>
          <w:tcPr>
            <w:tcW w:type="dxa" w:w="17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الحالة</w:t>
            </w:r>
          </w:p>
        </w:tc>
        <w:tc>
          <w:tcPr>
            <w:tcW w:type="dxa" w:w="78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الموضوعات</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يُدرّس</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الكهرباء والمغناطيسية (الفيزياء)؛ عمليات الأرض ودوراتها وتاريخها (علوم الأرض)</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يُدرّس جزئياً</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دورات الحياة والتكاثر والوراثة؛ التنوع والتكيّف والانتقاء الطبيعي (الأحياء)؛ تحوّلات الطاقة وانتقالها (الفيزياء)؛ موارد الأرض واستخدامها والمحافظة عليها (علوم الأرض)</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يُدرّس كاملاً</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الموضوعات الاثنا عشر الباقية، ومنها الموضوعات الثلاثة في الكيمياء كلها</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5.2 التغطية لكل مجال</w:t>
      </w:r>
    </w:p>
    <w:p>
      <w:pPr>
        <w:bidi/>
        <w:spacing w:after="120" w:line="300"/>
        <w:jc w:val="right"/>
      </w:pPr>
      <w:r>
        <w:rPr>
          <w:rFonts w:ascii="IBM Plex Sans Arabic" w:cs="IBM Plex Sans Arabic" w:eastAsia="IBM Plex Sans Arabic" w:hAnsi="IBM Plex Sans Arabic"/>
          <w:sz w:val="22"/>
          <w:szCs w:val="22"/>
          <w:rtl/>
        </w:rPr>
        <w:t xml:space="preserve">نسبة التغطية في المجال هي مجموع قيم موضوعاته مقسوماً على عددها:</w:t>
      </w:r>
    </w:p>
    <w:p>
      <w:pPr>
        <w:shd w:fill="F2F6FA" w:color="auto" w:val="clear"/>
        <w:bidi w:val="false"/>
        <w:spacing w:after="160" w:before="80"/>
        <w:jc w:val="center"/>
      </w:pPr>
      <w:r>
        <w:rPr>
          <w:rFonts w:ascii="Cambria Math" w:cs="IBM Plex Sans Arabic" w:hAnsi="Cambria Math"/>
          <w:i w:val="false"/>
          <w:iCs w:val="false"/>
          <w:sz w:val="24"/>
          <w:szCs w:val="24"/>
        </w:rPr>
        <w:t xml:space="preserve">Domain coverage = Σ (topic value) / (number of topics in domain)</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5114"/>
        <w:gridCol w:w="2322"/>
      </w:tblGrid>
      <w:tr>
        <w:trPr>
          <w:cantSplit/>
          <w:tblHeader/>
        </w:trPr>
        <w:tc>
          <w:tcPr>
            <w:tcW w:type="dxa" w:w="22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المجال</w:t>
            </w:r>
          </w:p>
        </w:tc>
        <w:tc>
          <w:tcPr>
            <w:tcW w:type="dxa" w:w="51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الحساب</w:t>
            </w:r>
          </w:p>
        </w:tc>
        <w:tc>
          <w:tcPr>
            <w:tcW w:type="dxa" w:w="23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التغطية</w:t>
            </w:r>
          </w:p>
        </w:tc>
      </w:tr>
      <w:tr>
        <w:trPr>
          <w:cantSplit/>
        </w:trPr>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الأحياء</w:t>
            </w:r>
          </w:p>
        </w:tc>
        <w:tc>
          <w:tcPr>
            <w:tcW w:type="dxa" w:w="5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 × 1 + 2 × 0.5) ÷ 6 = 5 ÷ 6</w:t>
            </w:r>
          </w:p>
        </w:tc>
        <w:tc>
          <w:tcPr>
            <w:tcW w:type="dxa" w:w="2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83%</w:t>
            </w:r>
          </w:p>
        </w:tc>
      </w:tr>
      <w:tr>
        <w:trPr>
          <w:cantSplit/>
        </w:trPr>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الكيمياء</w:t>
            </w:r>
          </w:p>
        </w:tc>
        <w:tc>
          <w:tcPr>
            <w:tcW w:type="dxa" w:w="5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 × 1) ÷ 3</w:t>
            </w:r>
          </w:p>
        </w:tc>
        <w:tc>
          <w:tcPr>
            <w:tcW w:type="dxa" w:w="2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100%</w:t>
            </w:r>
          </w:p>
        </w:tc>
      </w:tr>
      <w:tr>
        <w:trPr>
          <w:cantSplit/>
        </w:trPr>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الفيزياء</w:t>
            </w:r>
          </w:p>
        </w:tc>
        <w:tc>
          <w:tcPr>
            <w:tcW w:type="dxa" w:w="5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 × 1 + 1 × 0.5 + 1 × 0) ÷ 5 = 3.5 ÷ 5</w:t>
            </w:r>
          </w:p>
        </w:tc>
        <w:tc>
          <w:tcPr>
            <w:tcW w:type="dxa" w:w="2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70%</w:t>
            </w:r>
          </w:p>
        </w:tc>
      </w:tr>
      <w:tr>
        <w:trPr>
          <w:cantSplit/>
        </w:trPr>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علوم الأرض</w:t>
            </w:r>
          </w:p>
        </w:tc>
        <w:tc>
          <w:tcPr>
            <w:tcW w:type="dxa" w:w="5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 × 1 + 1 × 0.5 + 1 × 0) ÷ 4 = 2.5 ÷ 4</w:t>
            </w:r>
          </w:p>
        </w:tc>
        <w:tc>
          <w:tcPr>
            <w:tcW w:type="dxa" w:w="2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63% (بدقة 62.5%)</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5.3 التغطية الموزونة وغير الموزونة</w:t>
      </w:r>
    </w:p>
    <w:p>
      <w:pPr>
        <w:bidi/>
        <w:spacing w:after="120" w:line="300"/>
        <w:jc w:val="right"/>
      </w:pPr>
      <w:r>
        <w:rPr>
          <w:rFonts w:ascii="IBM Plex Sans Arabic" w:cs="IBM Plex Sans Arabic" w:eastAsia="IBM Plex Sans Arabic" w:hAnsi="IBM Plex Sans Arabic"/>
          <w:b/>
          <w:bCs/>
          <w:sz w:val="22"/>
          <w:szCs w:val="22"/>
          <w:rtl/>
        </w:rPr>
        <w:t xml:space="preserve">التغطية الموزونة</w:t>
      </w:r>
      <w:r>
        <w:rPr>
          <w:rFonts w:ascii="IBM Plex Sans Arabic" w:cs="IBM Plex Sans Arabic" w:eastAsia="IBM Plex Sans Arabic" w:hAnsi="IBM Plex Sans Arabic"/>
          <w:sz w:val="22"/>
          <w:szCs w:val="22"/>
          <w:rtl/>
        </w:rPr>
        <w:t xml:space="preserve"> تضرب تغطية كل مجال في وزنه في الإطار ثم تجمع:</w:t>
      </w:r>
    </w:p>
    <w:p>
      <w:pPr>
        <w:shd w:fill="F2F6FA" w:color="auto" w:val="clear"/>
        <w:bidi w:val="false"/>
        <w:spacing w:after="160" w:before="80"/>
        <w:jc w:val="center"/>
      </w:pPr>
      <w:r>
        <w:rPr>
          <w:rFonts w:ascii="Cambria Math" w:cs="IBM Plex Sans Arabic" w:hAnsi="Cambria Math"/>
          <w:i w:val="false"/>
          <w:iCs w:val="false"/>
          <w:sz w:val="24"/>
          <w:szCs w:val="24"/>
        </w:rPr>
        <w:t xml:space="preserve">Weighted coverage = Σ (domain weight × domain coverage)</w:t>
      </w:r>
    </w:p>
    <w:p>
      <w:pPr>
        <w:shd w:fill="F2F6FA" w:color="auto" w:val="clear"/>
        <w:bidi w:val="false"/>
        <w:spacing w:after="160" w:before="80"/>
        <w:jc w:val="center"/>
      </w:pPr>
      <w:r>
        <w:rPr>
          <w:rFonts w:ascii="Cambria Math" w:cs="IBM Plex Sans Arabic" w:hAnsi="Cambria Math"/>
          <w:i w:val="false"/>
          <w:iCs w:val="false"/>
          <w:sz w:val="24"/>
          <w:szCs w:val="24"/>
        </w:rPr>
        <w:t xml:space="preserve">= 0.35 × 0.833 + 0.20 × 1.00 + 0.25 × 0.70 + 0.20 × 0.625 ≈ 0.792</w:t>
      </w:r>
    </w:p>
    <w:p>
      <w:pPr>
        <w:bidi/>
        <w:spacing w:after="120" w:line="300"/>
        <w:jc w:val="right"/>
      </w:pPr>
      <w:r>
        <w:rPr>
          <w:rFonts w:ascii="IBM Plex Sans Arabic" w:cs="IBM Plex Sans Arabic" w:eastAsia="IBM Plex Sans Arabic" w:hAnsi="IBM Plex Sans Arabic"/>
          <w:sz w:val="22"/>
          <w:szCs w:val="22"/>
          <w:rtl/>
        </w:rPr>
        <w:t xml:space="preserve">أي نحو </w:t>
      </w:r>
      <w:r>
        <w:rPr>
          <w:rFonts w:ascii="IBM Plex Sans Arabic" w:cs="IBM Plex Sans Arabic" w:eastAsia="IBM Plex Sans Arabic" w:hAnsi="IBM Plex Sans Arabic"/>
          <w:b/>
          <w:bCs/>
          <w:sz w:val="22"/>
          <w:szCs w:val="22"/>
        </w:rPr>
        <w:t xml:space="preserve">79%</w:t>
      </w:r>
      <w:r>
        <w:rPr>
          <w:rFonts w:ascii="IBM Plex Sans Arabic" w:cs="IBM Plex Sans Arabic" w:eastAsia="IBM Plex Sans Arabic" w:hAnsi="IBM Plex Sans Arabic"/>
          <w:sz w:val="22"/>
          <w:szCs w:val="22"/>
          <w:rtl/>
        </w:rPr>
        <w:t xml:space="preserve">. أما </w:t>
      </w:r>
      <w:r>
        <w:rPr>
          <w:rFonts w:ascii="IBM Plex Sans Arabic" w:cs="IBM Plex Sans Arabic" w:eastAsia="IBM Plex Sans Arabic" w:hAnsi="IBM Plex Sans Arabic"/>
          <w:b/>
          <w:bCs/>
          <w:sz w:val="22"/>
          <w:szCs w:val="22"/>
          <w:rtl/>
        </w:rPr>
        <w:t xml:space="preserve">التغطية غير الموزونة</w:t>
      </w:r>
      <w:r>
        <w:rPr>
          <w:rFonts w:ascii="IBM Plex Sans Arabic" w:cs="IBM Plex Sans Arabic" w:eastAsia="IBM Plex Sans Arabic" w:hAnsi="IBM Plex Sans Arabic"/>
          <w:sz w:val="22"/>
          <w:szCs w:val="22"/>
          <w:rtl/>
        </w:rPr>
        <w:t xml:space="preserve"> فتعامل الموضوعات الثمانية عشر بالوزن نفسه: مجموع القيم 14 من 18، أي نحو </w:t>
      </w:r>
      <w:r>
        <w:rPr>
          <w:rFonts w:ascii="IBM Plex Sans Arabic" w:cs="IBM Plex Sans Arabic" w:eastAsia="IBM Plex Sans Arabic" w:hAnsi="IBM Plex Sans Arabic"/>
          <w:b/>
          <w:bCs/>
          <w:sz w:val="22"/>
          <w:szCs w:val="22"/>
        </w:rPr>
        <w:t xml:space="preserve">78%</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b/>
          <w:bCs/>
          <w:sz w:val="22"/>
          <w:szCs w:val="22"/>
          <w:rtl/>
        </w:rPr>
        <w:t xml:space="preserve">لماذا نحسب الاثنتين؟</w:t>
      </w:r>
      <w:r>
        <w:rPr>
          <w:rFonts w:ascii="IBM Plex Sans Arabic" w:cs="IBM Plex Sans Arabic" w:eastAsia="IBM Plex Sans Arabic" w:hAnsi="IBM Plex Sans Arabic"/>
          <w:sz w:val="22"/>
          <w:szCs w:val="22"/>
          <w:rtl/>
        </w:rPr>
        <w:t xml:space="preserve"> التغطية الموزونة تقرّب نسبة درجات الاختبار التي دُرّس محتواها، لأن المجال الأثقل في الإطار يأخذ حصة أكبر من الفقرات. أما غير الموزونة فتعطي كل مجال حصة بعدد موضوعاته: الأحياء 6 من 18 (نحو 33%)، والكيمياء 3 من 18 (نحو 17%)، والفيزياء 5 من 18 (نحو 28%)، وعلوم الأرض 4 من 18 (نحو 22%). الإطار يعطي الأحياء والكيمياء، وهما الأعلى تغطية هنا، حصة أكبر قليلاً من حصتيهما بعدد الموضوعات، ويعطي الفيزياء وعلوم الأرض، وهما الأضعف، حصة أصغر. لذلك جاءت الموزونة أعلى قليلاً (79% مقابل 78%). ولو كان النقص في الأحياء، أثقل المجالات، لهبطت التغطية الموزونة أكثر من غير الموزونة.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5.4 ماذا نستنتج؟</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نحو خُمس محتوى الاختبار، بأوزان الإطار ومع احتساب الجزئي نصفاً، غير مغطى لطلبة هذا المنهج قبل الاختبار. هذا تقدير تقريبي لا رقم دقيق.</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أضعف المجالات تغطية علوم الأرض (63%) ثم الفيزياء (70%). إن جاء أداء طلبة هذا النظام في هذين المجالين أضعف من غيرهما، فأول تفسير يُفحص هو فرصة التعلم، قبل أي حكم على الطلبة أو المعلمين.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الموضوعان غير المدرَّسين يستحقان سؤالاً تربوياً: هل يُدرَّسان في صف لاحق؟ هل غيابهما قرار مقصود في المنهج أم فجوة؟ المصفوفة لا تجيب، بل تحدد السؤال.</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5.5 حدود هذا الحساب</w:t>
      </w:r>
    </w:p>
    <w:p>
      <w:pPr>
        <w:bidi/>
        <w:spacing w:after="120" w:line="300"/>
        <w:jc w:val="right"/>
      </w:pPr>
      <w:r>
        <w:rPr>
          <w:rFonts w:ascii="IBM Plex Sans Arabic" w:cs="IBM Plex Sans Arabic" w:eastAsia="IBM Plex Sans Arabic" w:hAnsi="IBM Plex Sans Arabic"/>
          <w:sz w:val="22"/>
          <w:szCs w:val="22"/>
          <w:rtl/>
        </w:rPr>
        <w:t xml:space="preserve">صرّح دائماً بهذه التبسيطات حين تعرض مصفوفتك: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«جزئياً» نصف موضوع:</w:t>
      </w:r>
      <w:r>
        <w:rPr>
          <w:rFonts w:ascii="IBM Plex Sans Arabic" w:cs="IBM Plex Sans Arabic" w:eastAsia="IBM Plex Sans Arabic" w:hAnsi="IBM Plex Sans Arabic"/>
          <w:sz w:val="22"/>
          <w:szCs w:val="22"/>
          <w:rtl/>
        </w:rPr>
        <w:t xml:space="preserve"> تبسيط. موضوع يُدرَّس ربعه قد يُحسب بالقيمة نفسها لموضوع يُدرَّس ثلاثة أرباعه.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الموضوعات متساوية داخل المجال:</w:t>
      </w:r>
      <w:r>
        <w:rPr>
          <w:rFonts w:ascii="IBM Plex Sans Arabic" w:cs="IBM Plex Sans Arabic" w:eastAsia="IBM Plex Sans Arabic" w:hAnsi="IBM Plex Sans Arabic"/>
          <w:sz w:val="22"/>
          <w:szCs w:val="22"/>
          <w:rtl/>
        </w:rPr>
        <w:t xml:space="preserve"> الإطار يحدد أوزان المجالات لا الموضوعات.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المقصود لا المطبَّق:</w:t>
      </w:r>
      <w:r>
        <w:rPr>
          <w:rFonts w:ascii="IBM Plex Sans Arabic" w:cs="IBM Plex Sans Arabic" w:eastAsia="IBM Plex Sans Arabic" w:hAnsi="IBM Plex Sans Arabic"/>
          <w:sz w:val="22"/>
          <w:szCs w:val="22"/>
          <w:rtl/>
        </w:rPr>
        <w:t xml:space="preserve"> المصفوفة مبنية على وثيقة المنهج. ما يصل فعلاً إلى الصفوف قد يكون أقل.</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التغطية لا تعني العمق:</w:t>
      </w:r>
      <w:r>
        <w:rPr>
          <w:rFonts w:ascii="IBM Plex Sans Arabic" w:cs="IBM Plex Sans Arabic" w:eastAsia="IBM Plex Sans Arabic" w:hAnsi="IBM Plex Sans Arabic"/>
          <w:sz w:val="22"/>
          <w:szCs w:val="22"/>
          <w:rtl/>
        </w:rPr>
        <w:t xml:space="preserve"> موضوع «يُدرَّس كاملاً» قد يُدرَّس في مستوى المعرفة وحده، بينما يطلب الإطار التطبيق والاستدلال فيه. هذا هو معيار «اتساق عمق المعرفة» عند ويب.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الفقرات المنشورة: نماذج تُحترم حقوقها</w:t>
      </w:r>
    </w:p>
    <w:p>
      <w:pPr>
        <w:bidi/>
        <w:spacing w:after="120" w:line="300"/>
        <w:jc w:val="right"/>
      </w:pPr>
      <w:r>
        <w:rPr>
          <w:rFonts w:ascii="IBM Plex Sans Arabic" w:cs="IBM Plex Sans Arabic" w:eastAsia="IBM Plex Sans Arabic" w:hAnsi="IBM Plex Sans Arabic"/>
          <w:sz w:val="22"/>
          <w:szCs w:val="22"/>
          <w:rtl/>
        </w:rPr>
        <w:t xml:space="preserve">تنشر الدراسات الدولية بعد كل دورة جزءاً من فقراتها مع أدلة تصحيحها. هذه الفقرات المنشورة أفضل نموذج لفهم أسلوب الدراسة: كيف يُبنى السياق، وكيف تُصاغ المهمة، وكيف يميّز دليل التصحيح بين المستويات.</w:t>
      </w:r>
    </w:p>
    <w:p>
      <w:pPr>
        <w:bidi/>
        <w:spacing w:after="120" w:line="300"/>
        <w:jc w:val="right"/>
      </w:pPr>
      <w:r>
        <w:rPr>
          <w:rFonts w:ascii="IBM Plex Sans Arabic" w:cs="IBM Plex Sans Arabic" w:eastAsia="IBM Plex Sans Arabic" w:hAnsi="IBM Plex Sans Arabic"/>
          <w:sz w:val="22"/>
          <w:szCs w:val="22"/>
          <w:rtl/>
        </w:rPr>
        <w:t xml:space="preserve">وللاستخدام قواعد:</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استخدمها نموذجاً للأسلوب، لا مصدراً للنسخ.</w:t>
      </w:r>
      <w:r>
        <w:rPr>
          <w:rFonts w:ascii="IBM Plex Sans Arabic" w:cs="IBM Plex Sans Arabic" w:eastAsia="IBM Plex Sans Arabic" w:hAnsi="IBM Plex Sans Arabic"/>
          <w:sz w:val="22"/>
          <w:szCs w:val="22"/>
          <w:rtl/>
        </w:rPr>
        <w:t xml:space="preserve"> اكتب فقرات جديدة على منوالها.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احترم حقوق النشر.</w:t>
      </w:r>
      <w:r>
        <w:rPr>
          <w:rFonts w:ascii="IBM Plex Sans Arabic" w:cs="IBM Plex Sans Arabic" w:eastAsia="IBM Plex Sans Arabic" w:hAnsi="IBM Plex Sans Arabic"/>
          <w:sz w:val="22"/>
          <w:szCs w:val="22"/>
          <w:rtl/>
        </w:rPr>
        <w:t xml:space="preserve"> الفقرات المنشورة محمية بحقوق الجهة الناشرة. لا تلصقها في كلود أو في أي أداة أخرى، ولا تعيد نشرها، دون إذن يسمح بذلك.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لا تحوّل الصف إلى تدريب على الاختبار.</w:t>
      </w:r>
      <w:r>
        <w:rPr>
          <w:rFonts w:ascii="IBM Plex Sans Arabic" w:cs="IBM Plex Sans Arabic" w:eastAsia="IBM Plex Sans Arabic" w:hAnsi="IBM Plex Sans Arabic"/>
          <w:sz w:val="22"/>
          <w:szCs w:val="22"/>
          <w:rtl/>
        </w:rPr>
        <w:t xml:space="preserve"> تكرار الفقرات المنشورة على الطلبة قد يرفع درجاتهم فيها دون أن يرفع تعلمهم، فتضعف دلالة النتائج. وهذه عاقبة من عواقب الاختبار التي تعدّها المعايير الدولية (2014) أحد مصادر أدلة الصدق.</w:t>
      </w:r>
    </w:p>
    <w:p>
      <w:pPr>
        <w:bidi/>
        <w:spacing w:after="120" w:line="300"/>
        <w:jc w:val="right"/>
      </w:pPr>
      <w:r>
        <w:rPr>
          <w:rFonts w:ascii="IBM Plex Sans Arabic" w:cs="IBM Plex Sans Arabic" w:eastAsia="IBM Plex Sans Arabic" w:hAnsi="IBM Plex Sans Arabic"/>
          <w:sz w:val="22"/>
          <w:szCs w:val="22"/>
          <w:rtl/>
        </w:rPr>
        <w:t xml:space="preserve">الفقرات العشر في ورقة «تصنيف الفقرات» </w:t>
      </w:r>
      <w:r>
        <w:rPr>
          <w:rFonts w:ascii="IBM Plex Sans Arabic" w:cs="IBM Plex Sans Arabic" w:eastAsia="IBM Plex Sans Arabic" w:hAnsi="IBM Plex Sans Arabic"/>
          <w:b/>
          <w:bCs/>
          <w:sz w:val="22"/>
          <w:szCs w:val="22"/>
          <w:rtl/>
        </w:rPr>
        <w:t xml:space="preserve">كُتبت للمساق</w:t>
      </w:r>
      <w:r>
        <w:rPr>
          <w:rFonts w:ascii="IBM Plex Sans Arabic" w:cs="IBM Plex Sans Arabic" w:eastAsia="IBM Plex Sans Arabic" w:hAnsi="IBM Plex Sans Arabic"/>
          <w:sz w:val="22"/>
          <w:szCs w:val="22"/>
          <w:rtl/>
        </w:rPr>
        <w:t xml:space="preserve"> بأسلوب تيمس، وليست فقرات منشورة من الدراسة.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كتابة فقرات بأسلوب تيمس للصف</w:t>
      </w:r>
    </w:p>
    <w:p>
      <w:pPr>
        <w:bidi/>
        <w:spacing w:after="120" w:line="300"/>
        <w:jc w:val="right"/>
      </w:pPr>
      <w:r>
        <w:rPr>
          <w:rFonts w:ascii="IBM Plex Sans Arabic" w:cs="IBM Plex Sans Arabic" w:eastAsia="IBM Plex Sans Arabic" w:hAnsi="IBM Plex Sans Arabic"/>
          <w:sz w:val="22"/>
          <w:szCs w:val="22"/>
          <w:rtl/>
        </w:rPr>
        <w:t xml:space="preserve">أسلوب تيمس قابل للنقل إلى الاختبار الصفي بأربعة مبادئ، تتسق مع قواعد كتابة الفقرات عند هالادينا ورودريغيز (2013):</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سياق حقيقي قصير:</w:t>
      </w:r>
      <w:r>
        <w:rPr>
          <w:rFonts w:ascii="IBM Plex Sans Arabic" w:cs="IBM Plex Sans Arabic" w:eastAsia="IBM Plex Sans Arabic" w:hAnsi="IBM Plex Sans Arabic"/>
          <w:sz w:val="22"/>
          <w:szCs w:val="22"/>
          <w:rtl/>
        </w:rPr>
        <w:t xml:space="preserve"> موقف من حياة الطالب أو من تجربة مدرسية، بقدر ما تحتاجه المهمة. السياق الطويل يختبر القراءة لا العلوم.</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مهمة واحدة واضحة:</w:t>
      </w:r>
      <w:r>
        <w:rPr>
          <w:rFonts w:ascii="IBM Plex Sans Arabic" w:cs="IBM Plex Sans Arabic" w:eastAsia="IBM Plex Sans Arabic" w:hAnsi="IBM Plex Sans Arabic"/>
          <w:sz w:val="22"/>
          <w:szCs w:val="22"/>
          <w:rtl/>
        </w:rPr>
        <w:t xml:space="preserve"> فعل واحد صريح يعرف الطالب منه المطلوب: فسّر، احسب، توقّع وبرّر. وإن تعددت الأجزاء، فليكن كل جزء مهمة مستقلة بدرجة مستقلة.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دليل تصحيح للإجابة المبنية:</w:t>
      </w:r>
      <w:r>
        <w:rPr>
          <w:rFonts w:ascii="IBM Plex Sans Arabic" w:cs="IBM Plex Sans Arabic" w:eastAsia="IBM Plex Sans Arabic" w:hAnsi="IBM Plex Sans Arabic"/>
          <w:sz w:val="22"/>
          <w:szCs w:val="22"/>
          <w:rtl/>
        </w:rPr>
        <w:t xml:space="preserve"> يُكتب مع الفقرة لا بعد قراءة الإجابات، ويحدد ما يُقبل في كل مستوى بأمثلة. هذا ما تعلمناه عن سلالم التقدير في الأسبوع 8.</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تفاعل رقمي عند الحاجة فقط:</w:t>
      </w:r>
      <w:r>
        <w:rPr>
          <w:rFonts w:ascii="IBM Plex Sans Arabic" w:cs="IBM Plex Sans Arabic" w:eastAsia="IBM Plex Sans Arabic" w:hAnsi="IBM Plex Sans Arabic"/>
          <w:sz w:val="22"/>
          <w:szCs w:val="22"/>
          <w:rtl/>
        </w:rPr>
        <w:t xml:space="preserve"> إن كانت الفقرة تقيس ما تريد على الورق، فلا حاجة إلى الشاشة.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مثال: فقرة مبنية الإجابة لموضوع مغطى جزئياً</w:t>
      </w:r>
    </w:p>
    <w:p>
      <w:pPr>
        <w:bidi/>
        <w:spacing w:after="120" w:line="300"/>
        <w:jc w:val="right"/>
      </w:pPr>
      <w:r>
        <w:rPr>
          <w:rFonts w:ascii="IBM Plex Sans Arabic" w:cs="IBM Plex Sans Arabic" w:eastAsia="IBM Plex Sans Arabic" w:hAnsi="IBM Plex Sans Arabic"/>
          <w:sz w:val="22"/>
          <w:szCs w:val="22"/>
          <w:rtl/>
        </w:rPr>
        <w:t xml:space="preserve">في المنهج الافتراضي يُدرَّس موضوع «تحوّلات الطاقة وانتقالها» جزئياً. هذه فقرة كُتبت للمساق لتقيسه في مستوى التطبيق:</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وضعت مريم ملعقة معدنية وملعقة خشبية في كوب شاي ساخن. بعد دقيقتين لمست الطرف العلوي لكل ملعقة، فوجدت طرف الملعقة المعدنية أسخن بوضوح. فسّر لماذا.</w:t>
      </w:r>
    </w:p>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دليل التصحيح:</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6"/>
        <w:gridCol w:w="4335"/>
        <w:gridCol w:w="4337"/>
      </w:tblGrid>
      <w:tr>
        <w:trPr>
          <w:cantSplit/>
          <w:tblHeader/>
        </w:trPr>
        <w:tc>
          <w:tcPr>
            <w:tcW w:type="dxa" w:w="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الدرجة</w:t>
            </w:r>
          </w:p>
        </w:tc>
        <w:tc>
          <w:tcPr>
            <w:tcW w:type="dxa" w:w="43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الوصف</w:t>
            </w:r>
          </w:p>
        </w:tc>
        <w:tc>
          <w:tcPr>
            <w:tcW w:type="dxa" w:w="43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أمثلة على إجابات</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يذكر أن الحرارة تنتقل من الشاي الساخن عبر الملعقة إلى طرفها، وأن المعدن موصل للحرارة أفضل من الخشب</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«المعدن ينقل الحرارة من الشاي إلى أعلى الملعقة بسرعة، والخشب ينقلها ببطء»</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يذكر أن المعدن موصل جيد للحرارة دون أن يصف انتقالها من الشاي إلى الطرف، أو يصف الانتقال دون مقارنة المادتين</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«لأن المعدن موصل للحرارة»</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إجابة خاطئة أو لا تتناول التوصيل</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«لأن المعدن ساخن بطبيعته»، «لأن البرودة تخرج من الخشب»</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الإجابة الخاطئة الثانية تكشف تصوراً بديلاً شائعاً عن البرودة بوصفها شيئاً ينتقل. دليل التصحيح الجيد يحفظ هذه الإجابات، فيعرف المعلم كيف أخطأ طلبته لا أنهم أخطؤوا فقط.</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تصنيف الفقرات: ماذا تطلب الفقرة فعلاً؟</w:t>
      </w:r>
    </w:p>
    <w:p>
      <w:pPr>
        <w:bidi/>
        <w:spacing w:after="120" w:line="300"/>
        <w:jc w:val="right"/>
      </w:pPr>
      <w:r>
        <w:rPr>
          <w:rFonts w:ascii="IBM Plex Sans Arabic" w:cs="IBM Plex Sans Arabic" w:eastAsia="IBM Plex Sans Arabic" w:hAnsi="IBM Plex Sans Arabic"/>
          <w:sz w:val="22"/>
          <w:szCs w:val="22"/>
          <w:rtl/>
        </w:rPr>
        <w:t xml:space="preserve">القاعدة التي تعلمناها في الأسبوعين 3 و6 تنطبق هنا: </w:t>
      </w:r>
      <w:r>
        <w:rPr>
          <w:rFonts w:ascii="IBM Plex Sans Arabic" w:cs="IBM Plex Sans Arabic" w:eastAsia="IBM Plex Sans Arabic" w:hAnsi="IBM Plex Sans Arabic"/>
          <w:b/>
          <w:bCs/>
          <w:sz w:val="22"/>
          <w:szCs w:val="22"/>
          <w:rtl/>
        </w:rPr>
        <w:t xml:space="preserve">نصنّف الفقرة بما تطلبه من طالب الصف الثامن فعلاً، لا بالفعل المكتوب في نصها.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«فسّر» قد تكون </w:t>
      </w:r>
      <w:r>
        <w:rPr>
          <w:rFonts w:ascii="IBM Plex Sans Arabic" w:cs="IBM Plex Sans Arabic" w:eastAsia="IBM Plex Sans Arabic" w:hAnsi="IBM Plex Sans Arabic"/>
          <w:b/>
          <w:bCs/>
          <w:sz w:val="22"/>
          <w:szCs w:val="22"/>
          <w:rtl/>
        </w:rPr>
        <w:t xml:space="preserve">معرفة</w:t>
      </w:r>
      <w:r>
        <w:rPr>
          <w:rFonts w:ascii="IBM Plex Sans Arabic" w:cs="IBM Plex Sans Arabic" w:eastAsia="IBM Plex Sans Arabic" w:hAnsi="IBM Plex Sans Arabic"/>
          <w:sz w:val="22"/>
          <w:szCs w:val="22"/>
          <w:rtl/>
        </w:rPr>
        <w:t xml:space="preserve"> إذا كان التفسير جملة محفوظة من الكتاب.</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وقد تكون </w:t>
      </w:r>
      <w:r>
        <w:rPr>
          <w:rFonts w:ascii="IBM Plex Sans Arabic" w:cs="IBM Plex Sans Arabic" w:eastAsia="IBM Plex Sans Arabic" w:hAnsi="IBM Plex Sans Arabic"/>
          <w:b/>
          <w:bCs/>
          <w:sz w:val="22"/>
          <w:szCs w:val="22"/>
          <w:rtl/>
        </w:rPr>
        <w:t xml:space="preserve">تطبيقاً</w:t>
      </w:r>
      <w:r>
        <w:rPr>
          <w:rFonts w:ascii="IBM Plex Sans Arabic" w:cs="IBM Plex Sans Arabic" w:eastAsia="IBM Plex Sans Arabic" w:hAnsi="IBM Plex Sans Arabic"/>
          <w:sz w:val="22"/>
          <w:szCs w:val="22"/>
          <w:rtl/>
        </w:rPr>
        <w:t xml:space="preserve"> إذا استخدم الطالب مفهوماً مدروساً في موقف مألوف جديد عليه.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وقد تكون </w:t>
      </w:r>
      <w:r>
        <w:rPr>
          <w:rFonts w:ascii="IBM Plex Sans Arabic" w:cs="IBM Plex Sans Arabic" w:eastAsia="IBM Plex Sans Arabic" w:hAnsi="IBM Plex Sans Arabic"/>
          <w:b/>
          <w:bCs/>
          <w:sz w:val="22"/>
          <w:szCs w:val="22"/>
          <w:rtl/>
        </w:rPr>
        <w:t xml:space="preserve">استدلالاً</w:t>
      </w:r>
      <w:r>
        <w:rPr>
          <w:rFonts w:ascii="IBM Plex Sans Arabic" w:cs="IBM Plex Sans Arabic" w:eastAsia="IBM Plex Sans Arabic" w:hAnsi="IBM Plex Sans Arabic"/>
          <w:sz w:val="22"/>
          <w:szCs w:val="22"/>
          <w:rtl/>
        </w:rPr>
        <w:t xml:space="preserve"> إذا حلّل موقفاً جديداً معقداً، أو صمّم استقصاء، أو حكم على استنتاج وبرّره.</w:t>
      </w:r>
    </w:p>
    <w:p>
      <w:pPr>
        <w:bidi/>
        <w:spacing w:after="120" w:line="300"/>
        <w:jc w:val="right"/>
      </w:pPr>
      <w:r>
        <w:rPr>
          <w:rFonts w:ascii="IBM Plex Sans Arabic" w:cs="IBM Plex Sans Arabic" w:eastAsia="IBM Plex Sans Arabic" w:hAnsi="IBM Plex Sans Arabic"/>
          <w:sz w:val="22"/>
          <w:szCs w:val="22"/>
          <w:rtl/>
        </w:rPr>
        <w:t xml:space="preserve">لذلك قد يختلف مصنّفان في الفقرة نفسها، وكلاهما محق، إذا اختلف افتراضهما عمّا دُرّس. والحل أن يكتب المصنّف افتراضه صراحة: «أصنّفها تطبيقاً لأن المثال لم يُحل في الكتاب».</w:t>
      </w:r>
    </w:p>
    <w:p>
      <w:pPr>
        <w:bidi/>
        <w:spacing w:after="120" w:line="300"/>
        <w:jc w:val="right"/>
      </w:pPr>
      <w:r>
        <w:rPr>
          <w:rFonts w:ascii="IBM Plex Sans Arabic" w:cs="IBM Plex Sans Arabic" w:eastAsia="IBM Plex Sans Arabic" w:hAnsi="IBM Plex Sans Arabic"/>
          <w:b/>
          <w:bCs/>
          <w:sz w:val="22"/>
          <w:szCs w:val="22"/>
          <w:rtl/>
        </w:rPr>
        <w:t xml:space="preserve">البنوك الصغيرة تنجرف نحو الاستدلال.</w:t>
      </w:r>
      <w:r>
        <w:rPr>
          <w:rFonts w:ascii="IBM Plex Sans Arabic" w:cs="IBM Plex Sans Arabic" w:eastAsia="IBM Plex Sans Arabic" w:hAnsi="IBM Plex Sans Arabic"/>
          <w:sz w:val="22"/>
          <w:szCs w:val="22"/>
          <w:rtl/>
        </w:rPr>
        <w:t xml:space="preserve"> حين يكتب معلم أو فريق صغير بضع فقرات «بأسلوب تيمس»، يميل إلى الفقرات الممتعة: سيناريو وتجربة وتبرير. والنتيجة غالباً بنك يزيد فيه الاستدلال على وزنه في الإطار وتقل فيه المعرفة. وفي بنك من عشر فقرات، كل فقرة تساوي 10% من التوزيع، فتكفي فقرة واحدة لتحريك النسبة بعشر نقاط. ستختبر ذلك بنفسك في المشغل حين تقارن توزيع تصنيفك بأوزان الإطار. وهذه ملاحظة عملية لا قاعدة بحثية؛ تحقق منها في كل بنك تبنيه.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المواءمة والتصنيف والكتابة بمساعدة كلود</w:t>
      </w:r>
    </w:p>
    <w:p>
      <w:pPr>
        <w:bidi/>
        <w:spacing w:after="120" w:line="300"/>
        <w:jc w:val="right"/>
      </w:pPr>
      <w:r>
        <w:rPr>
          <w:rFonts w:ascii="IBM Plex Sans Arabic" w:cs="IBM Plex Sans Arabic" w:eastAsia="IBM Plex Sans Arabic" w:hAnsi="IBM Plex Sans Arabic"/>
          <w:sz w:val="22"/>
          <w:szCs w:val="22"/>
          <w:rtl/>
        </w:rPr>
        <w:t xml:space="preserve">مستوى الاستخدام هذا الأسبوع 2: تعاون موثّق. كلود يساعد في ثلاث مهام، ولكل منها ما يجب أن تتحقق منه.</w:t>
      </w:r>
    </w:p>
    <w:p>
      <w:pPr>
        <w:bidi/>
        <w:spacing w:after="120" w:line="300"/>
        <w:jc w:val="right"/>
      </w:pPr>
      <w:r>
        <w:rPr>
          <w:rFonts w:ascii="IBM Plex Sans Arabic" w:cs="IBM Plex Sans Arabic" w:eastAsia="IBM Plex Sans Arabic" w:hAnsi="IBM Plex Sans Arabic"/>
          <w:b/>
          <w:bCs/>
          <w:sz w:val="22"/>
          <w:szCs w:val="22"/>
          <w:rtl/>
        </w:rPr>
        <w:t xml:space="preserve">1. مواءمة وثيقة المنهج مع موضوعات الإطار.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ما يحسن فعله:</w:t>
      </w:r>
      <w:r>
        <w:rPr>
          <w:rFonts w:ascii="IBM Plex Sans Arabic" w:cs="IBM Plex Sans Arabic" w:eastAsia="IBM Plex Sans Arabic" w:hAnsi="IBM Plex Sans Arabic"/>
          <w:sz w:val="22"/>
          <w:szCs w:val="22"/>
          <w:rtl/>
        </w:rPr>
        <w:t xml:space="preserve"> قراءة عناوين الوحدات والنواتج، واقتراح أقرب موضوع في الإطار لكل منها، والتنبيه إلى صياغات مختلفة لمعنى واحد.</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ما تتحقق منه:</w:t>
      </w:r>
      <w:r>
        <w:rPr>
          <w:rFonts w:ascii="IBM Plex Sans Arabic" w:cs="IBM Plex Sans Arabic" w:eastAsia="IBM Plex Sans Arabic" w:hAnsi="IBM Plex Sans Arabic"/>
          <w:sz w:val="22"/>
          <w:szCs w:val="22"/>
          <w:rtl/>
        </w:rPr>
        <w:t xml:space="preserve"> قد يطابق بالكلمات لا بالمعنى. وحدة عنوانها «الطاقة» لا تعني أن «تحوّلات الطاقة وانتقالها» مغطى كاملاً. ارجع إلى </w:t>
      </w:r>
      <w:r>
        <w:rPr>
          <w:rFonts w:ascii="IBM Plex Sans Arabic" w:cs="IBM Plex Sans Arabic" w:eastAsia="IBM Plex Sans Arabic" w:hAnsi="IBM Plex Sans Arabic"/>
          <w:b/>
          <w:bCs/>
          <w:sz w:val="22"/>
          <w:szCs w:val="22"/>
          <w:rtl/>
        </w:rPr>
        <w:t xml:space="preserve">الوثيقة الرسمية للمنهج</w:t>
      </w:r>
      <w:r>
        <w:rPr>
          <w:rFonts w:ascii="IBM Plex Sans Arabic" w:cs="IBM Plex Sans Arabic" w:eastAsia="IBM Plex Sans Arabic" w:hAnsi="IBM Plex Sans Arabic"/>
          <w:sz w:val="22"/>
          <w:szCs w:val="22"/>
          <w:rtl/>
        </w:rPr>
        <w:t xml:space="preserve">، لا إلى ذاكرة كلود عنها ولا إلى ذاكرتك. حالة التغطية قرارك أنت، ودليلها سطر من الوثيقة.</w:t>
      </w:r>
    </w:p>
    <w:p>
      <w:pPr>
        <w:bidi/>
        <w:spacing w:after="120" w:line="300"/>
        <w:jc w:val="right"/>
      </w:pPr>
      <w:r>
        <w:rPr>
          <w:rFonts w:ascii="IBM Plex Sans Arabic" w:cs="IBM Plex Sans Arabic" w:eastAsia="IBM Plex Sans Arabic" w:hAnsi="IBM Plex Sans Arabic"/>
          <w:b/>
          <w:bCs/>
          <w:sz w:val="22"/>
          <w:szCs w:val="22"/>
          <w:rtl/>
        </w:rPr>
        <w:t xml:space="preserve">2. تصنيف الفقرات.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ما يحسن فعله:</w:t>
      </w:r>
      <w:r>
        <w:rPr>
          <w:rFonts w:ascii="IBM Plex Sans Arabic" w:cs="IBM Plex Sans Arabic" w:eastAsia="IBM Plex Sans Arabic" w:hAnsi="IBM Plex Sans Arabic"/>
          <w:sz w:val="22"/>
          <w:szCs w:val="22"/>
          <w:rtl/>
        </w:rPr>
        <w:t xml:space="preserve"> تصنيف سريع مع مبرر لكل فقرة، واقتراح المجالين المحتملين للفقرات الحدّية.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ما تتحقق منه:</w:t>
      </w:r>
      <w:r>
        <w:rPr>
          <w:rFonts w:ascii="IBM Plex Sans Arabic" w:cs="IBM Plex Sans Arabic" w:eastAsia="IBM Plex Sans Arabic" w:hAnsi="IBM Plex Sans Arabic"/>
          <w:sz w:val="22"/>
          <w:szCs w:val="22"/>
          <w:rtl/>
        </w:rPr>
        <w:t xml:space="preserve"> قد يميل كلود إلى رفع التصنيف نحو الاستدلال، خاصة مع الفقرات التي فيها «فسّر» أو سياق طويل. صنّف بنفسك أولاً، ثم قارن، واسأله في كل خلاف: ما الذي يفعله الطالب هنا ولم يفعله في الدرس؟</w:t>
      </w:r>
    </w:p>
    <w:p>
      <w:pPr>
        <w:bidi/>
        <w:spacing w:after="120" w:line="300"/>
        <w:jc w:val="right"/>
      </w:pPr>
      <w:r>
        <w:rPr>
          <w:rFonts w:ascii="IBM Plex Sans Arabic" w:cs="IBM Plex Sans Arabic" w:eastAsia="IBM Plex Sans Arabic" w:hAnsi="IBM Plex Sans Arabic"/>
          <w:b/>
          <w:bCs/>
          <w:sz w:val="22"/>
          <w:szCs w:val="22"/>
          <w:rtl/>
        </w:rPr>
        <w:t xml:space="preserve">3. صياغة فقرات بأسلوب تيمس.</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ما يحسن فعله:</w:t>
      </w:r>
      <w:r>
        <w:rPr>
          <w:rFonts w:ascii="IBM Plex Sans Arabic" w:cs="IBM Plex Sans Arabic" w:eastAsia="IBM Plex Sans Arabic" w:hAnsi="IBM Plex Sans Arabic"/>
          <w:sz w:val="22"/>
          <w:szCs w:val="22"/>
          <w:rtl/>
        </w:rPr>
        <w:t xml:space="preserve"> مسودة سياق ومهمة ودليل تصحيح في دقائق، وبدائل متعددة للصياغة.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ما تتحقق منه:</w:t>
      </w:r>
      <w:r>
        <w:rPr>
          <w:rFonts w:ascii="IBM Plex Sans Arabic" w:cs="IBM Plex Sans Arabic" w:eastAsia="IBM Plex Sans Arabic" w:hAnsi="IBM Plex Sans Arabic"/>
          <w:sz w:val="22"/>
          <w:szCs w:val="22"/>
          <w:rtl/>
        </w:rPr>
        <w:t xml:space="preserve"> الدقة العلمية أولاً؛ أنت خبير المحتوى. ثم ملاءمة الفقرة للصف الثامن في لغتها ومحتواها. ثم أن يقيس دليل التصحيح الفهم لا الطول.</w:t>
      </w:r>
    </w:p>
    <w:p>
      <w:pPr>
        <w:bidi/>
        <w:spacing w:after="120" w:line="300"/>
        <w:jc w:val="right"/>
      </w:pPr>
      <w:r>
        <w:rPr>
          <w:rFonts w:ascii="IBM Plex Sans Arabic" w:cs="IBM Plex Sans Arabic" w:eastAsia="IBM Plex Sans Arabic" w:hAnsi="IBM Plex Sans Arabic"/>
          <w:b/>
          <w:bCs/>
          <w:sz w:val="22"/>
          <w:szCs w:val="22"/>
          <w:rtl/>
        </w:rPr>
        <w:t xml:space="preserve">قاعدتان لا استثناء فيهما: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لا ادعاء لصفة رسمية.</w:t>
      </w:r>
      <w:r>
        <w:rPr>
          <w:rFonts w:ascii="IBM Plex Sans Arabic" w:cs="IBM Plex Sans Arabic" w:eastAsia="IBM Plex Sans Arabic" w:hAnsi="IBM Plex Sans Arabic"/>
          <w:sz w:val="22"/>
          <w:szCs w:val="22"/>
          <w:rtl/>
        </w:rPr>
        <w:t xml:space="preserve"> الفقرة التي تكتبها أنت أو كلود «فقرة بأسلوب تيمس»، وليست «فقرة من تيمس». ولا تُنسب مصفوفتك إلى الدراسة ولا إلى الوزارة.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لا فقرات منشورة في كلود دون إذن.</w:t>
      </w:r>
      <w:r>
        <w:rPr>
          <w:rFonts w:ascii="IBM Plex Sans Arabic" w:cs="IBM Plex Sans Arabic" w:eastAsia="IBM Plex Sans Arabic" w:hAnsi="IBM Plex Sans Arabic"/>
          <w:sz w:val="22"/>
          <w:szCs w:val="22"/>
          <w:rtl/>
        </w:rPr>
        <w:t xml:space="preserve"> إن أردت تحليل أسلوب فقرة منشورة، صِف خصائصها بكلماتك.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لماذا يصح أن نسأل «هل دُرّس هذا الموضوع؟» عن فقرات تيمس أكثر مما يصح عن فقرات بيزا؟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منهج يغطي الأحياء بنسبة 50% وبقية المجالات كاملة. احسب التغطية الموزونة وغير الموزونة، وفسّر الفرق بينهما.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جاء أداء نظام تعليمي في علوم الأرض أضعف من بقية المجالات. اكتب ثلاثة تفسيرات محتملة، وحدد البيانات التي تحتاجها للتمييز بينها.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زميلك يريد أن يجمع الفقرات المنشورة من تيمس ويلصقها في كلود ليولّد منها اختباراً لطلبته. ما ملاحظاتك؟</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أعطاك كلود تصنيفاً لعشر فقرات، سبع منها «استدلال». ما الخطوات التي تتخذها قبل اعتماد التصنيف؟</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متى تكون الفقرة التفاعلية الرقمية أفضل من فقرة ورقية تقيس الناتج نفسه؟ أعطِ مثالاً من مادتك.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Mullis, I. V. S., Martin, M. O., &amp; von Davier, M. (Eds.) (2021). TIMSS 2023 Assessment Frameworks. TIMSS &amp; PIRLS International Study Center, Boston College.</w:t>
      </w:r>
    </w:p>
    <w:p>
      <w:pPr>
        <w:bidi/>
        <w:spacing w:after="120" w:line="300"/>
        <w:jc w:val="right"/>
      </w:pPr>
      <w:r>
        <w:rPr>
          <w:rFonts w:ascii="IBM Plex Sans Arabic" w:cs="IBM Plex Sans Arabic" w:eastAsia="IBM Plex Sans Arabic" w:hAnsi="IBM Plex Sans Arabic"/>
          <w:sz w:val="22"/>
          <w:szCs w:val="22"/>
          <w:rtl/>
        </w:rPr>
        <w:t xml:space="preserve">الفصل الخاص بإطار العلوم: مجالات المحتوى وموضوعاتها، والمجالات المعرفية وأوزانها.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von Davier, M., Kennedy, A., Reynolds, K., Fishbein, B., Khorramdel, L., Aldrich, C., Bookbinder, A., Bezirhan, U., &amp; Yin, L. (2024). TIMSS 2023 International Results in Mathematics and Science. IEA / TIMSS &amp; PIRLS International Study Center, Boston College.</w:t>
      </w:r>
    </w:p>
    <w:p>
      <w:pPr>
        <w:bidi w:val="false"/>
        <w:spacing w:after="120" w:line="300"/>
        <w:jc w:val="left"/>
      </w:pPr>
      <w:r>
        <w:rPr>
          <w:rFonts w:ascii="IBM Plex Sans Arabic" w:cs="IBM Plex Sans Arabic" w:eastAsia="IBM Plex Sans Arabic" w:hAnsi="IBM Plex Sans Arabic"/>
          <w:sz w:val="22"/>
          <w:szCs w:val="22"/>
        </w:rPr>
        <w:t xml:space="preserve">Webb, N. L. (1997). Criteria for alignment of expectations and assessments in mathematics and science education (Research Monograph No. 6). National Institute for Science Education.</w:t>
      </w:r>
    </w:p>
    <w:p>
      <w:pPr>
        <w:bidi w:val="false"/>
        <w:spacing w:after="120" w:line="300"/>
        <w:jc w:val="left"/>
      </w:pPr>
      <w:r>
        <w:rPr>
          <w:rFonts w:ascii="IBM Plex Sans Arabic" w:cs="IBM Plex Sans Arabic" w:eastAsia="IBM Plex Sans Arabic" w:hAnsi="IBM Plex Sans Arabic"/>
          <w:sz w:val="22"/>
          <w:szCs w:val="22"/>
        </w:rPr>
        <w:t xml:space="preserve">Haladyna, T. M., &amp; Rodriguez, M. C. (2013). Developing and Validating Test Items. Routledge.</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bidi/>
        <w:spacing w:after="120" w:line="300"/>
        <w:jc w:val="right"/>
      </w:pPr>
      <w:r>
        <w:rPr>
          <w:rFonts w:ascii="IBM Plex Sans Arabic" w:cs="IBM Plex Sans Arabic" w:eastAsia="IBM Plex Sans Arabic" w:hAnsi="IBM Plex Sans Arabic"/>
          <w:sz w:val="22"/>
          <w:szCs w:val="22"/>
          <w:rtl/>
        </w:rPr>
        <w:t xml:space="preserve">اقرأ ما يتعلق بالملكية الفكرية والتحقق من المحتوى المولّد، واربطه بالقسمين 6 و9.</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3"/>
        <w:gridCol w:w="6125"/>
      </w:tblGrid>
      <w:tr>
        <w:trPr>
          <w:cantSplit/>
          <w:tblHeader/>
        </w:trPr>
        <w:tc>
          <w:tcPr>
            <w:tcW w:type="dxa" w:w="3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61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الدراسات الدولية الكبرى</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Large-scale international assessments</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تيمس</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TIMSS (Trends in International Mathematics and Science Study)</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بيزا</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PISA (Programme for International Student Assessment)</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بيرلز</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PIRLS (Progress in International Reading Literacy Study)</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إطار التقييم</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Assessment framework</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مجال المحتوى</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Content domain</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المجال المعرفي</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Cognitive domain</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 تطبيق، استدلال</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Knowing, Applying, Reasoning</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المبنية</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Constructed response</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دليل التصحيح</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Scoring guide</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التفاعلية الرقمية</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Digital interactive item</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مهام حل المشكلات والاستقصاء</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Problem Solving and Inquiry Tasks (PSIs)</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فرصة التعلم</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Opportunity to learn (OTL)</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المنهج المقصود والمطبَّق والمتحقَّق</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Intended, implemented and attained curriculum</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مواءمة المنهج</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Curriculum alignment</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مصفوفة المواءمة</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Alignment matrix</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التغطية الموزونة</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Weighted coverage</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الفقرات المنشورة</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Released items</w:t>
            </w:r>
          </w:p>
        </w:tc>
      </w:tr>
      <w:tr>
        <w:trPr>
          <w:cantSplit/>
        </w:trPr>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موسوعة تيمس</w:t>
            </w:r>
          </w:p>
        </w:tc>
        <w:tc>
          <w:tcPr>
            <w:tcW w:type="dxa" w:w="6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TIMSS Encyclopedia</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12: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12: المحتوى العلمي</dc:title>
  <dc:creator>عماد عادل فريج</dc:creator>
  <cp:lastModifiedBy>Un-named</cp:lastModifiedBy>
  <cp:revision>1</cp:revision>
  <dcterms:created xsi:type="dcterms:W3CDTF">2026-10-07T19:24:56.164Z</dcterms:created>
  <dcterms:modified xsi:type="dcterms:W3CDTF">2026-10-07T19:24:56.164Z</dcterms:modified>
</cp:coreProperties>
</file>

<file path=docProps/custom.xml><?xml version="1.0" encoding="utf-8"?>
<Properties xmlns="http://schemas.openxmlformats.org/officeDocument/2006/custom-properties" xmlns:vt="http://schemas.openxmlformats.org/officeDocument/2006/docPropsVTypes"/>
</file>