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2 — Diagnostic, Formative and Summative Assessment, and Assessment for Learning</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Course: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diagnostic, formative and summative assessment in terms of purpose, timing and who uses the result, and apply this to a single teaching unit.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Differentiate between assessment for learning, assessment of learning and assessment as learning, and locate each assessment activity among them.</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Present the conclusions of Black and Wiliam's review (1998) accurately, without exaggerating figures.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Apply Wiliam's five strategies of formative assessment, with a specific classroom technique for each.</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a diagnostic question in which each distractor is linked to a known misconception, and specify the action the teacher takes after each answer.</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Write feedback at the task, process and self-regulation levels, and evaluate Claude's drafts in light of Hattie and Timperley's model.</w:t>
      </w:r>
    </w:p>
    <w:p>
      <w:pPr>
        <w:bidi w:val="false"/>
        <w:spacing w:after="120" w:line="300"/>
        <w:jc w:val="left"/>
      </w:pPr>
      <w:r>
        <w:rPr>
          <w:rFonts w:ascii="Calibri" w:cs="Calibri" w:eastAsia="Calibri" w:hAnsi="Calibri"/>
          <w:sz w:val="22"/>
          <w:szCs w:val="22"/>
        </w:rPr>
        <w:t xml:space="preserve">This week serves Course Learning Outcome 1, and work begins on Course Learning Outcome 6 (action research), which is submitted in Week 14.</w:t>
      </w:r>
    </w:p>
    <w:p>
      <w:pPr>
        <w:pStyle w:val="Heading1"/>
        <w:bidi w:val="false"/>
        <w:spacing w:after="160" w:before="360"/>
        <w:jc w:val="left"/>
      </w:pPr>
      <w:r>
        <w:rPr>
          <w:rFonts w:ascii="Calibri" w:cs="Calibri" w:eastAsia="Calibri" w:hAnsi="Calibri"/>
          <w:b/>
          <w:bCs/>
          <w:color w:val="1F4E79"/>
          <w:sz w:val="30"/>
          <w:szCs w:val="30"/>
        </w:rPr>
        <w:t xml:space="preserve">1. Assessment is defined by use, not by the tool</w:t>
      </w:r>
    </w:p>
    <w:p>
      <w:pPr>
        <w:bidi w:val="false"/>
        <w:spacing w:after="120" w:line="300"/>
        <w:jc w:val="left"/>
      </w:pPr>
      <w:r>
        <w:rPr>
          <w:rFonts w:ascii="Calibri" w:cs="Calibri" w:eastAsia="Calibri" w:hAnsi="Calibri"/>
          <w:sz w:val="22"/>
          <w:szCs w:val="22"/>
        </w:rPr>
        <w:t xml:space="preserve">Many teachers think that the type of assessment is determined by the tool: the short quiz is formative, and the end-of-term test is summative. This is not accurate. The same tool may serve different purposes, and what determines the type of assessment is </w:t>
      </w:r>
      <w:r>
        <w:rPr>
          <w:rFonts w:ascii="Calibri" w:cs="Calibri" w:eastAsia="Calibri" w:hAnsi="Calibri"/>
          <w:b/>
          <w:bCs/>
          <w:sz w:val="22"/>
          <w:szCs w:val="22"/>
        </w:rPr>
        <w:t xml:space="preserve">what we do with the result</w:t>
      </w:r>
      <w:r>
        <w:rPr>
          <w:rFonts w:ascii="Calibri" w:cs="Calibri" w:eastAsia="Calibri" w:hAnsi="Calibri"/>
          <w:sz w:val="22"/>
          <w:szCs w:val="22"/>
        </w:rPr>
        <w:t xml:space="preserve">.</w:t>
      </w:r>
    </w:p>
    <w:p>
      <w:pPr>
        <w:bidi w:val="false"/>
        <w:spacing w:after="120" w:line="300"/>
        <w:jc w:val="left"/>
      </w:pPr>
      <w:r>
        <w:rPr>
          <w:rFonts w:ascii="Calibri" w:cs="Calibri" w:eastAsia="Calibri" w:hAnsi="Calibri"/>
          <w:sz w:val="22"/>
          <w:szCs w:val="22"/>
        </w:rPr>
        <w:t xml:space="preserve">Take a short ten-question quiz on the states of matter:</w:t>
      </w:r>
    </w:p>
    <w:p>
      <w:pPr>
        <w:pStyle w:val="ListParagraph"/>
        <w:numPr>
          <w:ilvl w:val="0"/>
          <w:numId w:val="3"/>
        </w:numPr>
        <w:bidi w:val="false"/>
        <w:spacing w:after="80" w:line="300"/>
        <w:jc w:val="left"/>
      </w:pPr>
      <w:r>
        <w:rPr>
          <w:rFonts w:ascii="Calibri" w:cs="Calibri" w:eastAsia="Calibri" w:hAnsi="Calibri"/>
          <w:sz w:val="22"/>
          <w:szCs w:val="22"/>
        </w:rPr>
        <w:t xml:space="preserve">If it is given before starting the unit to find out what students already know, it is </w:t>
      </w:r>
      <w:r>
        <w:rPr>
          <w:rFonts w:ascii="Calibri" w:cs="Calibri" w:eastAsia="Calibri" w:hAnsi="Calibri"/>
          <w:b/>
          <w:bCs/>
          <w:sz w:val="22"/>
          <w:szCs w:val="22"/>
        </w:rPr>
        <w:t xml:space="preserve">diagnostic</w:t>
      </w:r>
      <w:r>
        <w:rPr>
          <w:rFonts w:ascii="Calibri" w:cs="Calibri" w:eastAsia="Calibri" w:hAnsi="Calibri"/>
          <w:sz w:val="22"/>
          <w:szCs w:val="22"/>
        </w:rPr>
        <w:t xml:space="preserve">.</w:t>
      </w:r>
    </w:p>
    <w:p>
      <w:pPr>
        <w:pStyle w:val="ListParagraph"/>
        <w:numPr>
          <w:ilvl w:val="0"/>
          <w:numId w:val="3"/>
        </w:numPr>
        <w:bidi w:val="false"/>
        <w:spacing w:after="80" w:line="300"/>
        <w:jc w:val="left"/>
      </w:pPr>
      <w:r>
        <w:rPr>
          <w:rFonts w:ascii="Calibri" w:cs="Calibri" w:eastAsia="Calibri" w:hAnsi="Calibri"/>
          <w:sz w:val="22"/>
          <w:szCs w:val="22"/>
        </w:rPr>
        <w:t xml:space="preserve">If it is given in the middle of the unit and the teacher adjusts his plan in the next lesson on the basis of it, it is </w:t>
      </w:r>
      <w:r>
        <w:rPr>
          <w:rFonts w:ascii="Calibri" w:cs="Calibri" w:eastAsia="Calibri" w:hAnsi="Calibri"/>
          <w:b/>
          <w:bCs/>
          <w:sz w:val="22"/>
          <w:szCs w:val="22"/>
        </w:rPr>
        <w:t xml:space="preserve">formative</w:t>
      </w:r>
      <w:r>
        <w:rPr>
          <w:rFonts w:ascii="Calibri" w:cs="Calibri" w:eastAsia="Calibri" w:hAnsi="Calibri"/>
          <w:sz w:val="22"/>
          <w:szCs w:val="22"/>
        </w:rPr>
        <w:t xml:space="preserve">.</w:t>
      </w:r>
    </w:p>
    <w:p>
      <w:pPr>
        <w:pStyle w:val="ListParagraph"/>
        <w:numPr>
          <w:ilvl w:val="0"/>
          <w:numId w:val="3"/>
        </w:numPr>
        <w:bidi w:val="false"/>
        <w:spacing w:after="80" w:line="300"/>
        <w:jc w:val="left"/>
      </w:pPr>
      <w:r>
        <w:rPr>
          <w:rFonts w:ascii="Calibri" w:cs="Calibri" w:eastAsia="Calibri" w:hAnsi="Calibri"/>
          <w:sz w:val="22"/>
          <w:szCs w:val="22"/>
        </w:rPr>
        <w:t xml:space="preserve">If it is given at the end of the unit and its score is recorded in the gradebook, it is </w:t>
      </w:r>
      <w:r>
        <w:rPr>
          <w:rFonts w:ascii="Calibri" w:cs="Calibri" w:eastAsia="Calibri" w:hAnsi="Calibri"/>
          <w:b/>
          <w:bCs/>
          <w:sz w:val="22"/>
          <w:szCs w:val="22"/>
        </w:rPr>
        <w:t xml:space="preserve">summative</w:t>
      </w:r>
      <w:r>
        <w:rPr>
          <w:rFonts w:ascii="Calibri" w:cs="Calibri" w:eastAsia="Calibri" w:hAnsi="Calibri"/>
          <w:sz w:val="22"/>
          <w:szCs w:val="22"/>
        </w:rPr>
        <w:t xml:space="preserve">.</w:t>
      </w:r>
    </w:p>
    <w:p>
      <w:pPr>
        <w:bidi w:val="false"/>
        <w:spacing w:after="120" w:line="300"/>
        <w:jc w:val="left"/>
      </w:pPr>
      <w:r>
        <w:rPr>
          <w:rFonts w:ascii="Calibri" w:cs="Calibri" w:eastAsia="Calibri" w:hAnsi="Calibri"/>
          <w:sz w:val="22"/>
          <w:szCs w:val="22"/>
        </w:rPr>
        <w:t xml:space="preserve">So we say: assessment is formative </w:t>
      </w:r>
      <w:r>
        <w:rPr>
          <w:rFonts w:ascii="Calibri" w:cs="Calibri" w:eastAsia="Calibri" w:hAnsi="Calibri"/>
          <w:b/>
          <w:bCs/>
          <w:sz w:val="22"/>
          <w:szCs w:val="22"/>
        </w:rPr>
        <w:t xml:space="preserve">to the extent that</w:t>
      </w:r>
      <w:r>
        <w:rPr>
          <w:rFonts w:ascii="Calibri" w:cs="Calibri" w:eastAsia="Calibri" w:hAnsi="Calibri"/>
          <w:sz w:val="22"/>
          <w:szCs w:val="22"/>
        </w:rPr>
        <w:t xml:space="preserve"> its evidence is used to adjust teaching or learning. A short quiz that is marked, recorded and then forgotten is not formative, even if the plan calls it so.</w:t>
      </w:r>
    </w:p>
    <w:p>
      <w:pPr>
        <w:bidi w:val="false"/>
        <w:spacing w:after="120" w:line="300"/>
        <w:jc w:val="left"/>
      </w:pPr>
      <w:r>
        <w:rPr>
          <w:rFonts w:ascii="Calibri" w:cs="Calibri" w:eastAsia="Calibri" w:hAnsi="Calibri"/>
          <w:sz w:val="22"/>
          <w:szCs w:val="22"/>
        </w:rPr>
        <w:t xml:space="preserve">This takes us back to the idea of the first week: assessment is a chain of decisions. Before you choose a tool, ask: what decision will I take with the result? And who will take it? And when?</w:t>
      </w:r>
    </w:p>
    <w:p>
      <w:pPr>
        <w:pStyle w:val="Heading1"/>
        <w:bidi w:val="false"/>
        <w:spacing w:after="160" w:before="360"/>
        <w:jc w:val="left"/>
      </w:pPr>
      <w:r>
        <w:rPr>
          <w:rFonts w:ascii="Calibri" w:cs="Calibri" w:eastAsia="Calibri" w:hAnsi="Calibri"/>
          <w:b/>
          <w:bCs/>
          <w:color w:val="1F4E79"/>
          <w:sz w:val="30"/>
          <w:szCs w:val="30"/>
        </w:rPr>
        <w:t xml:space="preserve">2. Three functions in a single unit</w:t>
      </w:r>
    </w:p>
    <w:p>
      <w:pPr>
        <w:bidi w:val="false"/>
        <w:spacing w:after="120" w:line="300"/>
        <w:jc w:val="left"/>
      </w:pPr>
      <w:r>
        <w:rPr>
          <w:rFonts w:ascii="Calibri" w:cs="Calibri" w:eastAsia="Calibri" w:hAnsi="Calibri"/>
          <w:sz w:val="22"/>
          <w:szCs w:val="22"/>
        </w:rPr>
        <w:t xml:space="preserve">This week we follow a single Grade 8 science unit entitled «Matter and Its Changes». The unit covers: physical and chemical changes, including dissolving; the states of matter and the particle model; density and floating; evidence of chemical reaction; conservation of mass; and separating the components of mixtures. We will return to the same unit in Week 3 when we examine the alignment of its summative test with its outcomes.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0"/>
        <w:gridCol w:w="2714"/>
        <w:gridCol w:w="3167"/>
        <w:gridCol w:w="2717"/>
      </w:tblGrid>
      <w:tr>
        <w:trPr>
          <w:cantSplit/>
          <w:tblHeader/>
        </w:trPr>
        <w:tc>
          <w:tcPr>
            <w:tcW w:type="dxa" w:w="10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Aspect</w:t>
            </w:r>
          </w:p>
        </w:tc>
        <w:tc>
          <w:tcPr>
            <w:tcW w:type="dxa" w:w="27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Diagnostic</w:t>
            </w:r>
          </w:p>
        </w:tc>
        <w:tc>
          <w:tcPr>
            <w:tcW w:type="dxa" w:w="31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Formative</w:t>
            </w:r>
          </w:p>
        </w:tc>
        <w:tc>
          <w:tcPr>
            <w:tcW w:type="dxa" w:w="27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Summative</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Timing</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Before the unit or at its start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During learning, within the same lesson or between lessons</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the end of the unit or term</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question it answers</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do students know? And what misconceptions do they have?</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learning progressing as I planned? What do I adjust now?</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did students master in the end?</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Example from the unit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Five questions on particles before the first lesson</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hinge question on dissolving, and an exit ticket on conservation of mass</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unit test and a performance task on separating a mixture</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Who uses the result?</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in planning</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and the student together</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the administration and the parent</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a score recorded?</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Usually not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or with a very small weight</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Yes</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Level of stakes</w:t>
            </w:r>
          </w:p>
        </w:tc>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Low</w:t>
            </w:r>
          </w:p>
        </w:tc>
        <w:tc>
          <w:tcPr>
            <w:tcW w:type="dxa" w:w="2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High</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2.1 Diagnosis before the unit</w:t>
      </w:r>
    </w:p>
    <w:p>
      <w:pPr>
        <w:bidi w:val="false"/>
        <w:spacing w:after="120" w:line="300"/>
        <w:jc w:val="left"/>
      </w:pPr>
      <w:r>
        <w:rPr>
          <w:rFonts w:ascii="Calibri" w:cs="Calibri" w:eastAsia="Calibri" w:hAnsi="Calibri"/>
          <w:sz w:val="22"/>
          <w:szCs w:val="22"/>
        </w:rPr>
        <w:t xml:space="preserve">Before starting the unit, the teacher asks five short questions, including: «What is there between the particles of air?» and «When sugar dissolves in water, where does it go?». The teacher is not aiming for a score, but for a picture: how many students think dissolving is melting? How many students think the substance disappears?</w:t>
      </w:r>
    </w:p>
    <w:p>
      <w:pPr>
        <w:bidi w:val="false"/>
        <w:spacing w:after="120" w:line="300"/>
        <w:jc w:val="left"/>
      </w:pPr>
      <w:r>
        <w:rPr>
          <w:rFonts w:ascii="Calibri" w:cs="Calibri" w:eastAsia="Calibri" w:hAnsi="Calibri"/>
          <w:sz w:val="22"/>
          <w:szCs w:val="22"/>
        </w:rPr>
        <w:t xml:space="preserve">The value of diagnostic assessment is that it reveals </w:t>
      </w:r>
      <w:r>
        <w:rPr>
          <w:rFonts w:ascii="Calibri" w:cs="Calibri" w:eastAsia="Calibri" w:hAnsi="Calibri"/>
          <w:b/>
          <w:bCs/>
          <w:sz w:val="22"/>
          <w:szCs w:val="22"/>
        </w:rPr>
        <w:t xml:space="preserve">misconceptions</w:t>
      </w:r>
      <w:r>
        <w:rPr>
          <w:rFonts w:ascii="Calibri" w:cs="Calibri" w:eastAsia="Calibri" w:hAnsi="Calibri"/>
          <w:sz w:val="22"/>
          <w:szCs w:val="22"/>
        </w:rPr>
        <w:t xml:space="preserve">, not merely gaps in knowledge. A student who does not know needs teaching, whereas a student who «knows» something wrong needs teaching that confronts the wrong idea explicitly. This is why in diagnosis we use multiple-choice questions whose distractors are built on misconceptions, as we will see in Section 6.</w:t>
      </w:r>
    </w:p>
    <w:p>
      <w:pPr>
        <w:pStyle w:val="Heading2"/>
        <w:bidi w:val="false"/>
        <w:spacing w:after="120" w:before="240"/>
        <w:jc w:val="left"/>
      </w:pPr>
      <w:r>
        <w:rPr>
          <w:rFonts w:ascii="Calibri" w:cs="Calibri" w:eastAsia="Calibri" w:hAnsi="Calibri"/>
          <w:b/>
          <w:bCs/>
          <w:color w:val="2E75B6"/>
          <w:sz w:val="25"/>
          <w:szCs w:val="25"/>
        </w:rPr>
        <w:t xml:space="preserve">2.2 Formative assessment during the unit</w:t>
      </w:r>
    </w:p>
    <w:p>
      <w:pPr>
        <w:bidi w:val="false"/>
        <w:spacing w:after="120" w:line="300"/>
        <w:jc w:val="left"/>
      </w:pPr>
      <w:r>
        <w:rPr>
          <w:rFonts w:ascii="Calibri" w:cs="Calibri" w:eastAsia="Calibri" w:hAnsi="Calibri"/>
          <w:sz w:val="22"/>
          <w:szCs w:val="22"/>
        </w:rPr>
        <w:t xml:space="preserve">In the middle of the lesson on dissolving, the teacher asks a single question and all the students raise their option cards at the same moment. If most of them chose the correct answer, he moves on to the next part. If they are split between two options, the teacher knows the prevailing misconception and addresses it before building on it.</w:t>
      </w:r>
    </w:p>
    <w:p>
      <w:pPr>
        <w:pStyle w:val="Heading2"/>
        <w:bidi w:val="false"/>
        <w:spacing w:after="120" w:before="240"/>
        <w:jc w:val="left"/>
      </w:pPr>
      <w:r>
        <w:rPr>
          <w:rFonts w:ascii="Calibri" w:cs="Calibri" w:eastAsia="Calibri" w:hAnsi="Calibri"/>
          <w:b/>
          <w:bCs/>
          <w:color w:val="2E75B6"/>
          <w:sz w:val="25"/>
          <w:szCs w:val="25"/>
        </w:rPr>
        <w:t xml:space="preserve">2.3 Summative assessment at the end of the unit</w:t>
      </w:r>
    </w:p>
    <w:p>
      <w:pPr>
        <w:bidi w:val="false"/>
        <w:spacing w:after="120" w:line="300"/>
        <w:jc w:val="left"/>
      </w:pPr>
      <w:r>
        <w:rPr>
          <w:rFonts w:ascii="Calibri" w:cs="Calibri" w:eastAsia="Calibri" w:hAnsi="Calibri"/>
          <w:sz w:val="22"/>
          <w:szCs w:val="22"/>
        </w:rPr>
        <w:t xml:space="preserve">The unit test provides a judgement on the level of mastery and is recorded in the gradebook. Because the stakes are higher here, questions of validity, reliability and fairness become more pressing. This is what we will examine in Weeks 3 – 5.</w:t>
      </w:r>
    </w:p>
    <w:p>
      <w:pPr>
        <w:bidi w:val="false"/>
        <w:spacing w:after="120" w:line="300"/>
        <w:jc w:val="left"/>
      </w:pPr>
      <w:r>
        <w:rPr>
          <w:rFonts w:ascii="Calibri" w:cs="Calibri" w:eastAsia="Calibri" w:hAnsi="Calibri"/>
          <w:b/>
          <w:bCs/>
          <w:sz w:val="22"/>
          <w:szCs w:val="22"/>
        </w:rPr>
        <w:t xml:space="preserve">An important note:</w:t>
      </w:r>
      <w:r>
        <w:rPr>
          <w:rFonts w:ascii="Calibri" w:cs="Calibri" w:eastAsia="Calibri" w:hAnsi="Calibri"/>
          <w:sz w:val="22"/>
          <w:szCs w:val="22"/>
        </w:rPr>
        <w:t xml:space="preserve"> the teacher can use the results of the summative test formatively, for example by analysing common errors to adjust the teaching of the same unit the following year. This confirms once again that use determines function.</w:t>
      </w:r>
    </w:p>
    <w:p>
      <w:pPr>
        <w:pStyle w:val="Heading1"/>
        <w:bidi w:val="false"/>
        <w:spacing w:after="160" w:before="360"/>
        <w:jc w:val="left"/>
      </w:pPr>
      <w:r>
        <w:rPr>
          <w:rFonts w:ascii="Calibri" w:cs="Calibri" w:eastAsia="Calibri" w:hAnsi="Calibri"/>
          <w:b/>
          <w:bCs/>
          <w:color w:val="1F4E79"/>
          <w:sz w:val="30"/>
          <w:szCs w:val="30"/>
        </w:rPr>
        <w:t xml:space="preserve">3. Assessment for learning, assessment of learning, and assessment as learning</w:t>
      </w:r>
    </w:p>
    <w:p>
      <w:pPr>
        <w:bidi w:val="false"/>
        <w:spacing w:after="120" w:line="300"/>
        <w:jc w:val="left"/>
      </w:pPr>
      <w:r>
        <w:rPr>
          <w:rFonts w:ascii="Calibri" w:cs="Calibri" w:eastAsia="Calibri" w:hAnsi="Calibri"/>
          <w:sz w:val="22"/>
          <w:szCs w:val="22"/>
        </w:rPr>
        <w:t xml:space="preserve">A second classification, common in the literature, focuses on </w:t>
      </w:r>
      <w:r>
        <w:rPr>
          <w:rFonts w:ascii="Calibri" w:cs="Calibri" w:eastAsia="Calibri" w:hAnsi="Calibri"/>
          <w:b/>
          <w:bCs/>
          <w:sz w:val="22"/>
          <w:szCs w:val="22"/>
        </w:rPr>
        <w:t xml:space="preserve">the relationship of assessment to learning</w:t>
      </w:r>
      <w:r>
        <w:rPr>
          <w:rFonts w:ascii="Calibri" w:cs="Calibri" w:eastAsia="Calibri" w:hAnsi="Calibri"/>
          <w:sz w:val="22"/>
          <w:szCs w:val="22"/>
        </w:rPr>
        <w:t xml:space="preserve"> rather than its timing: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9"/>
        <w:gridCol w:w="3588"/>
        <w:gridCol w:w="1281"/>
        <w:gridCol w:w="3590"/>
      </w:tblGrid>
      <w:tr>
        <w:trPr>
          <w:cantSplit/>
          <w:tblHeader/>
        </w:trPr>
        <w:tc>
          <w:tcPr>
            <w:tcW w:type="dxa" w:w="1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w:t>
            </w:r>
          </w:p>
        </w:tc>
        <w:tc>
          <w:tcPr>
            <w:tcW w:type="dxa" w:w="35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Purpose</w:t>
            </w:r>
          </w:p>
        </w:tc>
        <w:tc>
          <w:tcPr>
            <w:tcW w:type="dxa" w:w="12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student's role</w:t>
            </w:r>
          </w:p>
        </w:tc>
        <w:tc>
          <w:tcPr>
            <w:tcW w:type="dxa" w:w="35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 from the unit</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of learning</w:t>
            </w:r>
          </w:p>
        </w:tc>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Making a judgement on what the student has learned and documenting it</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assessed</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unit test recorded in the gradebook</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for learning</w:t>
            </w:r>
          </w:p>
        </w:tc>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Gathering evidence that the teacher and the student use to determine the next step</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partner in the evidence</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hinge question after which the teacher adjusts the explanation</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as learning</w:t>
            </w:r>
          </w:p>
        </w:tc>
        <w:tc>
          <w:tcPr>
            <w:tcW w:type="dxa" w:w="3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itself becomes a means by which the student monitors and regulates their learning</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Assesses themselves</w:t>
            </w:r>
          </w:p>
        </w:tc>
        <w:tc>
          <w:tcPr>
            <w:tcW w:type="dxa" w:w="3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self-assessment checklist in which the student compares their explanation with the success criteria</w:t>
            </w:r>
          </w:p>
        </w:tc>
      </w:tr>
    </w:tbl>
    <w:p>
      <w:pPr>
        <w:spacing w:after="120"/>
      </w:pPr>
    </w:p>
    <w:p>
      <w:pPr>
        <w:bidi w:val="false"/>
        <w:spacing w:after="120" w:line="300"/>
        <w:jc w:val="left"/>
      </w:pPr>
      <w:r>
        <w:rPr>
          <w:rFonts w:ascii="Calibri" w:cs="Calibri" w:eastAsia="Calibri" w:hAnsi="Calibri"/>
          <w:sz w:val="22"/>
          <w:szCs w:val="22"/>
        </w:rPr>
        <w:t xml:space="preserve">The relationship between the two classifications is approximate: summative assessment is often «assessment of learning», and formative assessment is often «assessment for learning». «Assessment as learning» is a special case of assessment for learning in which the student is the primary user of the evidence. Do not treat these terms as closed boxes, as a single activity may combine more than one function.</w:t>
      </w:r>
    </w:p>
    <w:p>
      <w:pPr>
        <w:pStyle w:val="Heading1"/>
        <w:bidi w:val="false"/>
        <w:spacing w:after="160" w:before="360"/>
        <w:jc w:val="left"/>
      </w:pPr>
      <w:r>
        <w:rPr>
          <w:rFonts w:ascii="Calibri" w:cs="Calibri" w:eastAsia="Calibri" w:hAnsi="Calibri"/>
          <w:b/>
          <w:bCs/>
          <w:color w:val="1F4E79"/>
          <w:sz w:val="30"/>
          <w:szCs w:val="30"/>
        </w:rPr>
        <w:t xml:space="preserve">4. What does the evidence say? Black and Wiliam's review (1998)</w:t>
      </w:r>
    </w:p>
    <w:p>
      <w:pPr>
        <w:bidi w:val="false"/>
        <w:spacing w:after="120" w:line="300"/>
        <w:jc w:val="left"/>
      </w:pPr>
      <w:r>
        <w:rPr>
          <w:rFonts w:ascii="Calibri" w:cs="Calibri" w:eastAsia="Calibri" w:hAnsi="Calibri"/>
          <w:sz w:val="22"/>
          <w:szCs w:val="22"/>
        </w:rPr>
        <w:t xml:space="preserve">In 1998 Paul Black and Dylan Wiliam published a wide-ranging review of published research on classroom assessment entitled «Assessment and Classroom Learning». The review brought together many studies that were diverse in stages, subjects and countries.</w:t>
      </w:r>
    </w:p>
    <w:p>
      <w:pPr>
        <w:bidi w:val="false"/>
        <w:spacing w:after="120" w:line="300"/>
        <w:jc w:val="left"/>
      </w:pPr>
      <w:r>
        <w:rPr>
          <w:rFonts w:ascii="Calibri" w:cs="Calibri" w:eastAsia="Calibri" w:hAnsi="Calibri"/>
          <w:b/>
          <w:bCs/>
          <w:sz w:val="22"/>
          <w:szCs w:val="22"/>
        </w:rPr>
        <w:t xml:space="preserve">What the review concluded in general terms:</w:t>
      </w:r>
    </w:p>
    <w:p>
      <w:pPr>
        <w:pStyle w:val="ListParagraph"/>
        <w:numPr>
          <w:ilvl w:val="0"/>
          <w:numId w:val="3"/>
        </w:numPr>
        <w:bidi w:val="false"/>
        <w:spacing w:after="80" w:line="300"/>
        <w:jc w:val="left"/>
      </w:pPr>
      <w:r>
        <w:rPr>
          <w:rFonts w:ascii="Calibri" w:cs="Calibri" w:eastAsia="Calibri" w:hAnsi="Calibri"/>
          <w:sz w:val="22"/>
          <w:szCs w:val="22"/>
        </w:rPr>
        <w:t xml:space="preserve">That improving formative assessment in the classroom is associated with tangible gains in learning.</w:t>
      </w:r>
    </w:p>
    <w:p>
      <w:pPr>
        <w:pStyle w:val="ListParagraph"/>
        <w:numPr>
          <w:ilvl w:val="0"/>
          <w:numId w:val="3"/>
        </w:numPr>
        <w:bidi w:val="false"/>
        <w:spacing w:after="80" w:line="300"/>
        <w:jc w:val="left"/>
      </w:pPr>
      <w:r>
        <w:rPr>
          <w:rFonts w:ascii="Calibri" w:cs="Calibri" w:eastAsia="Calibri" w:hAnsi="Calibri"/>
          <w:sz w:val="22"/>
          <w:szCs w:val="22"/>
        </w:rPr>
        <w:t xml:space="preserve">That the assessment practices prevailing in many classrooms focused more on grades and comparing students than on improving learning.</w:t>
      </w:r>
    </w:p>
    <w:p>
      <w:pPr>
        <w:pStyle w:val="ListParagraph"/>
        <w:numPr>
          <w:ilvl w:val="0"/>
          <w:numId w:val="3"/>
        </w:numPr>
        <w:bidi w:val="false"/>
        <w:spacing w:after="80" w:line="300"/>
        <w:jc w:val="left"/>
      </w:pPr>
      <w:r>
        <w:rPr>
          <w:rFonts w:ascii="Calibri" w:cs="Calibri" w:eastAsia="Calibri" w:hAnsi="Calibri"/>
          <w:sz w:val="22"/>
          <w:szCs w:val="22"/>
        </w:rPr>
        <w:t xml:space="preserve">That feedback that tells the student how to improve is more useful than feedback that gives only the score.</w:t>
      </w:r>
    </w:p>
    <w:p>
      <w:pPr>
        <w:pStyle w:val="ListParagraph"/>
        <w:numPr>
          <w:ilvl w:val="0"/>
          <w:numId w:val="3"/>
        </w:numPr>
        <w:bidi w:val="false"/>
        <w:spacing w:after="80" w:line="300"/>
        <w:jc w:val="left"/>
      </w:pPr>
      <w:r>
        <w:rPr>
          <w:rFonts w:ascii="Calibri" w:cs="Calibri" w:eastAsia="Calibri" w:hAnsi="Calibri"/>
          <w:sz w:val="22"/>
          <w:szCs w:val="22"/>
        </w:rPr>
        <w:t xml:space="preserve">That some studies indicated that low-achieving students may benefit more than others.</w:t>
      </w:r>
    </w:p>
    <w:p>
      <w:pPr>
        <w:bidi w:val="false"/>
        <w:spacing w:after="120" w:line="300"/>
        <w:jc w:val="left"/>
      </w:pPr>
      <w:r>
        <w:rPr>
          <w:rFonts w:ascii="Calibri" w:cs="Calibri" w:eastAsia="Calibri" w:hAnsi="Calibri"/>
          <w:b/>
          <w:bCs/>
          <w:sz w:val="22"/>
          <w:szCs w:val="22"/>
        </w:rPr>
        <w:t xml:space="preserve">What we must be careful about when citing it:</w:t>
      </w:r>
    </w:p>
    <w:p>
      <w:pPr>
        <w:pStyle w:val="ListParagraph"/>
        <w:numPr>
          <w:ilvl w:val="0"/>
          <w:numId w:val="3"/>
        </w:numPr>
        <w:bidi w:val="false"/>
        <w:spacing w:after="80" w:line="300"/>
        <w:jc w:val="left"/>
      </w:pPr>
      <w:r>
        <w:rPr>
          <w:rFonts w:ascii="Calibri" w:cs="Calibri" w:eastAsia="Calibri" w:hAnsi="Calibri"/>
          <w:b/>
          <w:bCs/>
          <w:sz w:val="22"/>
          <w:szCs w:val="22"/>
        </w:rPr>
        <w:t xml:space="preserve">We do not cite an effect-size figure in this course.</w:t>
      </w:r>
      <w:r>
        <w:rPr>
          <w:rFonts w:ascii="Calibri" w:cs="Calibri" w:eastAsia="Calibri" w:hAnsi="Calibri"/>
          <w:sz w:val="22"/>
          <w:szCs w:val="22"/>
        </w:rPr>
        <w:t xml:space="preserve"> Many figures attributed to this review are in circulation, and many of them are quoted out of context. The studies it brought together are very diverse in their design and in their definition of formative assessment, which makes any single figure a misleading simplification.</w:t>
      </w:r>
    </w:p>
    <w:p>
      <w:pPr>
        <w:pStyle w:val="ListParagraph"/>
        <w:numPr>
          <w:ilvl w:val="0"/>
          <w:numId w:val="3"/>
        </w:numPr>
        <w:bidi w:val="false"/>
        <w:spacing w:after="80" w:line="300"/>
        <w:jc w:val="left"/>
      </w:pPr>
      <w:r>
        <w:rPr>
          <w:rFonts w:ascii="Calibri" w:cs="Calibri" w:eastAsia="Calibri" w:hAnsi="Calibri"/>
          <w:sz w:val="22"/>
          <w:szCs w:val="22"/>
        </w:rPr>
        <w:t xml:space="preserve">Later researchers have debated the true size of the effect, and some of them considered it smaller than commonly claimed. The more widely agreed conclusion is the </w:t>
      </w:r>
      <w:r>
        <w:rPr>
          <w:rFonts w:ascii="Calibri" w:cs="Calibri" w:eastAsia="Calibri" w:hAnsi="Calibri"/>
          <w:b/>
          <w:bCs/>
          <w:sz w:val="22"/>
          <w:szCs w:val="22"/>
        </w:rPr>
        <w:t xml:space="preserve">direction</w:t>
      </w:r>
      <w:r>
        <w:rPr>
          <w:rFonts w:ascii="Calibri" w:cs="Calibri" w:eastAsia="Calibri" w:hAnsi="Calibri"/>
          <w:sz w:val="22"/>
          <w:szCs w:val="22"/>
        </w:rPr>
        <w:t xml:space="preserve">: good formative assessment is beneficial, and its benefit depends on the quality of implementation.</w:t>
      </w:r>
    </w:p>
    <w:p>
      <w:pPr>
        <w:pStyle w:val="ListParagraph"/>
        <w:numPr>
          <w:ilvl w:val="0"/>
          <w:numId w:val="3"/>
        </w:numPr>
        <w:bidi w:val="false"/>
        <w:spacing w:after="80" w:line="300"/>
        <w:jc w:val="left"/>
      </w:pPr>
      <w:r>
        <w:rPr>
          <w:rFonts w:ascii="Calibri" w:cs="Calibri" w:eastAsia="Calibri" w:hAnsi="Calibri"/>
          <w:sz w:val="22"/>
          <w:szCs w:val="22"/>
        </w:rPr>
        <w:t xml:space="preserve">The review does not say that any activity called «formative» raises achievement. The effect comes from using the evidence to adjust teaching, not from frequent short quizzes.</w:t>
      </w:r>
    </w:p>
    <w:p>
      <w:pPr>
        <w:bidi w:val="false"/>
        <w:spacing w:after="120" w:line="300"/>
        <w:jc w:val="left"/>
      </w:pPr>
      <w:r>
        <w:rPr>
          <w:rFonts w:ascii="Calibri" w:cs="Calibri" w:eastAsia="Calibri" w:hAnsi="Calibri"/>
          <w:b/>
          <w:bCs/>
          <w:sz w:val="22"/>
          <w:szCs w:val="22"/>
        </w:rPr>
        <w:t xml:space="preserve">A rule for citation:</w:t>
      </w:r>
      <w:r>
        <w:rPr>
          <w:rFonts w:ascii="Calibri" w:cs="Calibri" w:eastAsia="Calibri" w:hAnsi="Calibri"/>
          <w:sz w:val="22"/>
          <w:szCs w:val="22"/>
        </w:rPr>
        <w:t xml:space="preserve"> if you read in a post or a presentation that «formative assessment doubles the speed of learning», or a specific figure attributed to Black and Wiliam, go back to the source before repeating it. This applies even more strongly to what Claude says, as we will see in Section 8.</w:t>
      </w:r>
    </w:p>
    <w:p>
      <w:pPr>
        <w:pStyle w:val="Heading1"/>
        <w:bidi w:val="false"/>
        <w:spacing w:after="160" w:before="360"/>
        <w:jc w:val="left"/>
      </w:pPr>
      <w:r>
        <w:rPr>
          <w:rFonts w:ascii="Calibri" w:cs="Calibri" w:eastAsia="Calibri" w:hAnsi="Calibri"/>
          <w:b/>
          <w:bCs/>
          <w:color w:val="1F4E79"/>
          <w:sz w:val="30"/>
          <w:szCs w:val="30"/>
        </w:rPr>
        <w:t xml:space="preserve">5. Wiliam's five strategies of formative assessment</w:t>
      </w:r>
    </w:p>
    <w:p>
      <w:pPr>
        <w:bidi w:val="false"/>
        <w:spacing w:after="120" w:line="300"/>
        <w:jc w:val="left"/>
      </w:pPr>
      <w:r>
        <w:rPr>
          <w:rFonts w:ascii="Calibri" w:cs="Calibri" w:eastAsia="Calibri" w:hAnsi="Calibri"/>
          <w:sz w:val="22"/>
          <w:szCs w:val="22"/>
        </w:rPr>
        <w:t xml:space="preserve">Wiliam (2017) turned research findings into a practical framework based on three questions: Where is the learner going? Where is the learner now? How do they get there? And three agents: the teacher, peers and the learner. Five key strategies emerged from their intersection: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4"/>
        <w:gridCol w:w="1848"/>
        <w:gridCol w:w="2320"/>
        <w:gridCol w:w="2756"/>
      </w:tblGrid>
      <w:tr>
        <w:trPr>
          <w:cantSplit/>
          <w:tblHeader/>
        </w:trPr>
        <w:tc>
          <w:tcPr>
            <w:tcW w:type="dxa" w:w="27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Strategy</w:t>
            </w:r>
          </w:p>
        </w:tc>
        <w:tc>
          <w:tcPr>
            <w:tcW w:type="dxa" w:w="18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serves</w:t>
            </w:r>
          </w:p>
        </w:tc>
        <w:tc>
          <w:tcPr>
            <w:tcW w:type="dxa" w:w="2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specific classroom technique</w:t>
            </w:r>
          </w:p>
        </w:tc>
        <w:tc>
          <w:tcPr>
            <w:tcW w:type="dxa" w:w="27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 from the unit</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Clarifying and sharing learning intentions and success criteria</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Where are we going?</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criteria written in the student's language</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 explain dissolving through the movement of particles and their spreading between the water particles»</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Engineering discussions and tasks that elicit evidence of learning</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Where is the student now?</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hinge question and the exit ticket</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dissolving-and-melting question with a simultaneous whole-class response, and the conservation-of-mass question at the end of the lesson</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Providing feedback that moves learning forward</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do they get there?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Comments without a score that require work from the student</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«Rewrite your explanation of expansion using the distances between particles»</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Activating students as learning resources for one another</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three questions, through the peers' role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Peer assessment against success criteria</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Exchanging written explanations and a «two stars and a wish» comment</w:t>
            </w:r>
          </w:p>
        </w:tc>
      </w:tr>
      <w:tr>
        <w:trPr>
          <w:cantSplit/>
        </w:trPr>
        <w:tc>
          <w:tcPr>
            <w:tcW w:type="dxa" w:w="27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Activating students as owners of their own learning</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three questions, through the student's role</w:t>
            </w:r>
          </w:p>
        </w:tc>
        <w:tc>
          <w:tcPr>
            <w:tcW w:type="dxa" w:w="2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w:t>
            </w:r>
          </w:p>
        </w:tc>
        <w:tc>
          <w:tcPr>
            <w:tcW w:type="dxa" w:w="2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confidence signal next to each success criterion</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5.1 Success criteria</w:t>
      </w:r>
    </w:p>
    <w:p>
      <w:pPr>
        <w:bidi w:val="false"/>
        <w:spacing w:after="120" w:line="300"/>
        <w:jc w:val="left"/>
      </w:pPr>
      <w:r>
        <w:rPr>
          <w:rFonts w:ascii="Calibri" w:cs="Calibri" w:eastAsia="Calibri" w:hAnsi="Calibri"/>
          <w:sz w:val="22"/>
          <w:szCs w:val="22"/>
        </w:rPr>
        <w:t xml:space="preserve">A learning intention describes what the student will learn, and a success criterion describes </w:t>
      </w:r>
      <w:r>
        <w:rPr>
          <w:rFonts w:ascii="Calibri" w:cs="Calibri" w:eastAsia="Calibri" w:hAnsi="Calibri"/>
          <w:b/>
          <w:bCs/>
          <w:sz w:val="22"/>
          <w:szCs w:val="22"/>
        </w:rPr>
        <w:t xml:space="preserve">how the student and the teacher will know that it has been learned</w:t>
      </w:r>
      <w:r>
        <w:rPr>
          <w:rFonts w:ascii="Calibri" w:cs="Calibri" w:eastAsia="Calibri" w:hAnsi="Calibri"/>
          <w:sz w:val="22"/>
          <w:szCs w:val="22"/>
        </w:rPr>
        <w:t xml:space="preserve">. Compare:</w:t>
      </w:r>
    </w:p>
    <w:p>
      <w:pPr>
        <w:pStyle w:val="ListParagraph"/>
        <w:numPr>
          <w:ilvl w:val="0"/>
          <w:numId w:val="3"/>
        </w:numPr>
        <w:bidi w:val="false"/>
        <w:spacing w:after="80" w:line="300"/>
        <w:jc w:val="left"/>
      </w:pPr>
      <w:r>
        <w:rPr>
          <w:rFonts w:ascii="Calibri" w:cs="Calibri" w:eastAsia="Calibri" w:hAnsi="Calibri"/>
          <w:sz w:val="22"/>
          <w:szCs w:val="22"/>
        </w:rPr>
        <w:t xml:space="preserve">Intention: «The student understands dissolving». This is not observable.</w:t>
      </w:r>
    </w:p>
    <w:p>
      <w:pPr>
        <w:pStyle w:val="ListParagraph"/>
        <w:numPr>
          <w:ilvl w:val="0"/>
          <w:numId w:val="3"/>
        </w:numPr>
        <w:bidi w:val="false"/>
        <w:spacing w:after="80" w:line="300"/>
        <w:jc w:val="left"/>
      </w:pPr>
      <w:r>
        <w:rPr>
          <w:rFonts w:ascii="Calibri" w:cs="Calibri" w:eastAsia="Calibri" w:hAnsi="Calibri"/>
          <w:sz w:val="22"/>
          <w:szCs w:val="22"/>
        </w:rPr>
        <w:t xml:space="preserve">Success criteria: «I distinguish dissolving from melting with an example. I explain the disappearance of sugar through the movement of its particles and their spreading. I predict the mass of the solution and justify my prediction».</w:t>
      </w:r>
    </w:p>
    <w:p>
      <w:pPr>
        <w:bidi w:val="false"/>
        <w:spacing w:after="120" w:line="300"/>
        <w:jc w:val="left"/>
      </w:pPr>
      <w:r>
        <w:rPr>
          <w:rFonts w:ascii="Calibri" w:cs="Calibri" w:eastAsia="Calibri" w:hAnsi="Calibri"/>
          <w:sz w:val="22"/>
          <w:szCs w:val="22"/>
        </w:rPr>
        <w:t xml:space="preserve">Good criteria are short, written in language the student understands, and describe observable performance. It is preferable for students to see an example of work that meets the criteria and an example of work that does not.</w:t>
      </w:r>
    </w:p>
    <w:p>
      <w:pPr>
        <w:pStyle w:val="Heading2"/>
        <w:bidi w:val="false"/>
        <w:spacing w:after="120" w:before="240"/>
        <w:jc w:val="left"/>
      </w:pPr>
      <w:r>
        <w:rPr>
          <w:rFonts w:ascii="Calibri" w:cs="Calibri" w:eastAsia="Calibri" w:hAnsi="Calibri"/>
          <w:b/>
          <w:bCs/>
          <w:color w:val="2E75B6"/>
          <w:sz w:val="25"/>
          <w:szCs w:val="25"/>
        </w:rPr>
        <w:t xml:space="preserve">5.2 The hinge question</w:t>
      </w:r>
    </w:p>
    <w:p>
      <w:pPr>
        <w:bidi w:val="false"/>
        <w:spacing w:after="120" w:line="300"/>
        <w:jc w:val="left"/>
      </w:pPr>
      <w:r>
        <w:rPr>
          <w:rFonts w:ascii="Calibri" w:cs="Calibri" w:eastAsia="Calibri" w:hAnsi="Calibri"/>
          <w:sz w:val="22"/>
          <w:szCs w:val="22"/>
        </w:rPr>
        <w:t xml:space="preserve">A hinge question is a question asked at a «hinge» in the lesson, that is, at a point beyond which it is not sound to move on unless the students have understood the core concept. Its properties:</w:t>
      </w:r>
    </w:p>
    <w:p>
      <w:pPr>
        <w:pStyle w:val="ListParagraph"/>
        <w:numPr>
          <w:ilvl w:val="0"/>
          <w:numId w:val="3"/>
        </w:numPr>
        <w:bidi w:val="false"/>
        <w:spacing w:after="80" w:line="300"/>
        <w:jc w:val="left"/>
      </w:pPr>
      <w:r>
        <w:rPr>
          <w:rFonts w:ascii="Calibri" w:cs="Calibri" w:eastAsia="Calibri" w:hAnsi="Calibri"/>
          <w:b/>
          <w:bCs/>
          <w:sz w:val="22"/>
          <w:szCs w:val="22"/>
        </w:rPr>
        <w:t xml:space="preserve">All students answer it at the same time</w:t>
      </w:r>
      <w:r>
        <w:rPr>
          <w:rFonts w:ascii="Calibri" w:cs="Calibri" w:eastAsia="Calibri" w:hAnsi="Calibri"/>
          <w:sz w:val="22"/>
          <w:szCs w:val="22"/>
        </w:rPr>
        <w:t xml:space="preserve">, with option cards, mini whiteboards or fingers, so that the teacher does not rely on the answers of two volunteering students.</w:t>
      </w:r>
    </w:p>
    <w:p>
      <w:pPr>
        <w:pStyle w:val="ListParagraph"/>
        <w:numPr>
          <w:ilvl w:val="0"/>
          <w:numId w:val="3"/>
        </w:numPr>
        <w:bidi w:val="false"/>
        <w:spacing w:after="80" w:line="300"/>
        <w:jc w:val="left"/>
      </w:pPr>
      <w:r>
        <w:rPr>
          <w:rFonts w:ascii="Calibri" w:cs="Calibri" w:eastAsia="Calibri" w:hAnsi="Calibri"/>
          <w:b/>
          <w:bCs/>
          <w:sz w:val="22"/>
          <w:szCs w:val="22"/>
        </w:rPr>
        <w:t xml:space="preserve">Quick:</w:t>
      </w:r>
      <w:r>
        <w:rPr>
          <w:rFonts w:ascii="Calibri" w:cs="Calibri" w:eastAsia="Calibri" w:hAnsi="Calibri"/>
          <w:sz w:val="22"/>
          <w:szCs w:val="22"/>
        </w:rPr>
        <w:t xml:space="preserve"> Wiliam suggests, roughly, that students answer it in a minute or two, and that the teacher reads the answers and decides in about half a minute. This is a practical rule of thumb, not a definitive figure.</w:t>
      </w:r>
    </w:p>
    <w:p>
      <w:pPr>
        <w:pStyle w:val="ListParagraph"/>
        <w:numPr>
          <w:ilvl w:val="0"/>
          <w:numId w:val="3"/>
        </w:numPr>
        <w:bidi w:val="false"/>
        <w:spacing w:after="80" w:line="300"/>
        <w:jc w:val="left"/>
      </w:pPr>
      <w:r>
        <w:rPr>
          <w:rFonts w:ascii="Calibri" w:cs="Calibri" w:eastAsia="Calibri" w:hAnsi="Calibri"/>
          <w:b/>
          <w:bCs/>
          <w:sz w:val="22"/>
          <w:szCs w:val="22"/>
        </w:rPr>
        <w:t xml:space="preserve">Each distractor in it tells the teacher something:</w:t>
      </w:r>
      <w:r>
        <w:rPr>
          <w:rFonts w:ascii="Calibri" w:cs="Calibri" w:eastAsia="Calibri" w:hAnsi="Calibri"/>
          <w:sz w:val="22"/>
          <w:szCs w:val="22"/>
        </w:rPr>
        <w:t xml:space="preserve"> a student who chooses a particular distractor reveals a specific misconception. If a student chooses the correct answer, it should most likely be for a correct reason.</w:t>
      </w:r>
    </w:p>
    <w:p>
      <w:pPr>
        <w:pStyle w:val="ListParagraph"/>
        <w:numPr>
          <w:ilvl w:val="0"/>
          <w:numId w:val="3"/>
        </w:numPr>
        <w:bidi w:val="false"/>
        <w:spacing w:after="80" w:line="300"/>
        <w:jc w:val="left"/>
      </w:pPr>
      <w:r>
        <w:rPr>
          <w:rFonts w:ascii="Calibri" w:cs="Calibri" w:eastAsia="Calibri" w:hAnsi="Calibri"/>
          <w:b/>
          <w:bCs/>
          <w:sz w:val="22"/>
          <w:szCs w:val="22"/>
        </w:rPr>
        <w:t xml:space="preserve">It is linked to a decision planned in advance:</w:t>
      </w:r>
      <w:r>
        <w:rPr>
          <w:rFonts w:ascii="Calibri" w:cs="Calibri" w:eastAsia="Calibri" w:hAnsi="Calibri"/>
          <w:sz w:val="22"/>
          <w:szCs w:val="22"/>
        </w:rPr>
        <w:t xml:space="preserve"> before the lesson, the teacher specifies what to do if most of the class answers correctly, and what to do if a quarter of the class or more chooses a particular distractor.</w:t>
      </w:r>
    </w:p>
    <w:p>
      <w:pPr>
        <w:bidi w:val="false"/>
        <w:spacing w:after="120" w:line="300"/>
        <w:jc w:val="left"/>
      </w:pPr>
      <w:r>
        <w:rPr>
          <w:rFonts w:ascii="Calibri" w:cs="Calibri" w:eastAsia="Calibri" w:hAnsi="Calibri"/>
          <w:sz w:val="22"/>
          <w:szCs w:val="22"/>
        </w:rPr>
        <w:t xml:space="preserve">A hinge question that changes nothing in the lesson is an ordinary question.</w:t>
      </w:r>
    </w:p>
    <w:p>
      <w:pPr>
        <w:pStyle w:val="Heading2"/>
        <w:bidi w:val="false"/>
        <w:spacing w:after="120" w:before="240"/>
        <w:jc w:val="left"/>
      </w:pPr>
      <w:r>
        <w:rPr>
          <w:rFonts w:ascii="Calibri" w:cs="Calibri" w:eastAsia="Calibri" w:hAnsi="Calibri"/>
          <w:b/>
          <w:bCs/>
          <w:color w:val="2E75B6"/>
          <w:sz w:val="25"/>
          <w:szCs w:val="25"/>
        </w:rPr>
        <w:t xml:space="preserve">5.3 The exit ticket</w:t>
      </w:r>
    </w:p>
    <w:p>
      <w:pPr>
        <w:bidi w:val="false"/>
        <w:spacing w:after="120" w:line="300"/>
        <w:jc w:val="left"/>
      </w:pPr>
      <w:r>
        <w:rPr>
          <w:rFonts w:ascii="Calibri" w:cs="Calibri" w:eastAsia="Calibri" w:hAnsi="Calibri"/>
          <w:sz w:val="22"/>
          <w:szCs w:val="22"/>
        </w:rPr>
        <w:t xml:space="preserve">In the last three minutes of the lesson, each student answers one or two questions in writing and hands in the paper on leaving. The exit ticket gathers the evidence, but its formative value comes from what the teacher does with it: he sorts the papers into three groups (mastered, nearly there, needs support), and starts the next lesson on that basis.</w:t>
      </w:r>
    </w:p>
    <w:p>
      <w:pPr>
        <w:bidi w:val="false"/>
        <w:spacing w:after="120" w:line="300"/>
        <w:jc w:val="left"/>
      </w:pPr>
      <w:r>
        <w:rPr>
          <w:rFonts w:ascii="Calibri" w:cs="Calibri" w:eastAsia="Calibri" w:hAnsi="Calibri"/>
          <w:sz w:val="22"/>
          <w:szCs w:val="22"/>
        </w:rPr>
        <w:t xml:space="preserve">Example: «I put 10 g of salt in 100 g of water and stirred it until it disappeared. What is the mass of the solution? Explain in one sentence».</w:t>
      </w:r>
    </w:p>
    <w:p>
      <w:pPr>
        <w:pStyle w:val="Heading2"/>
        <w:bidi w:val="false"/>
        <w:spacing w:after="120" w:before="240"/>
        <w:jc w:val="left"/>
      </w:pPr>
      <w:r>
        <w:rPr>
          <w:rFonts w:ascii="Calibri" w:cs="Calibri" w:eastAsia="Calibri" w:hAnsi="Calibri"/>
          <w:b/>
          <w:bCs/>
          <w:color w:val="2E75B6"/>
          <w:sz w:val="25"/>
          <w:szCs w:val="25"/>
        </w:rPr>
        <w:t xml:space="preserve">5.4 Peer assessment</w:t>
      </w:r>
    </w:p>
    <w:p>
      <w:pPr>
        <w:bidi w:val="false"/>
        <w:spacing w:after="120" w:line="300"/>
        <w:jc w:val="left"/>
      </w:pPr>
      <w:r>
        <w:rPr>
          <w:rFonts w:ascii="Calibri" w:cs="Calibri" w:eastAsia="Calibri" w:hAnsi="Calibri"/>
          <w:sz w:val="22"/>
          <w:szCs w:val="22"/>
        </w:rPr>
        <w:t xml:space="preserve">Students exchange their written explanations, and each student reads their classmate's explanation in light of the success criteria, then writes «two stars and a wish»: two things the classmate achieved, and one thing to improve. Peer assessment succeeds when the criteria are clear, and when students are trained to comment on the work, not the person.</w:t>
      </w:r>
    </w:p>
    <w:p>
      <w:pPr>
        <w:pStyle w:val="Heading2"/>
        <w:bidi w:val="false"/>
        <w:spacing w:after="120" w:before="240"/>
        <w:jc w:val="left"/>
      </w:pPr>
      <w:r>
        <w:rPr>
          <w:rFonts w:ascii="Calibri" w:cs="Calibri" w:eastAsia="Calibri" w:hAnsi="Calibri"/>
          <w:b/>
          <w:bCs/>
          <w:color w:val="2E75B6"/>
          <w:sz w:val="25"/>
          <w:szCs w:val="25"/>
        </w:rPr>
        <w:t xml:space="preserve">5.5 Self-assessment</w:t>
      </w:r>
    </w:p>
    <w:p>
      <w:pPr>
        <w:bidi w:val="false"/>
        <w:spacing w:after="120" w:line="300"/>
        <w:jc w:val="left"/>
      </w:pPr>
      <w:r>
        <w:rPr>
          <w:rFonts w:ascii="Calibri" w:cs="Calibri" w:eastAsia="Calibri" w:hAnsi="Calibri"/>
          <w:sz w:val="22"/>
          <w:szCs w:val="22"/>
        </w:rPr>
        <w:t xml:space="preserve">Next to each success criterion the student puts a signal: «I can do this on my own», «I need a little help», «I have not understood yet». Then they choose one step to improve what they have not mastered. Self-assessment is a skill that is taught, and at first students overestimate or underestimate themselves. So the teacher compares the student's self-rating with their actual performance from time to time.</w:t>
      </w:r>
    </w:p>
    <w:p>
      <w:pPr>
        <w:pStyle w:val="Heading1"/>
        <w:bidi w:val="false"/>
        <w:spacing w:after="160" w:before="360"/>
        <w:jc w:val="left"/>
      </w:pPr>
      <w:r>
        <w:rPr>
          <w:rFonts w:ascii="Calibri" w:cs="Calibri" w:eastAsia="Calibri" w:hAnsi="Calibri"/>
          <w:b/>
          <w:bCs/>
          <w:color w:val="1F4E79"/>
          <w:sz w:val="30"/>
          <w:szCs w:val="30"/>
        </w:rPr>
        <w:t xml:space="preserve">6. Diagnostic questions whose distractors are misconceptions</w:t>
      </w:r>
    </w:p>
    <w:p>
      <w:pPr>
        <w:bidi w:val="false"/>
        <w:spacing w:after="120" w:line="300"/>
        <w:jc w:val="left"/>
      </w:pPr>
      <w:r>
        <w:rPr>
          <w:rFonts w:ascii="Calibri" w:cs="Calibri" w:eastAsia="Calibri" w:hAnsi="Calibri"/>
          <w:sz w:val="22"/>
          <w:szCs w:val="22"/>
        </w:rPr>
        <w:t xml:space="preserve">In Week 11 we will see how distractor analysis reveals flaws in items after the test is administered. Here we reverse the direction: we write the distractors </w:t>
      </w:r>
      <w:r>
        <w:rPr>
          <w:rFonts w:ascii="Calibri" w:cs="Calibri" w:eastAsia="Calibri" w:hAnsi="Calibri"/>
          <w:b/>
          <w:bCs/>
          <w:sz w:val="22"/>
          <w:szCs w:val="22"/>
        </w:rPr>
        <w:t xml:space="preserve">deliberately</w:t>
      </w:r>
      <w:r>
        <w:rPr>
          <w:rFonts w:ascii="Calibri" w:cs="Calibri" w:eastAsia="Calibri" w:hAnsi="Calibri"/>
          <w:sz w:val="22"/>
          <w:szCs w:val="22"/>
        </w:rPr>
        <w:t xml:space="preserve"> so that each represents a misconception known among students. The option the student chooses then becomes a diagnosis, not merely an error.</w:t>
      </w:r>
    </w:p>
    <w:p>
      <w:pPr>
        <w:pStyle w:val="Heading2"/>
        <w:bidi w:val="false"/>
        <w:spacing w:after="120" w:before="240"/>
        <w:jc w:val="left"/>
      </w:pPr>
      <w:r>
        <w:rPr>
          <w:rFonts w:ascii="Calibri" w:cs="Calibri" w:eastAsia="Calibri" w:hAnsi="Calibri"/>
          <w:b/>
          <w:bCs/>
          <w:color w:val="2E75B6"/>
          <w:sz w:val="25"/>
          <w:szCs w:val="25"/>
        </w:rPr>
        <w:t xml:space="preserve">Example 1: Dissolving and melting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Maryam put a spoonful of sugar in a cup of hot water and stirred it until she could no longer see the sugar. What happened to the sugar?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 The sugar melted because of the heat of the water and became a liquid.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B. The sugar turned into water.</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 The sugar particles separated and spread out between the water particles.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D. The sugar disappeared and is no longer in the cup.</w:t>
      </w:r>
    </w:p>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6"/>
        <w:gridCol w:w="4335"/>
        <w:gridCol w:w="4337"/>
      </w:tblGrid>
      <w:tr>
        <w:trPr>
          <w:cantSplit/>
          <w:tblHeader/>
        </w:trPr>
        <w:tc>
          <w:tcPr>
            <w:tcW w:type="dxa" w:w="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43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reveals</w:t>
            </w:r>
          </w:p>
        </w:tc>
        <w:tc>
          <w:tcPr>
            <w:tcW w:type="dxa" w:w="4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Teacher's action</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Confusing dissolving with melting: the student links the disappearance of the solid to heat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practical comparison: sugar in cold water also dissolves, and sugar only melts at a temperature much higher than the boiling point of water</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substance turning into another</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Evaporating drops of the solution to recover the sugar crystals</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correct answer</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Follow-up question: «How do you prove that the sugar is still there?»</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Non-conservation of matter: what is not seen does not exist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direct link to the conservation-of-mass question (Example 2)</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Example 2: Conservation of mass on dissolving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An empty cup was placed on a balance, and the balance was zeroed with the empty cup on it. Then 200 g of water was poured into the cup, and 10 g of sugar was added and stirred until it dissolved completely. What is the balance reading now?</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 200 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B. Less than 210 g, because the sugar particles went into the gaps between the water particles.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 210 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D. More than 210 g, because the solution is heavier than water.</w:t>
      </w:r>
    </w:p>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6"/>
        <w:gridCol w:w="4335"/>
        <w:gridCol w:w="4337"/>
      </w:tblGrid>
      <w:tr>
        <w:trPr>
          <w:cantSplit/>
          <w:tblHeader/>
        </w:trPr>
        <w:tc>
          <w:tcPr>
            <w:tcW w:type="dxa" w:w="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43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reveals</w:t>
            </w:r>
          </w:p>
        </w:tc>
        <w:tc>
          <w:tcPr>
            <w:tcW w:type="dxa" w:w="4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Teacher's action</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dissolved substance has no mass because it can no longer be seen</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experiment of weighing before and after dissolving in front of the students</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Confusing volume with mass: a change of place does not change the number of particles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Explicitly distinguishing between «how much space the substance takes up» and «how much matter it contains»</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correct answer</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Follow-up question: «Does the mass change if we wait an hour with the cup covered?»</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belief that dissolving adds something, or that «density» means extra mass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Comparing the total mass with the sum of the two masses</w:t>
            </w:r>
          </w:p>
        </w:tc>
      </w:tr>
    </w:tbl>
    <w:p>
      <w:pPr>
        <w:spacing w:after="120"/>
      </w:pPr>
    </w:p>
    <w:p>
      <w:pPr>
        <w:bidi w:val="false"/>
        <w:spacing w:after="120" w:line="300"/>
        <w:jc w:val="left"/>
      </w:pPr>
      <w:r>
        <w:rPr>
          <w:rFonts w:ascii="Calibri" w:cs="Calibri" w:eastAsia="Calibri" w:hAnsi="Calibri"/>
          <w:sz w:val="22"/>
          <w:szCs w:val="22"/>
        </w:rPr>
        <w:t xml:space="preserve">Note that option B carries a correct part: the sugar particles do indeed spread out between the water particles. The error is in the conclusion, not the description. This type of distractor is diagnostically powerful, but it needs precise wording so that it does not become a second correct answer.</w:t>
      </w:r>
    </w:p>
    <w:p>
      <w:pPr>
        <w:pStyle w:val="Heading2"/>
        <w:bidi w:val="false"/>
        <w:spacing w:after="120" w:before="240"/>
        <w:jc w:val="left"/>
      </w:pPr>
      <w:r>
        <w:rPr>
          <w:rFonts w:ascii="Calibri" w:cs="Calibri" w:eastAsia="Calibri" w:hAnsi="Calibri"/>
          <w:b/>
          <w:bCs/>
          <w:color w:val="2E75B6"/>
          <w:sz w:val="25"/>
          <w:szCs w:val="25"/>
        </w:rPr>
        <w:t xml:space="preserve">Example 3: Thermal expansion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 metal ball passes through a metal ring when it is cold, and does not pass through it after it is heated. Why?</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 Because each of the metal's particles got bigger on heating.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B. Because the particles started vibrating faster, so the distances between them increased.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 Because the number of particles in the ball increased on heating.</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D. Because heat is a substance that entered the ball and filled it.</w:t>
      </w:r>
    </w:p>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6"/>
        <w:gridCol w:w="4335"/>
        <w:gridCol w:w="4337"/>
      </w:tblGrid>
      <w:tr>
        <w:trPr>
          <w:cantSplit/>
          <w:tblHeader/>
        </w:trPr>
        <w:tc>
          <w:tcPr>
            <w:tcW w:type="dxa" w:w="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Option</w:t>
            </w:r>
          </w:p>
        </w:tc>
        <w:tc>
          <w:tcPr>
            <w:tcW w:type="dxa" w:w="43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reveals</w:t>
            </w:r>
          </w:p>
        </w:tc>
        <w:tc>
          <w:tcPr>
            <w:tcW w:type="dxa" w:w="4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Teacher's action</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Transferring the visible properties of matter to the particle itself: «the particles expand»</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model using the students themselves: they vibrate faster in their places and so need more space without any of them getting bigger</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correct answer</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Follow-up question: «What happens to the ball when it is cooled?»</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Non-conservation of the number of particles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Weighing the ball before and after heating</w:t>
            </w:r>
          </w:p>
        </w:tc>
      </w:tr>
      <w:tr>
        <w:trPr>
          <w:cantSplit/>
        </w:trPr>
        <w:tc>
          <w:tcPr>
            <w:tcW w:type="dxa" w:w="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w:t>
            </w:r>
          </w:p>
        </w:tc>
        <w:tc>
          <w:tcPr>
            <w:tcW w:type="dxa" w:w="43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Conceiving of heat as a substance that is added</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Distinguishing between heat as energy that is transferred and matter that is made of particles</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Rules for writing these questions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Start with misconceptions, not distractors. Write a list of the wrong ideas you have seen in your class or that the books mention, then turn each idea into an option.</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Write each distractor in students' language as they say it, not in the language of the textbook. A distractor that looks «obviously wrong» attracts no one.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Make sure there is only one correct answer, and that each distractor is scientifically wrong beyond dispute.</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Keep the options similar in length and structure so that the wording does not give away the answer.</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Write next to each option the action you will take. A question for which you do not know what to do after its answers is not yet complete.</w:t>
      </w:r>
    </w:p>
    <w:p>
      <w:pPr>
        <w:pStyle w:val="Heading1"/>
        <w:bidi w:val="false"/>
        <w:spacing w:after="160" w:before="360"/>
        <w:jc w:val="left"/>
      </w:pPr>
      <w:r>
        <w:rPr>
          <w:rFonts w:ascii="Calibri" w:cs="Calibri" w:eastAsia="Calibri" w:hAnsi="Calibri"/>
          <w:b/>
          <w:bCs/>
          <w:color w:val="1F4E79"/>
          <w:sz w:val="30"/>
          <w:szCs w:val="30"/>
        </w:rPr>
        <w:t xml:space="preserve">7. Feedback: Hattie and Timperley's model</w:t>
      </w:r>
    </w:p>
    <w:p>
      <w:pPr>
        <w:pStyle w:val="Heading2"/>
        <w:bidi w:val="false"/>
        <w:spacing w:after="120" w:before="240"/>
        <w:jc w:val="left"/>
      </w:pPr>
      <w:r>
        <w:rPr>
          <w:rFonts w:ascii="Calibri" w:cs="Calibri" w:eastAsia="Calibri" w:hAnsi="Calibri"/>
          <w:b/>
          <w:bCs/>
          <w:color w:val="2E75B6"/>
          <w:sz w:val="25"/>
          <w:szCs w:val="25"/>
        </w:rPr>
        <w:t xml:space="preserve">7.1 Three questions</w:t>
      </w:r>
    </w:p>
    <w:p>
      <w:pPr>
        <w:bidi w:val="false"/>
        <w:spacing w:after="120" w:line="300"/>
        <w:jc w:val="left"/>
      </w:pPr>
      <w:r>
        <w:rPr>
          <w:rFonts w:ascii="Calibri" w:cs="Calibri" w:eastAsia="Calibri" w:hAnsi="Calibri"/>
          <w:sz w:val="22"/>
          <w:szCs w:val="22"/>
        </w:rPr>
        <w:t xml:space="preserve">Hattie and Timperley (2007) hold that effective feedback answers three questions that the teacher and the student ask together:</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Where am I going?</w:t>
      </w:r>
      <w:r>
        <w:rPr>
          <w:rFonts w:ascii="Calibri" w:cs="Calibri" w:eastAsia="Calibri" w:hAnsi="Calibri"/>
          <w:sz w:val="22"/>
          <w:szCs w:val="22"/>
        </w:rPr>
        <w:t xml:space="preserve"> What is the goal and what are the success criteria?</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How am I going?</w:t>
      </w:r>
      <w:r>
        <w:rPr>
          <w:rFonts w:ascii="Calibri" w:cs="Calibri" w:eastAsia="Calibri" w:hAnsi="Calibri"/>
          <w:sz w:val="22"/>
          <w:szCs w:val="22"/>
        </w:rPr>
        <w:t xml:space="preserve"> Where am I now in relation to the goal?</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Where to next?</w:t>
      </w:r>
      <w:r>
        <w:rPr>
          <w:rFonts w:ascii="Calibri" w:cs="Calibri" w:eastAsia="Calibri" w:hAnsi="Calibri"/>
          <w:sz w:val="22"/>
          <w:szCs w:val="22"/>
        </w:rPr>
        <w:t xml:space="preserve"> What do I do to get closer to the goal?</w:t>
      </w:r>
    </w:p>
    <w:p>
      <w:pPr>
        <w:bidi w:val="false"/>
        <w:spacing w:after="120" w:line="300"/>
        <w:jc w:val="left"/>
      </w:pPr>
      <w:r>
        <w:rPr>
          <w:rFonts w:ascii="Calibri" w:cs="Calibri" w:eastAsia="Calibri" w:hAnsi="Calibri"/>
          <w:sz w:val="22"/>
          <w:szCs w:val="22"/>
        </w:rPr>
        <w:t xml:space="preserve">Feedback that answers only the second question («you got it wrong») is incomplete, because it does not tell the student what to do.</w:t>
      </w:r>
    </w:p>
    <w:p>
      <w:pPr>
        <w:pStyle w:val="Heading2"/>
        <w:bidi w:val="false"/>
        <w:spacing w:after="120" w:before="240"/>
        <w:jc w:val="left"/>
      </w:pPr>
      <w:r>
        <w:rPr>
          <w:rFonts w:ascii="Calibri" w:cs="Calibri" w:eastAsia="Calibri" w:hAnsi="Calibri"/>
          <w:b/>
          <w:bCs/>
          <w:color w:val="2E75B6"/>
          <w:sz w:val="25"/>
          <w:szCs w:val="25"/>
        </w:rPr>
        <w:t xml:space="preserve">7.2 Four levels</w:t>
      </w:r>
    </w:p>
    <w:p>
      <w:pPr>
        <w:bidi w:val="false"/>
        <w:spacing w:after="120" w:line="300"/>
        <w:jc w:val="left"/>
      </w:pPr>
      <w:r>
        <w:rPr>
          <w:rFonts w:ascii="Calibri" w:cs="Calibri" w:eastAsia="Calibri" w:hAnsi="Calibri"/>
          <w:sz w:val="22"/>
          <w:szCs w:val="22"/>
        </w:rPr>
        <w:t xml:space="preserve">Feedback operates at four levels, and its effect differs by level. We take a student's answer to the question «Why did the ball expand?»: «Because the particles got bigger from the heat».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6"/>
        <w:gridCol w:w="3076"/>
        <w:gridCol w:w="3167"/>
        <w:gridCol w:w="2129"/>
      </w:tblGrid>
      <w:tr>
        <w:trPr>
          <w:cantSplit/>
          <w:tblHeader/>
        </w:trPr>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w:t>
            </w:r>
          </w:p>
        </w:tc>
        <w:tc>
          <w:tcPr>
            <w:tcW w:type="dxa" w:w="30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Focuses on</w:t>
            </w:r>
          </w:p>
        </w:tc>
        <w:tc>
          <w:tcPr>
            <w:tcW w:type="dxa" w:w="31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good example</w:t>
            </w:r>
          </w:p>
        </w:tc>
        <w:tc>
          <w:tcPr>
            <w:tcW w:type="dxa" w:w="21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 weak example</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Task</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correctness of the answer and missing or wrong information in it</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particles themselves do not change in size. What changed is the distance between them. Rewrite the sentence with this correction.»</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«Wrong.»</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Process</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strategy or way of thinking that leads to the answer</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«When you explain a change in matter, ask yourself: what happened to the movement of the particles and to the distances between them? Apply this question to expansion.»</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«Think more.»</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Self-regulation</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student's ability to monitor, evaluate and correct their work</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«Compare your explanation with the second success criterion. Did you mention the movement of the particles? What will you add?»</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«Check your answer.»</w:t>
            </w:r>
          </w:p>
        </w:tc>
      </w:tr>
      <w:tr>
        <w:trPr>
          <w:cantSplit/>
        </w:trPr>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w:t>
            </w:r>
          </w:p>
        </w:tc>
        <w:tc>
          <w:tcPr>
            <w:tcW w:type="dxa" w:w="3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person, not the work</w:t>
            </w:r>
          </w:p>
        </w:tc>
        <w:tc>
          <w:tcPr>
            <w:tcW w:type="dxa" w:w="3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There is no good example that improves learning at this level alone</w:t>
            </w:r>
          </w:p>
        </w:tc>
        <w:tc>
          <w:tcPr>
            <w:tcW w:type="dxa" w:w="21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 are clever.» or «You are always careless.»</w:t>
            </w:r>
          </w:p>
        </w:tc>
      </w:tr>
    </w:tbl>
    <w:p>
      <w:pPr>
        <w:spacing w:after="120"/>
      </w:pPr>
    </w:p>
    <w:p>
      <w:pPr>
        <w:bidi w:val="false"/>
        <w:spacing w:after="120" w:line="300"/>
        <w:jc w:val="left"/>
      </w:pPr>
      <w:r>
        <w:rPr>
          <w:rFonts w:ascii="Calibri" w:cs="Calibri" w:eastAsia="Calibri" w:hAnsi="Calibri"/>
          <w:b/>
          <w:bCs/>
          <w:sz w:val="22"/>
          <w:szCs w:val="22"/>
        </w:rPr>
        <w:t xml:space="preserve">What the model says about the effect:</w:t>
      </w:r>
    </w:p>
    <w:p>
      <w:pPr>
        <w:pStyle w:val="ListParagraph"/>
        <w:numPr>
          <w:ilvl w:val="0"/>
          <w:numId w:val="3"/>
        </w:numPr>
        <w:bidi w:val="false"/>
        <w:spacing w:after="80" w:line="300"/>
        <w:jc w:val="left"/>
      </w:pPr>
      <w:r>
        <w:rPr>
          <w:rFonts w:ascii="Calibri" w:cs="Calibri" w:eastAsia="Calibri" w:hAnsi="Calibri"/>
          <w:sz w:val="22"/>
          <w:szCs w:val="22"/>
        </w:rPr>
        <w:t xml:space="preserve">Feedback at the </w:t>
      </w:r>
      <w:r>
        <w:rPr>
          <w:rFonts w:ascii="Calibri" w:cs="Calibri" w:eastAsia="Calibri" w:hAnsi="Calibri"/>
          <w:b/>
          <w:bCs/>
          <w:sz w:val="22"/>
          <w:szCs w:val="22"/>
        </w:rPr>
        <w:t xml:space="preserve">self</w:t>
      </w:r>
      <w:r>
        <w:rPr>
          <w:rFonts w:ascii="Calibri" w:cs="Calibri" w:eastAsia="Calibri" w:hAnsi="Calibri"/>
          <w:sz w:val="22"/>
          <w:szCs w:val="22"/>
        </w:rPr>
        <w:t xml:space="preserve"> level, that is, general praise of the person, has the weakest effect on learning, because it carries no information about the work. This does not mean banning encouragement, but not relying on it alone.</w:t>
      </w:r>
    </w:p>
    <w:p>
      <w:pPr>
        <w:pStyle w:val="ListParagraph"/>
        <w:numPr>
          <w:ilvl w:val="0"/>
          <w:numId w:val="3"/>
        </w:numPr>
        <w:bidi w:val="false"/>
        <w:spacing w:after="80" w:line="300"/>
        <w:jc w:val="left"/>
      </w:pPr>
      <w:r>
        <w:rPr>
          <w:rFonts w:ascii="Calibri" w:cs="Calibri" w:eastAsia="Calibri" w:hAnsi="Calibri"/>
          <w:sz w:val="22"/>
          <w:szCs w:val="22"/>
        </w:rPr>
        <w:t xml:space="preserve">Feedback at the </w:t>
      </w:r>
      <w:r>
        <w:rPr>
          <w:rFonts w:ascii="Calibri" w:cs="Calibri" w:eastAsia="Calibri" w:hAnsi="Calibri"/>
          <w:b/>
          <w:bCs/>
          <w:sz w:val="22"/>
          <w:szCs w:val="22"/>
        </w:rPr>
        <w:t xml:space="preserve">task</w:t>
      </w:r>
      <w:r>
        <w:rPr>
          <w:rFonts w:ascii="Calibri" w:cs="Calibri" w:eastAsia="Calibri" w:hAnsi="Calibri"/>
          <w:sz w:val="22"/>
          <w:szCs w:val="22"/>
        </w:rPr>
        <w:t xml:space="preserve"> level is useful, especially when it corrects a misunderstanding and not merely a missing piece of information. But if it is limited to details, it may not transfer to new tasks.</w:t>
      </w:r>
    </w:p>
    <w:p>
      <w:pPr>
        <w:pStyle w:val="ListParagraph"/>
        <w:numPr>
          <w:ilvl w:val="0"/>
          <w:numId w:val="3"/>
        </w:numPr>
        <w:bidi w:val="false"/>
        <w:spacing w:after="80" w:line="300"/>
        <w:jc w:val="left"/>
      </w:pPr>
      <w:r>
        <w:rPr>
          <w:rFonts w:ascii="Calibri" w:cs="Calibri" w:eastAsia="Calibri" w:hAnsi="Calibri"/>
          <w:sz w:val="22"/>
          <w:szCs w:val="22"/>
        </w:rPr>
        <w:t xml:space="preserve">Feedback at the </w:t>
      </w:r>
      <w:r>
        <w:rPr>
          <w:rFonts w:ascii="Calibri" w:cs="Calibri" w:eastAsia="Calibri" w:hAnsi="Calibri"/>
          <w:b/>
          <w:bCs/>
          <w:sz w:val="22"/>
          <w:szCs w:val="22"/>
        </w:rPr>
        <w:t xml:space="preserve">process</w:t>
      </w:r>
      <w:r>
        <w:rPr>
          <w:rFonts w:ascii="Calibri" w:cs="Calibri" w:eastAsia="Calibri" w:hAnsi="Calibri"/>
          <w:sz w:val="22"/>
          <w:szCs w:val="22"/>
        </w:rPr>
        <w:t xml:space="preserve"> and </w:t>
      </w:r>
      <w:r>
        <w:rPr>
          <w:rFonts w:ascii="Calibri" w:cs="Calibri" w:eastAsia="Calibri" w:hAnsi="Calibri"/>
          <w:b/>
          <w:bCs/>
          <w:sz w:val="22"/>
          <w:szCs w:val="22"/>
        </w:rPr>
        <w:t xml:space="preserve">self-regulation</w:t>
      </w:r>
      <w:r>
        <w:rPr>
          <w:rFonts w:ascii="Calibri" w:cs="Calibri" w:eastAsia="Calibri" w:hAnsi="Calibri"/>
          <w:sz w:val="22"/>
          <w:szCs w:val="22"/>
        </w:rPr>
        <w:t xml:space="preserve"> levels is stronger in deepening understanding and transferring it, because it teaches the student how to think and how to monitor their thinking.</w:t>
      </w:r>
    </w:p>
    <w:p>
      <w:pPr>
        <w:pStyle w:val="ListParagraph"/>
        <w:numPr>
          <w:ilvl w:val="0"/>
          <w:numId w:val="3"/>
        </w:numPr>
        <w:bidi w:val="false"/>
        <w:spacing w:after="80" w:line="300"/>
        <w:jc w:val="left"/>
      </w:pPr>
      <w:r>
        <w:rPr>
          <w:rFonts w:ascii="Calibri" w:cs="Calibri" w:eastAsia="Calibri" w:hAnsi="Calibri"/>
          <w:sz w:val="22"/>
          <w:szCs w:val="22"/>
        </w:rPr>
        <w:t xml:space="preserve">A student who is a novice in the concept often needs task-level feedback first, then moves on to process and self-regulation as they progress.</w:t>
      </w:r>
    </w:p>
    <w:p>
      <w:pPr>
        <w:pStyle w:val="Heading2"/>
        <w:bidi w:val="false"/>
        <w:spacing w:after="120" w:before="240"/>
        <w:jc w:val="left"/>
      </w:pPr>
      <w:r>
        <w:rPr>
          <w:rFonts w:ascii="Calibri" w:cs="Calibri" w:eastAsia="Calibri" w:hAnsi="Calibri"/>
          <w:b/>
          <w:bCs/>
          <w:color w:val="2E75B6"/>
          <w:sz w:val="25"/>
          <w:szCs w:val="25"/>
        </w:rPr>
        <w:t xml:space="preserve">7.3 Practical rules</w:t>
      </w:r>
    </w:p>
    <w:p>
      <w:pPr>
        <w:pStyle w:val="ListParagraph"/>
        <w:numPr>
          <w:ilvl w:val="0"/>
          <w:numId w:val="3"/>
        </w:numPr>
        <w:bidi w:val="false"/>
        <w:spacing w:after="80" w:line="300"/>
        <w:jc w:val="left"/>
      </w:pPr>
      <w:r>
        <w:rPr>
          <w:rFonts w:ascii="Calibri" w:cs="Calibri" w:eastAsia="Calibri" w:hAnsi="Calibri"/>
          <w:b/>
          <w:bCs/>
          <w:sz w:val="22"/>
          <w:szCs w:val="22"/>
        </w:rPr>
        <w:t xml:space="preserve">Before the score or instead of it:</w:t>
      </w:r>
      <w:r>
        <w:rPr>
          <w:rFonts w:ascii="Calibri" w:cs="Calibri" w:eastAsia="Calibri" w:hAnsi="Calibri"/>
          <w:sz w:val="22"/>
          <w:szCs w:val="22"/>
        </w:rPr>
        <w:t xml:space="preserve"> if the score is placed next to the comment, many students look at the score and ignore the comment. In formative assessment, give the comment first.</w:t>
      </w:r>
    </w:p>
    <w:p>
      <w:pPr>
        <w:pStyle w:val="ListParagraph"/>
        <w:numPr>
          <w:ilvl w:val="0"/>
          <w:numId w:val="3"/>
        </w:numPr>
        <w:bidi w:val="false"/>
        <w:spacing w:after="80" w:line="300"/>
        <w:jc w:val="left"/>
      </w:pPr>
      <w:r>
        <w:rPr>
          <w:rFonts w:ascii="Calibri" w:cs="Calibri" w:eastAsia="Calibri" w:hAnsi="Calibri"/>
          <w:b/>
          <w:bCs/>
          <w:sz w:val="22"/>
          <w:szCs w:val="22"/>
        </w:rPr>
        <w:t xml:space="preserve">Little and specific:</w:t>
      </w:r>
      <w:r>
        <w:rPr>
          <w:rFonts w:ascii="Calibri" w:cs="Calibri" w:eastAsia="Calibri" w:hAnsi="Calibri"/>
          <w:sz w:val="22"/>
          <w:szCs w:val="22"/>
        </w:rPr>
        <w:t xml:space="preserve"> one actionable comment is more useful than five general comments.</w:t>
      </w:r>
    </w:p>
    <w:p>
      <w:pPr>
        <w:pStyle w:val="ListParagraph"/>
        <w:numPr>
          <w:ilvl w:val="0"/>
          <w:numId w:val="3"/>
        </w:numPr>
        <w:bidi w:val="false"/>
        <w:spacing w:after="80" w:line="300"/>
        <w:jc w:val="left"/>
      </w:pPr>
      <w:r>
        <w:rPr>
          <w:rFonts w:ascii="Calibri" w:cs="Calibri" w:eastAsia="Calibri" w:hAnsi="Calibri"/>
          <w:b/>
          <w:bCs/>
          <w:sz w:val="22"/>
          <w:szCs w:val="22"/>
        </w:rPr>
        <w:t xml:space="preserve">Requires work from the student:</w:t>
      </w:r>
      <w:r>
        <w:rPr>
          <w:rFonts w:ascii="Calibri" w:cs="Calibri" w:eastAsia="Calibri" w:hAnsi="Calibri"/>
          <w:sz w:val="22"/>
          <w:szCs w:val="22"/>
        </w:rPr>
        <w:t xml:space="preserve"> good feedback ends with a task: «rewrite», «apply to the next example», «compare with the criterion».</w:t>
      </w:r>
    </w:p>
    <w:p>
      <w:pPr>
        <w:pStyle w:val="ListParagraph"/>
        <w:numPr>
          <w:ilvl w:val="0"/>
          <w:numId w:val="3"/>
        </w:numPr>
        <w:bidi w:val="false"/>
        <w:spacing w:after="80" w:line="300"/>
        <w:jc w:val="left"/>
      </w:pPr>
      <w:r>
        <w:rPr>
          <w:rFonts w:ascii="Calibri" w:cs="Calibri" w:eastAsia="Calibri" w:hAnsi="Calibri"/>
          <w:b/>
          <w:bCs/>
          <w:sz w:val="22"/>
          <w:szCs w:val="22"/>
        </w:rPr>
        <w:t xml:space="preserve">At the right time:</w:t>
      </w:r>
      <w:r>
        <w:rPr>
          <w:rFonts w:ascii="Calibri" w:cs="Calibri" w:eastAsia="Calibri" w:hAnsi="Calibri"/>
          <w:sz w:val="22"/>
          <w:szCs w:val="22"/>
        </w:rPr>
        <w:t xml:space="preserve"> immediacy is often more useful at the task level, and a short delay may suit the process level. In both cases, feedback does not come before the student has tried on their own.</w:t>
      </w:r>
    </w:p>
    <w:p>
      <w:pPr>
        <w:pStyle w:val="Heading1"/>
        <w:bidi w:val="false"/>
        <w:spacing w:after="160" w:before="360"/>
        <w:jc w:val="left"/>
      </w:pPr>
      <w:r>
        <w:rPr>
          <w:rFonts w:ascii="Calibri" w:cs="Calibri" w:eastAsia="Calibri" w:hAnsi="Calibri"/>
          <w:b/>
          <w:bCs/>
          <w:color w:val="1F4E79"/>
          <w:sz w:val="30"/>
          <w:szCs w:val="30"/>
        </w:rPr>
        <w:t xml:space="preserve">8. Formative assessment with Claude's help</w:t>
      </w:r>
    </w:p>
    <w:p>
      <w:pPr>
        <w:bidi w:val="false"/>
        <w:spacing w:after="120" w:line="300"/>
        <w:jc w:val="left"/>
      </w:pPr>
      <w:r>
        <w:rPr>
          <w:rFonts w:ascii="Calibri" w:cs="Calibri" w:eastAsia="Calibri" w:hAnsi="Calibri"/>
          <w:sz w:val="22"/>
          <w:szCs w:val="22"/>
        </w:rPr>
        <w:t xml:space="preserve">The AI use level in this week's workshop is level 2: Documented collaboration. Claude proposes the drafts, and you judge them, edit them and document what you changed.</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Suggesting an initial list of common misconceptions in a specific topic, as a starting point for your list.</w:t>
      </w:r>
    </w:p>
    <w:p>
      <w:pPr>
        <w:pStyle w:val="ListParagraph"/>
        <w:numPr>
          <w:ilvl w:val="0"/>
          <w:numId w:val="3"/>
        </w:numPr>
        <w:bidi w:val="false"/>
        <w:spacing w:after="80" w:line="300"/>
        <w:jc w:val="left"/>
      </w:pPr>
      <w:r>
        <w:rPr>
          <w:rFonts w:ascii="Calibri" w:cs="Calibri" w:eastAsia="Calibri" w:hAnsi="Calibri"/>
          <w:sz w:val="22"/>
          <w:szCs w:val="22"/>
        </w:rPr>
        <w:t xml:space="preserve">Drafting hinge questions with distractors built on misconceptions, quickly and in multiple forms.</w:t>
      </w:r>
    </w:p>
    <w:p>
      <w:pPr>
        <w:pStyle w:val="ListParagraph"/>
        <w:numPr>
          <w:ilvl w:val="0"/>
          <w:numId w:val="3"/>
        </w:numPr>
        <w:bidi w:val="false"/>
        <w:spacing w:after="80" w:line="300"/>
        <w:jc w:val="left"/>
      </w:pPr>
      <w:r>
        <w:rPr>
          <w:rFonts w:ascii="Calibri" w:cs="Calibri" w:eastAsia="Calibri" w:hAnsi="Calibri"/>
          <w:sz w:val="22"/>
          <w:szCs w:val="22"/>
        </w:rPr>
        <w:t xml:space="preserve">Preparing a bank of feedback comments at the first three levels, for expected errors in a specific lesson.</w:t>
      </w:r>
    </w:p>
    <w:p>
      <w:pPr>
        <w:pStyle w:val="ListParagraph"/>
        <w:numPr>
          <w:ilvl w:val="0"/>
          <w:numId w:val="3"/>
        </w:numPr>
        <w:bidi w:val="false"/>
        <w:spacing w:after="80" w:line="300"/>
        <w:jc w:val="left"/>
      </w:pPr>
      <w:r>
        <w:rPr>
          <w:rFonts w:ascii="Calibri" w:cs="Calibri" w:eastAsia="Calibri" w:hAnsi="Calibri"/>
          <w:sz w:val="22"/>
          <w:szCs w:val="22"/>
        </w:rPr>
        <w:t xml:space="preserve">Rephrasing success criteria in simpler language suited to a particular class.</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Scientific accuracy.</w:t>
      </w:r>
      <w:r>
        <w:rPr>
          <w:rFonts w:ascii="Calibri" w:cs="Calibri" w:eastAsia="Calibri" w:hAnsi="Calibri"/>
          <w:sz w:val="22"/>
          <w:szCs w:val="22"/>
        </w:rPr>
        <w:t xml:space="preserve"> Claude may write a partly correct distractor so that the question has two answers, or write a «correct» answer that contains a misleading simplification. Example: the option «the particles vibrate faster» on its own, without mentioning that they move apart, may be considered correct by some markers and incomplete by others.</w:t>
      </w:r>
    </w:p>
    <w:p>
      <w:pPr>
        <w:pStyle w:val="ListParagraph"/>
        <w:numPr>
          <w:ilvl w:val="0"/>
          <w:numId w:val="3"/>
        </w:numPr>
        <w:bidi w:val="false"/>
        <w:spacing w:after="80" w:line="300"/>
        <w:jc w:val="left"/>
      </w:pPr>
      <w:r>
        <w:rPr>
          <w:rFonts w:ascii="Calibri" w:cs="Calibri" w:eastAsia="Calibri" w:hAnsi="Calibri"/>
          <w:b/>
          <w:bCs/>
          <w:sz w:val="22"/>
          <w:szCs w:val="22"/>
        </w:rPr>
        <w:t xml:space="preserve">That each distractor represents a real misconception.</w:t>
      </w:r>
      <w:r>
        <w:rPr>
          <w:rFonts w:ascii="Calibri" w:cs="Calibri" w:eastAsia="Calibri" w:hAnsi="Calibri"/>
          <w:sz w:val="22"/>
          <w:szCs w:val="22"/>
        </w:rPr>
        <w:t xml:space="preserve"> Claude may write a distractor that is wrong but does not express an idea that students actually hold, so it attracts no one and diagnoses nothing. Ask: have I heard a student say this? Do the books mention it?</w:t>
      </w:r>
    </w:p>
    <w:p>
      <w:pPr>
        <w:pStyle w:val="ListParagraph"/>
        <w:numPr>
          <w:ilvl w:val="0"/>
          <w:numId w:val="3"/>
        </w:numPr>
        <w:bidi w:val="false"/>
        <w:spacing w:after="80" w:line="300"/>
        <w:jc w:val="left"/>
      </w:pPr>
      <w:r>
        <w:rPr>
          <w:rFonts w:ascii="Calibri" w:cs="Calibri" w:eastAsia="Calibri" w:hAnsi="Calibri"/>
          <w:b/>
          <w:bCs/>
          <w:sz w:val="22"/>
          <w:szCs w:val="22"/>
        </w:rPr>
        <w:t xml:space="preserve">Research claims.</w:t>
      </w:r>
      <w:r>
        <w:rPr>
          <w:rFonts w:ascii="Calibri" w:cs="Calibri" w:eastAsia="Calibri" w:hAnsi="Calibri"/>
          <w:sz w:val="22"/>
          <w:szCs w:val="22"/>
        </w:rPr>
        <w:t xml:space="preserve"> If Claude cites an effect-size figure or attributes a finding to a researcher, do not accept it without going back to the source. This is especially important with Black and Wiliam and with Hattie.</w:t>
      </w:r>
    </w:p>
    <w:p>
      <w:pPr>
        <w:pStyle w:val="ListParagraph"/>
        <w:numPr>
          <w:ilvl w:val="0"/>
          <w:numId w:val="3"/>
        </w:numPr>
        <w:bidi w:val="false"/>
        <w:spacing w:after="80" w:line="300"/>
        <w:jc w:val="left"/>
      </w:pPr>
      <w:r>
        <w:rPr>
          <w:rFonts w:ascii="Calibri" w:cs="Calibri" w:eastAsia="Calibri" w:hAnsi="Calibri"/>
          <w:b/>
          <w:bCs/>
          <w:sz w:val="22"/>
          <w:szCs w:val="22"/>
        </w:rPr>
        <w:t xml:space="preserve">Language level.</w:t>
      </w:r>
      <w:r>
        <w:rPr>
          <w:rFonts w:ascii="Calibri" w:cs="Calibri" w:eastAsia="Calibri" w:hAnsi="Calibri"/>
          <w:sz w:val="22"/>
          <w:szCs w:val="22"/>
        </w:rPr>
        <w:t xml:space="preserve"> Is the wording suitable for a Grade 8 student? Does it contain words harder than the concept itself?</w:t>
      </w:r>
    </w:p>
    <w:p>
      <w:pPr>
        <w:pStyle w:val="ListParagraph"/>
        <w:numPr>
          <w:ilvl w:val="0"/>
          <w:numId w:val="3"/>
        </w:numPr>
        <w:bidi w:val="false"/>
        <w:spacing w:after="80" w:line="300"/>
        <w:jc w:val="left"/>
      </w:pPr>
      <w:r>
        <w:rPr>
          <w:rFonts w:ascii="Calibri" w:cs="Calibri" w:eastAsia="Calibri" w:hAnsi="Calibri"/>
          <w:b/>
          <w:bCs/>
          <w:sz w:val="22"/>
          <w:szCs w:val="22"/>
        </w:rPr>
        <w:t xml:space="preserve">The level of feedback.</w:t>
      </w:r>
      <w:r>
        <w:rPr>
          <w:rFonts w:ascii="Calibri" w:cs="Calibri" w:eastAsia="Calibri" w:hAnsi="Calibri"/>
          <w:sz w:val="22"/>
          <w:szCs w:val="22"/>
        </w:rPr>
        <w:t xml:space="preserve"> Many automated feedback drafts start with general praise of the person, or merely correct the answer. Classify each sentence in the draft by Hattie and Timperley's levels before adopting it.</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do not paste into Claude any work by a real student that can be identified: no name, no number, no photographed handwriting, and no details that reveal their identity. Use answers that you have composed, or copied after removing everything that points to their author, and keep to the Responsible AI Use Pledge you signed in the first week.</w:t>
      </w:r>
    </w:p>
    <w:p>
      <w:pPr>
        <w:pStyle w:val="Heading1"/>
        <w:bidi w:val="false"/>
        <w:spacing w:after="160" w:before="360"/>
        <w:jc w:val="left"/>
      </w:pPr>
      <w:r>
        <w:rPr>
          <w:rFonts w:ascii="Calibri" w:cs="Calibri" w:eastAsia="Calibri" w:hAnsi="Calibri"/>
          <w:b/>
          <w:bCs/>
          <w:color w:val="1F4E79"/>
          <w:sz w:val="30"/>
          <w:szCs w:val="30"/>
        </w:rPr>
        <w:t xml:space="preserve">9. From the classroom to action research</w:t>
      </w:r>
    </w:p>
    <w:p>
      <w:pPr>
        <w:bidi w:val="false"/>
        <w:spacing w:after="120" w:line="300"/>
        <w:jc w:val="left"/>
      </w:pPr>
      <w:r>
        <w:rPr>
          <w:rFonts w:ascii="Calibri" w:cs="Calibri" w:eastAsia="Calibri" w:hAnsi="Calibri"/>
          <w:sz w:val="22"/>
          <w:szCs w:val="22"/>
        </w:rPr>
        <w:t xml:space="preserve">The action research project (20% of the course assessment) starts this week. Action research is a cycle that the teacher carries out in their own class: they identify a problem, try out an intervention, gather evidence and reflect on the result. What is required in this course is that the problem be </w:t>
      </w:r>
      <w:r>
        <w:rPr>
          <w:rFonts w:ascii="Calibri" w:cs="Calibri" w:eastAsia="Calibri" w:hAnsi="Calibri"/>
          <w:b/>
          <w:bCs/>
          <w:sz w:val="22"/>
          <w:szCs w:val="22"/>
        </w:rPr>
        <w:t xml:space="preserve">an assessment problem</w:t>
      </w:r>
      <w:r>
        <w:rPr>
          <w:rFonts w:ascii="Calibri" w:cs="Calibri" w:eastAsia="Calibri" w:hAnsi="Calibri"/>
          <w:sz w:val="22"/>
          <w:szCs w:val="22"/>
        </w:rPr>
        <w:t xml:space="preserve">.</w:t>
      </w:r>
    </w:p>
    <w:p>
      <w:pPr>
        <w:bidi w:val="false"/>
        <w:spacing w:after="120" w:line="300"/>
        <w:jc w:val="left"/>
      </w:pPr>
      <w:r>
        <w:rPr>
          <w:rFonts w:ascii="Calibri" w:cs="Calibri" w:eastAsia="Calibri" w:hAnsi="Calibri"/>
          <w:sz w:val="22"/>
          <w:szCs w:val="22"/>
        </w:rPr>
        <w:t xml:space="preserve">Examples of valid assessment problems:</w:t>
      </w:r>
    </w:p>
    <w:p>
      <w:pPr>
        <w:pStyle w:val="ListParagraph"/>
        <w:numPr>
          <w:ilvl w:val="0"/>
          <w:numId w:val="3"/>
        </w:numPr>
        <w:bidi w:val="false"/>
        <w:spacing w:after="80" w:line="300"/>
        <w:jc w:val="left"/>
      </w:pPr>
      <w:r>
        <w:rPr>
          <w:rFonts w:ascii="Calibri" w:cs="Calibri" w:eastAsia="Calibri" w:hAnsi="Calibri"/>
          <w:sz w:val="22"/>
          <w:szCs w:val="22"/>
        </w:rPr>
        <w:t xml:space="preserve">«My students get good scores on short quizzes, then fail the same questions in the summative test».</w:t>
      </w:r>
    </w:p>
    <w:p>
      <w:pPr>
        <w:pStyle w:val="ListParagraph"/>
        <w:numPr>
          <w:ilvl w:val="0"/>
          <w:numId w:val="3"/>
        </w:numPr>
        <w:bidi w:val="false"/>
        <w:spacing w:after="80" w:line="300"/>
        <w:jc w:val="left"/>
      </w:pPr>
      <w:r>
        <w:rPr>
          <w:rFonts w:ascii="Calibri" w:cs="Calibri" w:eastAsia="Calibri" w:hAnsi="Calibri"/>
          <w:sz w:val="22"/>
          <w:szCs w:val="22"/>
        </w:rPr>
        <w:t xml:space="preserve">«I write detailed comments on homework, and the students do not read them».</w:t>
      </w:r>
    </w:p>
    <w:p>
      <w:pPr>
        <w:pStyle w:val="ListParagraph"/>
        <w:numPr>
          <w:ilvl w:val="0"/>
          <w:numId w:val="3"/>
        </w:numPr>
        <w:bidi w:val="false"/>
        <w:spacing w:after="80" w:line="300"/>
        <w:jc w:val="left"/>
      </w:pPr>
      <w:r>
        <w:rPr>
          <w:rFonts w:ascii="Calibri" w:cs="Calibri" w:eastAsia="Calibri" w:hAnsi="Calibri"/>
          <w:sz w:val="22"/>
          <w:szCs w:val="22"/>
        </w:rPr>
        <w:t xml:space="preserve">«I do not know whether the students have understood the lesson until after the test».</w:t>
      </w:r>
    </w:p>
    <w:p>
      <w:pPr>
        <w:bidi w:val="false"/>
        <w:spacing w:after="120" w:line="300"/>
        <w:jc w:val="left"/>
      </w:pPr>
      <w:r>
        <w:rPr>
          <w:rFonts w:ascii="Calibri" w:cs="Calibri" w:eastAsia="Calibri" w:hAnsi="Calibri"/>
          <w:sz w:val="22"/>
          <w:szCs w:val="22"/>
        </w:rPr>
        <w:t xml:space="preserve">Examples of problems that are not suitable for this project:</w:t>
      </w:r>
    </w:p>
    <w:p>
      <w:pPr>
        <w:pStyle w:val="ListParagraph"/>
        <w:numPr>
          <w:ilvl w:val="0"/>
          <w:numId w:val="3"/>
        </w:numPr>
        <w:bidi w:val="false"/>
        <w:spacing w:after="80" w:line="300"/>
        <w:jc w:val="left"/>
      </w:pPr>
      <w:r>
        <w:rPr>
          <w:rFonts w:ascii="Calibri" w:cs="Calibri" w:eastAsia="Calibri" w:hAnsi="Calibri"/>
          <w:sz w:val="22"/>
          <w:szCs w:val="22"/>
        </w:rPr>
        <w:t xml:space="preserve">«The students are not enthusiastic about the subject». This is a general motivation problem, unless you link it to a specific assessment practice.</w:t>
      </w:r>
    </w:p>
    <w:p>
      <w:pPr>
        <w:pStyle w:val="ListParagraph"/>
        <w:numPr>
          <w:ilvl w:val="0"/>
          <w:numId w:val="3"/>
        </w:numPr>
        <w:bidi w:val="false"/>
        <w:spacing w:after="80" w:line="300"/>
        <w:jc w:val="left"/>
      </w:pPr>
      <w:r>
        <w:rPr>
          <w:rFonts w:ascii="Calibri" w:cs="Calibri" w:eastAsia="Calibri" w:hAnsi="Calibri"/>
          <w:sz w:val="22"/>
          <w:szCs w:val="22"/>
        </w:rPr>
        <w:t xml:space="preserve">«The curriculum is long». This is a problem for which the teacher has no assessment intervention to solve it.</w:t>
      </w:r>
    </w:p>
    <w:p>
      <w:pPr>
        <w:bidi w:val="false"/>
        <w:spacing w:after="120" w:line="300"/>
        <w:jc w:val="left"/>
      </w:pPr>
      <w:r>
        <w:rPr>
          <w:rFonts w:ascii="Calibri" w:cs="Calibri" w:eastAsia="Calibri" w:hAnsi="Calibri"/>
          <w:sz w:val="22"/>
          <w:szCs w:val="22"/>
        </w:rPr>
        <w:t xml:space="preserve">A good problem is specific, occurs in a class you teach or are placed in, allows evidence to be gathered about it, and allows the teacher to try out an assessment intervention to address it. This week you write a statement of about 150 words, submit it in Week 3, and return to it in Week 14 for analysis and writing.</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teacher gives a short quiz every week, records its score in the gradebook and changes nothing in his teaching. Is this formative assessment? Justify your answer.</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 read in a presentation that «Black and Wiliam proved that formative assessment doubles achievement». How do you deal with this statement?</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Write a hinge question for a concept from your subject, and specify the misconception that each distractor represents, and what you will do if a quarter of the class or more chooses the same distractor.</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Classify the following comment by Hattie and Timperley's levels, then rewrite it to make it more useful: «Great work, you are an outstanding student, but watch out for mistakes».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Claude gave you a ready-made hinge question with four options. What three questions do you ask of each option before using it in class?</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Wiliam, D. (2017). Embedded Formative Assessment (2nd ed.). Solution Tree.</w:t>
      </w:r>
    </w:p>
    <w:p>
      <w:pPr>
        <w:bidi w:val="false"/>
        <w:spacing w:after="120" w:line="300"/>
        <w:jc w:val="left"/>
      </w:pPr>
      <w:r>
        <w:rPr>
          <w:rFonts w:ascii="Calibri" w:cs="Calibri" w:eastAsia="Calibri" w:hAnsi="Calibri"/>
          <w:sz w:val="22"/>
          <w:szCs w:val="22"/>
        </w:rPr>
        <w:t xml:space="preserve">The chapters on the five strategies, especially the strategy of designing tasks that elicit evidence of learning.</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Black, P., &amp; Wiliam, D. (1998). Assessment and classroom learning. Assessment in Education: Principles, Policy &amp; Practice, 5(1), 7–74.</w:t>
      </w:r>
    </w:p>
    <w:p>
      <w:pPr>
        <w:bidi w:val="false"/>
        <w:spacing w:after="120" w:line="300"/>
        <w:jc w:val="left"/>
      </w:pPr>
      <w:r>
        <w:rPr>
          <w:rFonts w:ascii="Calibri" w:cs="Calibri" w:eastAsia="Calibri" w:hAnsi="Calibri"/>
          <w:sz w:val="22"/>
          <w:szCs w:val="22"/>
        </w:rPr>
        <w:t xml:space="preserve">Hattie, J., &amp; Timperley, H. (2007). The power of feedback. Review of Educational Research, 77(1), 81–112.</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Brookhart, S. M. (2013). How to Create and Use Rubrics for Formative Assessment and Grading. ASCD.</w:t>
      </w:r>
    </w:p>
    <w:p>
      <w:pPr>
        <w:pStyle w:val="Heading2"/>
        <w:bidi w:val="false"/>
        <w:spacing w:after="120" w:before="240"/>
        <w:jc w:val="left"/>
      </w:pPr>
      <w:r>
        <w:rPr>
          <w:rFonts w:ascii="Calibri" w:cs="Calibri" w:eastAsia="Calibri" w:hAnsi="Calibri"/>
          <w:b/>
          <w:bCs/>
          <w:color w:val="2E75B6"/>
          <w:sz w:val="25"/>
          <w:szCs w:val="25"/>
        </w:rPr>
        <w:t xml:space="preserve">Critical reading (linked to AI)</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bidi w:val="false"/>
        <w:spacing w:after="120" w:line="300"/>
        <w:jc w:val="left"/>
      </w:pPr>
      <w:r>
        <w:rPr>
          <w:rFonts w:ascii="Calibri" w:cs="Calibri" w:eastAsia="Calibri" w:hAnsi="Calibri"/>
          <w:sz w:val="22"/>
          <w:szCs w:val="22"/>
        </w:rPr>
        <w:t xml:space="preserve">Guidance that emphasises that pedagogical judgement remains with the teacher, and that student data need protection when using AI tools.</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0"/>
        <w:gridCol w:w="4678"/>
      </w:tblGrid>
      <w:tr>
        <w:trPr>
          <w:cantSplit/>
          <w:tblHeader/>
        </w:trPr>
        <w:tc>
          <w:tcPr>
            <w:tcW w:type="dxa" w:w="4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this course</w:t>
            </w:r>
          </w:p>
        </w:tc>
        <w:tc>
          <w:tcPr>
            <w:tcW w:type="dxa" w:w="46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Equivalent term in the literature</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assessment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assessment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 assessment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Formative assessment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Summative assessment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Summative assessment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for learning</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for learning</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of learning</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of learning</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as learning</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Assessment as learning</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intention</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Learning intention</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criteria</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criteria</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Hinge question</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Hinge question</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Exit ticket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Exit ticket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Peer assessment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Peer assessment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Misconception</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Misconception</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multiple-choice question</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Diagnostic multiple-choice item</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Feedback</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Feedback</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Self-regulation</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Self-regulation</w:t>
            </w:r>
          </w:p>
        </w:tc>
      </w:tr>
      <w:tr>
        <w:trPr>
          <w:cantSplit/>
        </w:trPr>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w:t>
            </w:r>
          </w:p>
        </w:tc>
        <w:tc>
          <w:tcPr>
            <w:tcW w:type="dxa" w:w="4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Action research</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2: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Lecture Notes</dc:title>
  <dc:creator>Emad Adel Fraij</dc:creator>
  <cp:lastModifiedBy>Un-named</cp:lastModifiedBy>
  <cp:revision>1</cp:revision>
  <dcterms:created xsi:type="dcterms:W3CDTF">2026-10-15T04:05:59.965Z</dcterms:created>
  <dcterms:modified xsi:type="dcterms:W3CDTF">2026-10-15T04:05:59.965Z</dcterms:modified>
</cp:coreProperties>
</file>

<file path=docProps/custom.xml><?xml version="1.0" encoding="utf-8"?>
<Properties xmlns="http://schemas.openxmlformats.org/officeDocument/2006/custom-properties" xmlns:vt="http://schemas.openxmlformats.org/officeDocument/2006/docPropsVTypes"/>
</file>