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Week 3 — Validity: The Modern Concept and Sources of Evidence</w:t>
      </w:r>
    </w:p>
    <w:p>
      <w:pPr>
        <w:pBdr>
          <w:bottom w:val="single" w:color="1F4E79" w:sz="8" w:space="8"/>
        </w:pBdr>
        <w:bidi w:val="false"/>
        <w:spacing w:after="360"/>
        <w:jc w:val="center"/>
      </w:pPr>
      <w:r>
        <w:rPr>
          <w:rFonts w:ascii="Calibri" w:cs="Calibri" w:eastAsia="Calibri" w:hAnsi="Calibri"/>
          <w:color w:val="595959"/>
          <w:sz w:val="22"/>
          <w:szCs w:val="22"/>
        </w:rPr>
        <w:t xml:space="preserve">Lecture notes for the week · Course: Educational Measurement and Evaluation · Postgraduate Professional Diploma in Teaching</w:t>
      </w:r>
    </w:p>
    <w:p>
      <w:pPr>
        <w:pStyle w:val="Heading1"/>
        <w:bidi w:val="false"/>
        <w:spacing w:after="160" w:before="360"/>
        <w:jc w:val="left"/>
      </w:pPr>
      <w:r>
        <w:rPr>
          <w:rFonts w:ascii="Calibri" w:cs="Calibri" w:eastAsia="Calibri" w:hAnsi="Calibri"/>
          <w:b/>
          <w:bCs/>
          <w:color w:val="1F4E79"/>
          <w:sz w:val="30"/>
          <w:szCs w:val="30"/>
        </w:rPr>
        <w:t xml:space="preserve">Learning outcomes for this week</w:t>
      </w:r>
    </w:p>
    <w:p>
      <w:pPr>
        <w:bidi w:val="false"/>
        <w:spacing w:after="120" w:line="300"/>
        <w:jc w:val="left"/>
      </w:pPr>
      <w:r>
        <w:rPr>
          <w:rFonts w:ascii="Calibri" w:cs="Calibri" w:eastAsia="Calibri" w:hAnsi="Calibri"/>
          <w:sz w:val="22"/>
          <w:szCs w:val="22"/>
        </w:rPr>
        <w:t xml:space="preserve">By the end of this week, the student will be able to:</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Explain the modern concept of validity as a judgement on the interpretation and use of scores, not a fixed property of the test.</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Distinguish the five sources of validity evidence, and give a classroom example of each source.</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Calculate the actual weight of each learning outcome and each cognitive level in a test, and compare it with the test blueprint.</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Calculate the content validity index from expert ratings, and interpret it using the criteria of Lynn and of Polit and Beck.</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Recognise the main threats to validity, including those linked to the use of AI in homework and in generating tests.</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Use Claude as a critic to classify items, then compare its classification with the teacher's and adjudicate between them with documented justifications.</w:t>
      </w:r>
    </w:p>
    <w:p>
      <w:pPr>
        <w:bidi w:val="false"/>
        <w:spacing w:after="120" w:line="300"/>
        <w:jc w:val="left"/>
      </w:pPr>
      <w:r>
        <w:rPr>
          <w:rFonts w:ascii="Calibri" w:cs="Calibri" w:eastAsia="Calibri" w:hAnsi="Calibri"/>
          <w:sz w:val="22"/>
          <w:szCs w:val="22"/>
        </w:rPr>
        <w:t xml:space="preserve">This week serves Course Learning Outcomes 1 and 3, and it is the theoretical foundation for the test blueprint in Stage 1 of the integrated test project (Week 6).</w:t>
      </w:r>
    </w:p>
    <w:p>
      <w:pPr>
        <w:pStyle w:val="Heading1"/>
        <w:bidi w:val="false"/>
        <w:spacing w:after="160" w:before="360"/>
        <w:jc w:val="left"/>
      </w:pPr>
      <w:r>
        <w:rPr>
          <w:rFonts w:ascii="Calibri" w:cs="Calibri" w:eastAsia="Calibri" w:hAnsi="Calibri"/>
          <w:b/>
          <w:bCs/>
          <w:color w:val="1F4E79"/>
          <w:sz w:val="30"/>
          <w:szCs w:val="30"/>
        </w:rPr>
        <w:t xml:space="preserve">1. An opening situation: a high score that does not answer our question</w:t>
      </w:r>
    </w:p>
    <w:p>
      <w:pPr>
        <w:bidi w:val="false"/>
        <w:spacing w:after="120" w:line="300"/>
        <w:jc w:val="left"/>
      </w:pPr>
      <w:r>
        <w:rPr>
          <w:rFonts w:ascii="Calibri" w:cs="Calibri" w:eastAsia="Calibri" w:hAnsi="Calibri"/>
          <w:sz w:val="22"/>
          <w:szCs w:val="22"/>
        </w:rPr>
        <w:t xml:space="preserve">A Grade 8 student scored 28 out of 30 on the test for the unit «Matter and Its Changes». The teacher wrote in her report: «Mastered the unit». Is this judgement supported by the evidence?</w:t>
      </w:r>
    </w:p>
    <w:p>
      <w:pPr>
        <w:bidi w:val="false"/>
        <w:spacing w:after="120" w:line="300"/>
        <w:jc w:val="left"/>
      </w:pPr>
      <w:r>
        <w:rPr>
          <w:rFonts w:ascii="Calibri" w:cs="Calibri" w:eastAsia="Calibri" w:hAnsi="Calibri"/>
          <w:sz w:val="22"/>
          <w:szCs w:val="22"/>
        </w:rPr>
        <w:t xml:space="preserve">The answer depends on what the test actually measures. This week's test does not include a single item on the law of conservation of mass, even though it is one of the unit's six outcomes. So the score of 28 says nothing about the student's ability to apply this law. And half of the test's marks go to recall items, so a high score may indicate good memorisation more than it indicates understanding.</w:t>
      </w:r>
    </w:p>
    <w:p>
      <w:pPr>
        <w:bidi w:val="false"/>
        <w:spacing w:after="120" w:line="300"/>
        <w:jc w:val="left"/>
      </w:pPr>
      <w:r>
        <w:rPr>
          <w:rFonts w:ascii="Calibri" w:cs="Calibri" w:eastAsia="Calibri" w:hAnsi="Calibri"/>
          <w:sz w:val="22"/>
          <w:szCs w:val="22"/>
        </w:rPr>
        <w:t xml:space="preserve">The problem here is not in the marking or in the calculation. The problem is one of </w:t>
      </w:r>
      <w:r>
        <w:rPr>
          <w:rFonts w:ascii="Calibri" w:cs="Calibri" w:eastAsia="Calibri" w:hAnsi="Calibri"/>
          <w:b/>
          <w:bCs/>
          <w:sz w:val="22"/>
          <w:szCs w:val="22"/>
        </w:rPr>
        <w:t xml:space="preserve">validity</w:t>
      </w:r>
      <w:r>
        <w:rPr>
          <w:rFonts w:ascii="Calibri" w:cs="Calibri" w:eastAsia="Calibri" w:hAnsi="Calibri"/>
          <w:sz w:val="22"/>
          <w:szCs w:val="22"/>
        </w:rPr>
        <w:t xml:space="preserve">: are we entitled to interpret the score in the way we interpreted it, and to build on it the decision we built?</w:t>
      </w:r>
    </w:p>
    <w:p>
      <w:pPr>
        <w:pStyle w:val="Heading1"/>
        <w:bidi w:val="false"/>
        <w:spacing w:after="160" w:before="360"/>
        <w:jc w:val="left"/>
      </w:pPr>
      <w:r>
        <w:rPr>
          <w:rFonts w:ascii="Calibri" w:cs="Calibri" w:eastAsia="Calibri" w:hAnsi="Calibri"/>
          <w:b/>
          <w:bCs/>
          <w:color w:val="1F4E79"/>
          <w:sz w:val="30"/>
          <w:szCs w:val="30"/>
        </w:rPr>
        <w:t xml:space="preserve">2. The modern concept of validity</w:t>
      </w:r>
    </w:p>
    <w:p>
      <w:pPr>
        <w:pStyle w:val="Heading2"/>
        <w:bidi w:val="false"/>
        <w:spacing w:after="120" w:before="240"/>
        <w:jc w:val="left"/>
      </w:pPr>
      <w:r>
        <w:rPr>
          <w:rFonts w:ascii="Calibri" w:cs="Calibri" w:eastAsia="Calibri" w:hAnsi="Calibri"/>
          <w:b/>
          <w:bCs/>
          <w:color w:val="2E75B6"/>
          <w:sz w:val="25"/>
          <w:szCs w:val="25"/>
        </w:rPr>
        <w:t xml:space="preserve">2.1 From «validity of the test» to «validity of the interpretation»</w:t>
      </w:r>
    </w:p>
    <w:p>
      <w:pPr>
        <w:bidi w:val="false"/>
        <w:spacing w:after="120" w:line="300"/>
        <w:jc w:val="left"/>
      </w:pPr>
      <w:r>
        <w:rPr>
          <w:rFonts w:ascii="Calibri" w:cs="Calibri" w:eastAsia="Calibri" w:hAnsi="Calibri"/>
          <w:sz w:val="22"/>
          <w:szCs w:val="22"/>
        </w:rPr>
        <w:t xml:space="preserve">Many teachers learned an old definition: «A valid test is one that measures what it was designed to measure». Along with it they learned separate types: content validity, criterion-related validity and construct validity. This definition is useful as a start, but it implies that validity is a fixed property that the test carries wherever it goes.</w:t>
      </w:r>
    </w:p>
    <w:p>
      <w:pPr>
        <w:bidi w:val="false"/>
        <w:spacing w:after="120" w:line="300"/>
        <w:jc w:val="left"/>
      </w:pPr>
      <w:r>
        <w:rPr>
          <w:rFonts w:ascii="Calibri" w:cs="Calibri" w:eastAsia="Calibri" w:hAnsi="Calibri"/>
          <w:sz w:val="22"/>
          <w:szCs w:val="22"/>
        </w:rPr>
        <w:t xml:space="preserve">Messick (1989) changed this view. He defined validity as an integrated evaluative judgement of the degree to which evidence and theoretical rationales support the interpretations and uses of scores. Four practical consequences follow from this definition:</w:t>
      </w:r>
    </w:p>
    <w:p>
      <w:pPr>
        <w:pStyle w:val="ListParagraph"/>
        <w:numPr>
          <w:ilvl w:val="0"/>
          <w:numId w:val="3"/>
        </w:numPr>
        <w:bidi w:val="false"/>
        <w:spacing w:after="80" w:line="300"/>
        <w:jc w:val="left"/>
      </w:pPr>
      <w:r>
        <w:rPr>
          <w:rFonts w:ascii="Calibri" w:cs="Calibri" w:eastAsia="Calibri" w:hAnsi="Calibri"/>
          <w:b/>
          <w:bCs/>
          <w:sz w:val="22"/>
          <w:szCs w:val="22"/>
        </w:rPr>
        <w:t xml:space="preserve">Validity belongs to the interpretation, not the tool.</w:t>
      </w:r>
      <w:r>
        <w:rPr>
          <w:rFonts w:ascii="Calibri" w:cs="Calibri" w:eastAsia="Calibri" w:hAnsi="Calibri"/>
          <w:sz w:val="22"/>
          <w:szCs w:val="22"/>
        </w:rPr>
        <w:t xml:space="preserve"> The same test may be valid for one purpose and not valid for another. A short recall quiz may be suitable for a quick review at the start of the lesson, and not suitable for judging mastery of the unit.</w:t>
      </w:r>
    </w:p>
    <w:p>
      <w:pPr>
        <w:pStyle w:val="ListParagraph"/>
        <w:numPr>
          <w:ilvl w:val="0"/>
          <w:numId w:val="3"/>
        </w:numPr>
        <w:bidi w:val="false"/>
        <w:spacing w:after="80" w:line="300"/>
        <w:jc w:val="left"/>
      </w:pPr>
      <w:r>
        <w:rPr>
          <w:rFonts w:ascii="Calibri" w:cs="Calibri" w:eastAsia="Calibri" w:hAnsi="Calibri"/>
          <w:b/>
          <w:bCs/>
          <w:sz w:val="22"/>
          <w:szCs w:val="22"/>
        </w:rPr>
        <w:t xml:space="preserve">Validity is a single concept with multiple sources of evidence.</w:t>
      </w:r>
      <w:r>
        <w:rPr>
          <w:rFonts w:ascii="Calibri" w:cs="Calibri" w:eastAsia="Calibri" w:hAnsi="Calibri"/>
          <w:sz w:val="22"/>
          <w:szCs w:val="22"/>
        </w:rPr>
        <w:t xml:space="preserve"> We no longer speak of «types» of validity, but of «sources» of evidence that support a single interpretation.</w:t>
      </w:r>
    </w:p>
    <w:p>
      <w:pPr>
        <w:pStyle w:val="ListParagraph"/>
        <w:numPr>
          <w:ilvl w:val="0"/>
          <w:numId w:val="3"/>
        </w:numPr>
        <w:bidi w:val="false"/>
        <w:spacing w:after="80" w:line="300"/>
        <w:jc w:val="left"/>
      </w:pPr>
      <w:r>
        <w:rPr>
          <w:rFonts w:ascii="Calibri" w:cs="Calibri" w:eastAsia="Calibri" w:hAnsi="Calibri"/>
          <w:b/>
          <w:bCs/>
          <w:sz w:val="22"/>
          <w:szCs w:val="22"/>
        </w:rPr>
        <w:t xml:space="preserve">Validity is a matter of degree.</w:t>
      </w:r>
      <w:r>
        <w:rPr>
          <w:rFonts w:ascii="Calibri" w:cs="Calibri" w:eastAsia="Calibri" w:hAnsi="Calibri"/>
          <w:sz w:val="22"/>
          <w:szCs w:val="22"/>
        </w:rPr>
        <w:t xml:space="preserve"> We do not say «valid» or «not valid»; we say that the evidence supports the interpretation strongly or weakly.</w:t>
      </w:r>
    </w:p>
    <w:p>
      <w:pPr>
        <w:pStyle w:val="ListParagraph"/>
        <w:numPr>
          <w:ilvl w:val="0"/>
          <w:numId w:val="3"/>
        </w:numPr>
        <w:bidi w:val="false"/>
        <w:spacing w:after="80" w:line="300"/>
        <w:jc w:val="left"/>
      </w:pPr>
      <w:r>
        <w:rPr>
          <w:rFonts w:ascii="Calibri" w:cs="Calibri" w:eastAsia="Calibri" w:hAnsi="Calibri"/>
          <w:b/>
          <w:bCs/>
          <w:sz w:val="22"/>
          <w:szCs w:val="22"/>
        </w:rPr>
        <w:t xml:space="preserve">Consequences are part of validity.</w:t>
      </w:r>
      <w:r>
        <w:rPr>
          <w:rFonts w:ascii="Calibri" w:cs="Calibri" w:eastAsia="Calibri" w:hAnsi="Calibri"/>
          <w:sz w:val="22"/>
          <w:szCs w:val="22"/>
        </w:rPr>
        <w:t xml:space="preserve"> If the test pushes students to memorise instead of understanding, this is a consequence that bears on the validity of its use.</w:t>
      </w:r>
    </w:p>
    <w:p>
      <w:pPr>
        <w:bidi w:val="false"/>
        <w:spacing w:after="120" w:line="300"/>
        <w:jc w:val="left"/>
      </w:pPr>
      <w:r>
        <w:rPr>
          <w:rFonts w:ascii="Calibri" w:cs="Calibri" w:eastAsia="Calibri" w:hAnsi="Calibri"/>
          <w:sz w:val="22"/>
          <w:szCs w:val="22"/>
        </w:rPr>
        <w:t xml:space="preserve">The international Standards for Educational and Psychological Testing (2014) adopted this unified view, and they are the reference adopted by this course.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4"/>
        <w:gridCol w:w="6134"/>
      </w:tblGrid>
      <w:tr>
        <w:trPr>
          <w:cantSplit/>
          <w:tblHeader/>
        </w:trPr>
        <w:tc>
          <w:tcPr>
            <w:tcW w:type="dxa" w:w="35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traditional view</w:t>
            </w:r>
          </w:p>
        </w:tc>
        <w:tc>
          <w:tcPr>
            <w:tcW w:type="dxa" w:w="61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modern view</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Validity is a property of the test</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Validity is a judgement on the interpretation and use of scores</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Three separate types of validity</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One concept and five sources of evidence</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test is valid or not valid</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evidence supports the interpretation to some degree</w:t>
            </w:r>
          </w:p>
        </w:tc>
      </w:tr>
      <w:tr>
        <w:trPr>
          <w:cantSplit/>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Consequences are outside measurement</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Consequences are part of the judgement on use</w:t>
            </w:r>
          </w:p>
        </w:tc>
      </w:tr>
    </w:tbl>
    <w:p>
      <w:pPr>
        <w:spacing w:after="120"/>
      </w:pPr>
    </w:p>
    <w:p>
      <w:pPr>
        <w:pStyle w:val="Heading2"/>
        <w:bidi w:val="false"/>
        <w:spacing w:after="120" w:before="240"/>
        <w:jc w:val="left"/>
      </w:pPr>
      <w:r>
        <w:rPr>
          <w:rFonts w:ascii="Calibri" w:cs="Calibri" w:eastAsia="Calibri" w:hAnsi="Calibri"/>
          <w:b/>
          <w:bCs/>
          <w:color w:val="2E75B6"/>
          <w:sz w:val="25"/>
          <w:szCs w:val="25"/>
        </w:rPr>
        <w:t xml:space="preserve">2.2 Validity is an argument: Kane's approach in plain language</w:t>
      </w:r>
    </w:p>
    <w:p>
      <w:pPr>
        <w:bidi w:val="false"/>
        <w:spacing w:after="120" w:line="300"/>
        <w:jc w:val="left"/>
      </w:pPr>
      <w:r>
        <w:rPr>
          <w:rFonts w:ascii="Calibri" w:cs="Calibri" w:eastAsia="Calibri" w:hAnsi="Calibri"/>
          <w:sz w:val="22"/>
          <w:szCs w:val="22"/>
        </w:rPr>
        <w:t xml:space="preserve">Kane (2013) offered a practical way of applying this concept, which he called the «argument-based approach». Its idea is that every interpretation of a score is a chain of claims, and every link in it needs evidence. The chain is only as strong as its weakest link.</w:t>
      </w:r>
    </w:p>
    <w:p>
      <w:pPr>
        <w:bidi w:val="false"/>
        <w:spacing w:after="120" w:line="300"/>
        <w:jc w:val="left"/>
      </w:pPr>
      <w:r>
        <w:rPr>
          <w:rFonts w:ascii="Calibri" w:cs="Calibri" w:eastAsia="Calibri" w:hAnsi="Calibri"/>
          <w:sz w:val="22"/>
          <w:szCs w:val="22"/>
        </w:rPr>
        <w:t xml:space="preserve">Take the student with the score of 28 out of 30. The interpretation «She has mastered the unit and moves on to the next unit» passes through four links:</w:t>
      </w:r>
    </w:p>
    <w:p>
      <w:pPr>
        <w:pStyle w:val="ListParagraph"/>
        <w:keepNext/>
        <w:numPr>
          <w:ilvl w:val="0"/>
          <w:numId w:val="4"/>
        </w:numPr>
        <w:bidi w:val="false"/>
        <w:spacing w:after="60" w:before="80" w:line="300"/>
        <w:jc w:val="left"/>
      </w:pPr>
      <w:r>
        <w:rPr>
          <w:rFonts w:ascii="Calibri" w:cs="Calibri" w:eastAsia="Calibri" w:hAnsi="Calibri"/>
          <w:b/>
          <w:bCs/>
          <w:sz w:val="22"/>
          <w:szCs w:val="22"/>
        </w:rPr>
        <w:t xml:space="preserve">Scoring:</w:t>
      </w:r>
      <w:r>
        <w:rPr>
          <w:rFonts w:ascii="Calibri" w:cs="Calibri" w:eastAsia="Calibri" w:hAnsi="Calibri"/>
          <w:sz w:val="22"/>
          <w:szCs w:val="22"/>
        </w:rPr>
        <w:t xml:space="preserve"> the score of 28 was calculated accurately, and the key and the rubric are correct.</w:t>
      </w:r>
    </w:p>
    <w:p>
      <w:pPr>
        <w:pStyle w:val="ListParagraph"/>
        <w:keepNext/>
        <w:numPr>
          <w:ilvl w:val="0"/>
          <w:numId w:val="4"/>
        </w:numPr>
        <w:bidi w:val="false"/>
        <w:spacing w:after="60" w:before="80" w:line="300"/>
        <w:jc w:val="left"/>
      </w:pPr>
      <w:r>
        <w:rPr>
          <w:rFonts w:ascii="Calibri" w:cs="Calibri" w:eastAsia="Calibri" w:hAnsi="Calibri"/>
          <w:b/>
          <w:bCs/>
          <w:sz w:val="22"/>
          <w:szCs w:val="22"/>
        </w:rPr>
        <w:t xml:space="preserve">Generalisation:</w:t>
      </w:r>
      <w:r>
        <w:rPr>
          <w:rFonts w:ascii="Calibri" w:cs="Calibri" w:eastAsia="Calibri" w:hAnsi="Calibri"/>
          <w:sz w:val="22"/>
          <w:szCs w:val="22"/>
        </w:rPr>
        <w:t xml:space="preserve"> if the student took another test made of items of the same type and level, she would get a similar score. This is what reliability measures in Week 4.</w:t>
      </w:r>
    </w:p>
    <w:p>
      <w:pPr>
        <w:pStyle w:val="ListParagraph"/>
        <w:keepNext/>
        <w:numPr>
          <w:ilvl w:val="0"/>
          <w:numId w:val="4"/>
        </w:numPr>
        <w:bidi w:val="false"/>
        <w:spacing w:after="60" w:before="80" w:line="300"/>
        <w:jc w:val="left"/>
      </w:pPr>
      <w:r>
        <w:rPr>
          <w:rFonts w:ascii="Calibri" w:cs="Calibri" w:eastAsia="Calibri" w:hAnsi="Calibri"/>
          <w:b/>
          <w:bCs/>
          <w:sz w:val="22"/>
          <w:szCs w:val="22"/>
        </w:rPr>
        <w:t xml:space="preserve">Extrapolation:</w:t>
      </w:r>
      <w:r>
        <w:rPr>
          <w:rFonts w:ascii="Calibri" w:cs="Calibri" w:eastAsia="Calibri" w:hAnsi="Calibri"/>
          <w:sz w:val="22"/>
          <w:szCs w:val="22"/>
        </w:rPr>
        <w:t xml:space="preserve"> her performance on these items represents her performance on all the unit's outcomes, not just on part of them.</w:t>
      </w:r>
    </w:p>
    <w:p>
      <w:pPr>
        <w:pStyle w:val="ListParagraph"/>
        <w:keepNext/>
        <w:numPr>
          <w:ilvl w:val="0"/>
          <w:numId w:val="4"/>
        </w:numPr>
        <w:bidi w:val="false"/>
        <w:spacing w:after="60" w:before="80" w:line="300"/>
        <w:jc w:val="left"/>
      </w:pPr>
      <w:r>
        <w:rPr>
          <w:rFonts w:ascii="Calibri" w:cs="Calibri" w:eastAsia="Calibri" w:hAnsi="Calibri"/>
          <w:b/>
          <w:bCs/>
          <w:sz w:val="22"/>
          <w:szCs w:val="22"/>
        </w:rPr>
        <w:t xml:space="preserve">Decision:</w:t>
      </w:r>
      <w:r>
        <w:rPr>
          <w:rFonts w:ascii="Calibri" w:cs="Calibri" w:eastAsia="Calibri" w:hAnsi="Calibri"/>
          <w:sz w:val="22"/>
          <w:szCs w:val="22"/>
        </w:rPr>
        <w:t xml:space="preserve"> the score is sufficient for the decision to move on, and the decision has no unintended consequences.</w:t>
      </w:r>
    </w:p>
    <w:p>
      <w:pPr>
        <w:bidi w:val="false"/>
        <w:spacing w:after="120" w:line="300"/>
        <w:jc w:val="left"/>
      </w:pPr>
      <w:r>
        <w:rPr>
          <w:rFonts w:ascii="Calibri" w:cs="Calibri" w:eastAsia="Calibri" w:hAnsi="Calibri"/>
          <w:sz w:val="22"/>
          <w:szCs w:val="22"/>
        </w:rPr>
        <w:t xml:space="preserve">In our example the third link breaks. The test does not cover an entire outcome, and represents the Reasoning level with only one item. So the score remains arithmetically correct, but the interpretation built on it goes beyond what the evidence supports.</w:t>
      </w:r>
    </w:p>
    <w:p>
      <w:pPr>
        <w:bidi w:val="false"/>
        <w:spacing w:after="120" w:line="300"/>
        <w:jc w:val="left"/>
      </w:pPr>
      <w:r>
        <w:rPr>
          <w:rFonts w:ascii="Calibri" w:cs="Calibri" w:eastAsia="Calibri" w:hAnsi="Calibri"/>
          <w:sz w:val="22"/>
          <w:szCs w:val="22"/>
        </w:rPr>
        <w:t xml:space="preserve">The practical benefit of this approach: before you gather any evidence, write down the interpretation you want to build on the score, then ask: which link is weakest? That is where you start.</w:t>
      </w:r>
    </w:p>
    <w:p>
      <w:pPr>
        <w:pStyle w:val="Heading1"/>
        <w:bidi w:val="false"/>
        <w:spacing w:after="160" w:before="360"/>
        <w:jc w:val="left"/>
      </w:pPr>
      <w:r>
        <w:rPr>
          <w:rFonts w:ascii="Calibri" w:cs="Calibri" w:eastAsia="Calibri" w:hAnsi="Calibri"/>
          <w:b/>
          <w:bCs/>
          <w:color w:val="1F4E79"/>
          <w:sz w:val="30"/>
          <w:szCs w:val="30"/>
        </w:rPr>
        <w:t xml:space="preserve">3. The five sources of validity evidence</w:t>
      </w:r>
    </w:p>
    <w:p>
      <w:pPr>
        <w:bidi w:val="false"/>
        <w:spacing w:after="120" w:line="300"/>
        <w:jc w:val="left"/>
      </w:pPr>
      <w:r>
        <w:rPr>
          <w:rFonts w:ascii="Calibri" w:cs="Calibri" w:eastAsia="Calibri" w:hAnsi="Calibri"/>
          <w:sz w:val="22"/>
          <w:szCs w:val="22"/>
        </w:rPr>
        <w:t xml:space="preserve">The international Standards (2014) classify validity evidence into five sources. The teacher is not required to gather all of them for every classroom test, but to know which of them matter most for the decision they are making.</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015"/>
        <w:gridCol w:w="4017"/>
      </w:tblGrid>
      <w:tr>
        <w:trPr>
          <w:cantSplit/>
          <w:tblHeader/>
        </w:trPr>
        <w:tc>
          <w:tcPr>
            <w:tcW w:type="dxa" w:w="16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Source</w:t>
            </w:r>
          </w:p>
        </w:tc>
        <w:tc>
          <w:tcPr>
            <w:tcW w:type="dxa" w:w="40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question it answers</w:t>
            </w:r>
          </w:p>
        </w:tc>
        <w:tc>
          <w:tcPr>
            <w:tcW w:type="dxa" w:w="40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Classroom example</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Content</w:t>
            </w:r>
          </w:p>
        </w:tc>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 the items represent the intended outcomes and levels in a balanced way?</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Comparing the unit test with the test blueprint, and having department colleagues review the items</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Response processes</w:t>
            </w:r>
          </w:p>
        </w:tc>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When answering, do students think in the way the item assumes?</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You ask three students to explain aloud how they answered a reasoning item, and discover that one of them answered with a memorised sentence</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Internal structure</w:t>
            </w:r>
          </w:p>
        </w:tc>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 the items relate to one another as the interpretation expects?</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Item analysis (Week 11): an item whose correlation with the total score is negative is not consistent with the rest of the test</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Relations to other variables</w:t>
            </w:r>
          </w:p>
        </w:tc>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 the scores relate to other measures in the expected way?</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Students who score high on the unit test perform better in the practical experiment of the same unit</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Consequences of testing</w:t>
            </w:r>
          </w:p>
        </w:tc>
        <w:tc>
          <w:tcPr>
            <w:tcW w:type="dxa" w:w="40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Does the use of the scores lead to what we intended, without harmful effects?</w:t>
            </w:r>
          </w:p>
        </w:tc>
        <w:tc>
          <w:tcPr>
            <w:tcW w:type="dxa" w:w="4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recall-based test pushes students to memorise definitions before every test, and their interest in explanation declines</w:t>
            </w:r>
          </w:p>
        </w:tc>
      </w:tr>
    </w:tbl>
    <w:p>
      <w:pPr>
        <w:spacing w:after="120"/>
      </w:pPr>
    </w:p>
    <w:p>
      <w:pPr>
        <w:bidi w:val="false"/>
        <w:spacing w:after="120" w:line="300"/>
        <w:jc w:val="left"/>
      </w:pPr>
      <w:r>
        <w:rPr>
          <w:rFonts w:ascii="Calibri" w:cs="Calibri" w:eastAsia="Calibri" w:hAnsi="Calibri"/>
          <w:sz w:val="22"/>
          <w:szCs w:val="22"/>
        </w:rPr>
        <w:t xml:space="preserve">This week focuses on the first source, because it is the source for which the teacher has all the tools before the test is administered. We return to internal-structure evidence in Week 11; Week 4 deals with reliability as a necessary condition for validity, and evidence of consequences and fairness comes in Week 5.</w:t>
      </w:r>
    </w:p>
    <w:p>
      <w:pPr>
        <w:pStyle w:val="Heading1"/>
        <w:bidi w:val="false"/>
        <w:spacing w:after="160" w:before="360"/>
        <w:jc w:val="left"/>
      </w:pPr>
      <w:r>
        <w:rPr>
          <w:rFonts w:ascii="Calibri" w:cs="Calibri" w:eastAsia="Calibri" w:hAnsi="Calibri"/>
          <w:b/>
          <w:bCs/>
          <w:color w:val="1F4E79"/>
          <w:sz w:val="30"/>
          <w:szCs w:val="30"/>
        </w:rPr>
        <w:t xml:space="preserve">4. Content evidence: alignment between the test and its outcomes</w:t>
      </w:r>
    </w:p>
    <w:p>
      <w:pPr>
        <w:pStyle w:val="Heading2"/>
        <w:bidi w:val="false"/>
        <w:spacing w:after="120" w:before="240"/>
        <w:jc w:val="left"/>
      </w:pPr>
      <w:r>
        <w:rPr>
          <w:rFonts w:ascii="Calibri" w:cs="Calibri" w:eastAsia="Calibri" w:hAnsi="Calibri"/>
          <w:b/>
          <w:bCs/>
          <w:color w:val="2E75B6"/>
          <w:sz w:val="25"/>
          <w:szCs w:val="25"/>
        </w:rPr>
        <w:t xml:space="preserve">4.1 The test blueprint versus the actual test</w:t>
      </w:r>
    </w:p>
    <w:p>
      <w:pPr>
        <w:bidi w:val="false"/>
        <w:spacing w:after="120" w:line="300"/>
        <w:jc w:val="left"/>
      </w:pPr>
      <w:r>
        <w:rPr>
          <w:rFonts w:ascii="Calibri" w:cs="Calibri" w:eastAsia="Calibri" w:hAnsi="Calibri"/>
          <w:sz w:val="22"/>
          <w:szCs w:val="22"/>
        </w:rPr>
        <w:t xml:space="preserve">The test blueprint is the plan: the outcomes the test must measure, the weight of each, and the distribution of cognitive levels. The actual test is the execution. And alignment is the degree of match between the plan and the execution.</w:t>
      </w:r>
    </w:p>
    <w:p>
      <w:pPr>
        <w:bidi w:val="false"/>
        <w:spacing w:after="120" w:line="300"/>
        <w:jc w:val="left"/>
      </w:pPr>
      <w:r>
        <w:rPr>
          <w:rFonts w:ascii="Calibri" w:cs="Calibri" w:eastAsia="Calibri" w:hAnsi="Calibri"/>
          <w:sz w:val="22"/>
          <w:szCs w:val="22"/>
        </w:rPr>
        <w:t xml:space="preserve">The common problem is that the teacher prepares the blueprint and then writes the items without referring to it, so they write what is easy to write. And the easiest is always recall items on the first lessons of the unit. That is why we need to check alignment after writing the test, not only before.</w:t>
      </w:r>
    </w:p>
    <w:p>
      <w:pPr>
        <w:pStyle w:val="Heading2"/>
        <w:bidi w:val="false"/>
        <w:spacing w:after="120" w:before="240"/>
        <w:jc w:val="left"/>
      </w:pPr>
      <w:r>
        <w:rPr>
          <w:rFonts w:ascii="Calibri" w:cs="Calibri" w:eastAsia="Calibri" w:hAnsi="Calibri"/>
          <w:b/>
          <w:bCs/>
          <w:color w:val="2E75B6"/>
          <w:sz w:val="25"/>
          <w:szCs w:val="25"/>
        </w:rPr>
        <w:t xml:space="preserve">4.2 Webb's alignment criteria</w:t>
      </w:r>
    </w:p>
    <w:p>
      <w:pPr>
        <w:bidi w:val="false"/>
        <w:spacing w:after="120" w:line="300"/>
        <w:jc w:val="left"/>
      </w:pPr>
      <w:r>
        <w:rPr>
          <w:rFonts w:ascii="Calibri" w:cs="Calibri" w:eastAsia="Calibri" w:hAnsi="Calibri"/>
          <w:sz w:val="22"/>
          <w:szCs w:val="22"/>
        </w:rPr>
        <w:t xml:space="preserve">Webb (1997) proposed several criteria for alignment, of which four are the best known in use. We use them here in a simplified form suited to the classroom test:</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9"/>
        <w:gridCol w:w="3904"/>
        <w:gridCol w:w="3905"/>
      </w:tblGrid>
      <w:tr>
        <w:trPr>
          <w:cantSplit/>
          <w:tblHeader/>
        </w:trPr>
        <w:tc>
          <w:tcPr>
            <w:tcW w:type="dxa" w:w="18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Criterion</w:t>
            </w:r>
          </w:p>
        </w:tc>
        <w:tc>
          <w:tcPr>
            <w:tcW w:type="dxa" w:w="39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simple question</w:t>
            </w:r>
          </w:p>
        </w:tc>
        <w:tc>
          <w:tcPr>
            <w:tcW w:type="dxa" w:w="39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Its counterpart in the Excel file</w:t>
            </w:r>
          </w:p>
        </w:tc>
      </w:tr>
      <w:tr>
        <w:trPr>
          <w:cantSplit/>
        </w:trPr>
        <w:tc>
          <w:tcPr>
            <w:tcW w:type="dxa" w:w="18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Categorical concurrence</w:t>
            </w:r>
          </w:p>
        </w:tc>
        <w:tc>
          <w:tcPr>
            <w:tcW w:type="dxa" w:w="3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Does every outcome have items that measure it?</w:t>
            </w:r>
          </w:p>
        </w:tc>
        <w:tc>
          <w:tcPr>
            <w:tcW w:type="dxa" w:w="3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number of items for each outcome, and the judgement «Not represented»</w:t>
            </w:r>
          </w:p>
        </w:tc>
      </w:tr>
      <w:tr>
        <w:trPr>
          <w:cantSplit/>
        </w:trPr>
        <w:tc>
          <w:tcPr>
            <w:tcW w:type="dxa" w:w="18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Depth-of-knowledge consistency</w:t>
            </w:r>
          </w:p>
        </w:tc>
        <w:tc>
          <w:tcPr>
            <w:tcW w:type="dxa" w:w="3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 the items require the level of thinking that the outcome requires?</w:t>
            </w:r>
          </w:p>
        </w:tc>
        <w:tc>
          <w:tcPr>
            <w:tcW w:type="dxa" w:w="3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distribution of cognitive levels compared with the intended distribution</w:t>
            </w:r>
          </w:p>
        </w:tc>
      </w:tr>
      <w:tr>
        <w:trPr>
          <w:cantSplit/>
        </w:trPr>
        <w:tc>
          <w:tcPr>
            <w:tcW w:type="dxa" w:w="18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Range of knowledge</w:t>
            </w:r>
          </w:p>
        </w:tc>
        <w:tc>
          <w:tcPr>
            <w:tcW w:type="dxa" w:w="3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 the items cover the different aspects of the outcome, not just one aspect of it?</w:t>
            </w:r>
          </w:p>
        </w:tc>
        <w:tc>
          <w:tcPr>
            <w:tcW w:type="dxa" w:w="3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Reading the texts of the items within each outcome</w:t>
            </w:r>
          </w:p>
        </w:tc>
      </w:tr>
      <w:tr>
        <w:trPr>
          <w:cantSplit/>
        </w:trPr>
        <w:tc>
          <w:tcPr>
            <w:tcW w:type="dxa" w:w="18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Balance of representation</w:t>
            </w:r>
          </w:p>
        </w:tc>
        <w:tc>
          <w:tcPr>
            <w:tcW w:type="dxa" w:w="39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Are the items distributed across the outcomes fairly evenly? Here we adapt it to compare with the intended weights</w:t>
            </w:r>
          </w:p>
        </w:tc>
        <w:tc>
          <w:tcPr>
            <w:tcW w:type="dxa" w:w="3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actual weight versus the intended weight, and the gap in percentage points</w:t>
            </w:r>
          </w:p>
        </w:tc>
      </w:tr>
    </w:tbl>
    <w:p>
      <w:pPr>
        <w:spacing w:after="120"/>
      </w:pPr>
    </w:p>
    <w:p>
      <w:pPr>
        <w:bidi w:val="false"/>
        <w:spacing w:after="120" w:line="300"/>
        <w:jc w:val="left"/>
      </w:pPr>
      <w:r>
        <w:rPr>
          <w:rFonts w:ascii="Calibri" w:cs="Calibri" w:eastAsia="Calibri" w:hAnsi="Calibri"/>
          <w:sz w:val="22"/>
          <w:szCs w:val="22"/>
        </w:rPr>
        <w:t xml:space="preserve">In his studies Webb used numerical thresholds for these criteria, including, for example, a minimum number of items for each outcome. These thresholds were set for long, large-scale tests, and are not suitable as they stand for a classroom test of 20 items and six outcomes. So we take Webb's questions, not his numbers.</w:t>
      </w:r>
    </w:p>
    <w:p>
      <w:pPr>
        <w:bidi w:val="false"/>
        <w:spacing w:after="120" w:line="300"/>
        <w:jc w:val="left"/>
      </w:pPr>
      <w:r>
        <w:rPr>
          <w:rFonts w:ascii="Calibri" w:cs="Calibri" w:eastAsia="Calibri" w:hAnsi="Calibri"/>
          <w:b/>
          <w:bCs/>
          <w:sz w:val="22"/>
          <w:szCs w:val="22"/>
        </w:rPr>
        <w:t xml:space="preserve">A note on depth of knowledge:</w:t>
      </w:r>
      <w:r>
        <w:rPr>
          <w:rFonts w:ascii="Calibri" w:cs="Calibri" w:eastAsia="Calibri" w:hAnsi="Calibri"/>
          <w:sz w:val="22"/>
          <w:szCs w:val="22"/>
        </w:rPr>
        <w:t xml:space="preserve"> Webb classifies depth of knowledge into four levels, starting with recall and ending with extended thinking. In this course we use the three cognitive domains of the TIMSS 2023 framework (Knowing, Applying, Reasoning) because they are closer to the international tests in which the country participates. The idea is the same: does the item require the thinking that the outcome requires?</w:t>
      </w:r>
    </w:p>
    <w:p>
      <w:pPr>
        <w:pStyle w:val="Heading2"/>
        <w:bidi w:val="false"/>
        <w:spacing w:after="120" w:before="240"/>
        <w:jc w:val="left"/>
      </w:pPr>
      <w:r>
        <w:rPr>
          <w:rFonts w:ascii="Calibri" w:cs="Calibri" w:eastAsia="Calibri" w:hAnsi="Calibri"/>
          <w:b/>
          <w:bCs/>
          <w:color w:val="2E75B6"/>
          <w:sz w:val="25"/>
          <w:szCs w:val="25"/>
        </w:rPr>
        <w:t xml:space="preserve">4.3 Calculating the actual weight and the gap</w:t>
      </w:r>
    </w:p>
    <w:p>
      <w:pPr>
        <w:bidi w:val="false"/>
        <w:spacing w:after="120" w:line="300"/>
        <w:jc w:val="left"/>
      </w:pPr>
      <w:r>
        <w:rPr>
          <w:rFonts w:ascii="Calibri" w:cs="Calibri" w:eastAsia="Calibri" w:hAnsi="Calibri"/>
          <w:sz w:val="22"/>
          <w:szCs w:val="22"/>
        </w:rPr>
        <w:t xml:space="preserve">For each outcome we calculate its actual weight in the test by marks, not by the number of items, because an item worth four marks weighs four times as much as an item worth one mark:</w:t>
      </w:r>
    </w:p>
    <w:p>
      <w:pPr>
        <w:shd w:fill="F2F6FA" w:color="auto" w:val="clear"/>
        <w:bidi w:val="false"/>
        <w:spacing w:after="160" w:before="80"/>
        <w:jc w:val="center"/>
      </w:pPr>
      <w:r>
        <w:rPr>
          <w:rFonts w:ascii="Cambria Math" w:cs="Calibri" w:hAnsi="Cambria Math"/>
          <w:i w:val="false"/>
          <w:iCs w:val="false"/>
          <w:sz w:val="24"/>
          <w:szCs w:val="24"/>
        </w:rPr>
        <w:t xml:space="preserve">Actual weight = outcome marks / total marks</w:t>
      </w:r>
    </w:p>
    <w:p>
      <w:pPr>
        <w:bidi w:val="false"/>
        <w:spacing w:after="120" w:line="300"/>
        <w:jc w:val="left"/>
      </w:pPr>
      <w:r>
        <w:rPr>
          <w:rFonts w:ascii="Calibri" w:cs="Calibri" w:eastAsia="Calibri" w:hAnsi="Calibri"/>
          <w:sz w:val="22"/>
          <w:szCs w:val="22"/>
        </w:rPr>
        <w:t xml:space="preserve">Then we calculate the gap between the actual and intended weight in percentage points:</w:t>
      </w:r>
    </w:p>
    <w:p>
      <w:pPr>
        <w:shd w:fill="F2F6FA" w:color="auto" w:val="clear"/>
        <w:bidi w:val="false"/>
        <w:spacing w:after="160" w:before="80"/>
        <w:jc w:val="center"/>
      </w:pPr>
      <w:r>
        <w:rPr>
          <w:rFonts w:ascii="Cambria Math" w:cs="Calibri" w:hAnsi="Cambria Math"/>
          <w:i w:val="false"/>
          <w:iCs w:val="false"/>
          <w:sz w:val="24"/>
          <w:szCs w:val="24"/>
        </w:rPr>
        <w:t xml:space="preserve">Gap = (actual − intended) × 100</w:t>
      </w:r>
    </w:p>
    <w:p>
      <w:pPr>
        <w:bidi w:val="false"/>
        <w:spacing w:after="120" w:line="300"/>
        <w:jc w:val="left"/>
      </w:pPr>
      <w:r>
        <w:rPr>
          <w:rFonts w:ascii="Calibri" w:cs="Calibri" w:eastAsia="Calibri" w:hAnsi="Calibri"/>
          <w:sz w:val="22"/>
          <w:szCs w:val="22"/>
        </w:rPr>
        <w:t xml:space="preserve">And we compare the gap with a tolerance set by the department. In this week's file the tolerance is 5 percentage points. The rule: if the outcome has no item, it is «Not represented». If the gap is greater than 5, it is «Over-represented». If it is lower than minus 5, it is «Under-represented». Otherwise it is «Balanced».</w:t>
      </w:r>
    </w:p>
    <w:p>
      <w:pPr>
        <w:bidi w:val="false"/>
        <w:spacing w:after="120" w:line="300"/>
        <w:jc w:val="left"/>
      </w:pPr>
      <w:r>
        <w:rPr>
          <w:rFonts w:ascii="Calibri" w:cs="Calibri" w:eastAsia="Calibri" w:hAnsi="Calibri"/>
          <w:b/>
          <w:bCs/>
          <w:sz w:val="22"/>
          <w:szCs w:val="22"/>
        </w:rPr>
        <w:t xml:space="preserve">The tolerance is a judgement-based decision.</w:t>
      </w:r>
      <w:r>
        <w:rPr>
          <w:rFonts w:ascii="Calibri" w:cs="Calibri" w:eastAsia="Calibri" w:hAnsi="Calibri"/>
          <w:sz w:val="22"/>
          <w:szCs w:val="22"/>
        </w:rPr>
        <w:t xml:space="preserve"> There is no binding scientific figure. 5 percentage points is a reasonable value for a classroom test, and another department may choose 3 or 10. What matters is that the threshold is set before the check, and that it is documented.</w:t>
      </w:r>
    </w:p>
    <w:p>
      <w:pPr>
        <w:pStyle w:val="Heading2"/>
        <w:bidi w:val="false"/>
        <w:spacing w:after="120" w:before="240"/>
        <w:jc w:val="left"/>
      </w:pPr>
      <w:r>
        <w:rPr>
          <w:rFonts w:ascii="Calibri" w:cs="Calibri" w:eastAsia="Calibri" w:hAnsi="Calibri"/>
          <w:b/>
          <w:bCs/>
          <w:color w:val="2E75B6"/>
          <w:sz w:val="25"/>
          <w:szCs w:val="25"/>
        </w:rPr>
        <w:t xml:space="preserve">4.4 A worked example: the test for the unit «Matter and Its Changes»</w:t>
      </w:r>
    </w:p>
    <w:p>
      <w:pPr>
        <w:bidi w:val="false"/>
        <w:spacing w:after="120" w:line="300"/>
        <w:jc w:val="left"/>
      </w:pPr>
      <w:r>
        <w:rPr>
          <w:rFonts w:ascii="Calibri" w:cs="Calibri" w:eastAsia="Calibri" w:hAnsi="Calibri"/>
          <w:sz w:val="22"/>
          <w:szCs w:val="22"/>
        </w:rPr>
        <w:t xml:space="preserve">This week's file contains a Grade 8 training test of 20 items, with a total of 30 marks, measuring six outcomes. This is the result of the alignment matrix:</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50"/>
        <w:gridCol w:w="803"/>
        <w:gridCol w:w="803"/>
        <w:gridCol w:w="928"/>
        <w:gridCol w:w="1177"/>
        <w:gridCol w:w="713"/>
        <w:gridCol w:w="1764"/>
      </w:tblGrid>
      <w:tr>
        <w:trPr>
          <w:cantSplit/>
          <w:tblHeader/>
        </w:trPr>
        <w:tc>
          <w:tcPr>
            <w:tcW w:type="dxa" w:w="3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Outcome</w:t>
            </w:r>
          </w:p>
        </w:tc>
        <w:tc>
          <w:tcPr>
            <w:tcW w:type="dxa" w:w="8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Items</w:t>
            </w:r>
          </w:p>
        </w:tc>
        <w:tc>
          <w:tcPr>
            <w:tcW w:type="dxa" w:w="8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Marks</w:t>
            </w:r>
          </w:p>
        </w:tc>
        <w:tc>
          <w:tcPr>
            <w:tcW w:type="dxa" w:w="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Actual weight</w:t>
            </w:r>
          </w:p>
        </w:tc>
        <w:tc>
          <w:tcPr>
            <w:tcW w:type="dxa" w:w="117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Intended weight</w:t>
            </w:r>
          </w:p>
        </w:tc>
        <w:tc>
          <w:tcPr>
            <w:tcW w:type="dxa" w:w="7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Gap</w:t>
            </w:r>
          </w:p>
        </w:tc>
        <w:tc>
          <w:tcPr>
            <w:tcW w:type="dxa" w:w="17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Judgement</w:t>
            </w:r>
          </w:p>
        </w:tc>
      </w:tr>
      <w:tr>
        <w:trPr>
          <w:cantSplit/>
        </w:trPr>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O1 Distinguishing between physical and chemical changes</w:t>
            </w:r>
          </w:p>
        </w:tc>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9</w:t>
            </w:r>
          </w:p>
        </w:tc>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10</w:t>
            </w:r>
          </w:p>
        </w:tc>
        <w:tc>
          <w:tcPr>
            <w:tcW w:type="dxa" w:w="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33%</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20%</w:t>
            </w:r>
          </w:p>
        </w:tc>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+13.3</w:t>
            </w:r>
          </w:p>
        </w:tc>
        <w:tc>
          <w:tcPr>
            <w:tcW w:type="dxa" w:w="1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Over-represented</w:t>
            </w:r>
          </w:p>
        </w:tc>
      </w:tr>
      <w:tr>
        <w:trPr>
          <w:cantSplit/>
        </w:trPr>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O2 Explaining the states of matter with the particle model</w:t>
            </w:r>
          </w:p>
        </w:tc>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w:t>
            </w:r>
          </w:p>
        </w:tc>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w:t>
            </w:r>
          </w:p>
        </w:tc>
        <w:tc>
          <w:tcPr>
            <w:tcW w:type="dxa" w:w="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20%</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20%</w:t>
            </w:r>
          </w:p>
        </w:tc>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0.0</w:t>
            </w:r>
          </w:p>
        </w:tc>
        <w:tc>
          <w:tcPr>
            <w:tcW w:type="dxa" w:w="1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Balanced</w:t>
            </w:r>
          </w:p>
        </w:tc>
      </w:tr>
      <w:tr>
        <w:trPr>
          <w:cantSplit/>
        </w:trPr>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O3 Calculating density and explaining floating</w:t>
            </w:r>
          </w:p>
        </w:tc>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w:t>
            </w:r>
          </w:p>
        </w:tc>
        <w:tc>
          <w:tcPr>
            <w:tcW w:type="dxa" w:w="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17%</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15%</w:t>
            </w:r>
          </w:p>
        </w:tc>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+1.7</w:t>
            </w:r>
          </w:p>
        </w:tc>
        <w:tc>
          <w:tcPr>
            <w:tcW w:type="dxa" w:w="1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Balanced</w:t>
            </w:r>
          </w:p>
        </w:tc>
      </w:tr>
      <w:tr>
        <w:trPr>
          <w:cantSplit/>
        </w:trPr>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O4 Evidence that a chemical reaction has occurred</w:t>
            </w:r>
          </w:p>
        </w:tc>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w:t>
            </w:r>
          </w:p>
        </w:tc>
        <w:tc>
          <w:tcPr>
            <w:tcW w:type="dxa" w:w="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20%</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15%</w:t>
            </w:r>
          </w:p>
        </w:tc>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+5.0</w:t>
            </w:r>
          </w:p>
        </w:tc>
        <w:tc>
          <w:tcPr>
            <w:tcW w:type="dxa" w:w="1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Balanced</w:t>
            </w:r>
          </w:p>
        </w:tc>
      </w:tr>
      <w:tr>
        <w:trPr>
          <w:cantSplit/>
        </w:trPr>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O5 Applying the law of conservation of mass</w:t>
            </w:r>
          </w:p>
        </w:tc>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w:t>
            </w:r>
          </w:p>
        </w:tc>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w:t>
            </w:r>
          </w:p>
        </w:tc>
        <w:tc>
          <w:tcPr>
            <w:tcW w:type="dxa" w:w="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15%</w:t>
            </w:r>
          </w:p>
        </w:tc>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‎−15.0</w:t>
            </w:r>
          </w:p>
        </w:tc>
        <w:tc>
          <w:tcPr>
            <w:tcW w:type="dxa" w:w="1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Not represented</w:t>
            </w:r>
          </w:p>
        </w:tc>
      </w:tr>
      <w:tr>
        <w:trPr>
          <w:cantSplit/>
        </w:trPr>
        <w:tc>
          <w:tcPr>
            <w:tcW w:type="dxa" w:w="3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O6 Planning the separation of the components of a mixture</w:t>
            </w:r>
          </w:p>
        </w:tc>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8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10%</w:t>
            </w:r>
          </w:p>
        </w:tc>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15%</w:t>
            </w:r>
          </w:p>
        </w:tc>
        <w:tc>
          <w:tcPr>
            <w:tcW w:type="dxa" w:w="7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‎−5.0</w:t>
            </w:r>
          </w:p>
        </w:tc>
        <w:tc>
          <w:tcPr>
            <w:tcW w:type="dxa" w:w="1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Balanced</w:t>
            </w:r>
          </w:p>
        </w:tc>
      </w:tr>
    </w:tbl>
    <w:p>
      <w:pPr>
        <w:spacing w:after="120"/>
      </w:pPr>
    </w:p>
    <w:p>
      <w:pPr>
        <w:bidi w:val="false"/>
        <w:spacing w:after="120" w:line="300"/>
        <w:jc w:val="left"/>
      </w:pPr>
      <w:r>
        <w:rPr>
          <w:rFonts w:ascii="Calibri" w:cs="Calibri" w:eastAsia="Calibri" w:hAnsi="Calibri"/>
          <w:sz w:val="22"/>
          <w:szCs w:val="22"/>
        </w:rPr>
        <w:t xml:space="preserve">Three readings of this table:</w:t>
      </w:r>
    </w:p>
    <w:p>
      <w:pPr>
        <w:pStyle w:val="ListParagraph"/>
        <w:numPr>
          <w:ilvl w:val="0"/>
          <w:numId w:val="3"/>
        </w:numPr>
        <w:bidi w:val="false"/>
        <w:spacing w:after="80" w:line="300"/>
        <w:jc w:val="left"/>
      </w:pPr>
      <w:r>
        <w:rPr>
          <w:rFonts w:ascii="Calibri" w:cs="Calibri" w:eastAsia="Calibri" w:hAnsi="Calibri"/>
          <w:b/>
          <w:bCs/>
          <w:sz w:val="22"/>
          <w:szCs w:val="22"/>
        </w:rPr>
        <w:t xml:space="preserve">One outcome takes a third of the test.</w:t>
      </w:r>
      <w:r>
        <w:rPr>
          <w:rFonts w:ascii="Calibri" w:cs="Calibri" w:eastAsia="Calibri" w:hAnsi="Calibri"/>
          <w:sz w:val="22"/>
          <w:szCs w:val="22"/>
        </w:rPr>
        <w:t xml:space="preserve"> O1 has 9 items out of 20, that is, nearly half the items. This is a common pattern: the outcome that is easiest to write for swells.</w:t>
      </w:r>
    </w:p>
    <w:p>
      <w:pPr>
        <w:pStyle w:val="ListParagraph"/>
        <w:numPr>
          <w:ilvl w:val="0"/>
          <w:numId w:val="3"/>
        </w:numPr>
        <w:bidi w:val="false"/>
        <w:spacing w:after="80" w:line="300"/>
        <w:jc w:val="left"/>
      </w:pPr>
      <w:r>
        <w:rPr>
          <w:rFonts w:ascii="Calibri" w:cs="Calibri" w:eastAsia="Calibri" w:hAnsi="Calibri"/>
          <w:b/>
          <w:bCs/>
          <w:sz w:val="22"/>
          <w:szCs w:val="22"/>
        </w:rPr>
        <w:t xml:space="preserve">An entire outcome is absent.</w:t>
      </w:r>
      <w:r>
        <w:rPr>
          <w:rFonts w:ascii="Calibri" w:cs="Calibri" w:eastAsia="Calibri" w:hAnsi="Calibri"/>
          <w:sz w:val="22"/>
          <w:szCs w:val="22"/>
        </w:rPr>
        <w:t xml:space="preserve"> O5 has no item. Any judgement of mastery of the unit goes beyond what the test supports.</w:t>
      </w:r>
    </w:p>
    <w:p>
      <w:pPr>
        <w:pStyle w:val="ListParagraph"/>
        <w:numPr>
          <w:ilvl w:val="0"/>
          <w:numId w:val="3"/>
        </w:numPr>
        <w:bidi w:val="false"/>
        <w:spacing w:after="80" w:line="300"/>
        <w:jc w:val="left"/>
      </w:pPr>
      <w:r>
        <w:rPr>
          <w:rFonts w:ascii="Calibri" w:cs="Calibri" w:eastAsia="Calibri" w:hAnsi="Calibri"/>
          <w:b/>
          <w:bCs/>
          <w:sz w:val="22"/>
          <w:szCs w:val="22"/>
        </w:rPr>
        <w:t xml:space="preserve">Two cases at the threshold.</w:t>
      </w:r>
      <w:r>
        <w:rPr>
          <w:rFonts w:ascii="Calibri" w:cs="Calibri" w:eastAsia="Calibri" w:hAnsi="Calibri"/>
          <w:sz w:val="22"/>
          <w:szCs w:val="22"/>
        </w:rPr>
        <w:t xml:space="preserve"> The gap for O4 equals exactly 5.0, and for O6 exactly minus 5.0. The file judges them «Balanced» because the gap did not exceed the threshold. But O6 is measured by only one question, so if the student's mind wanders on this question, the whole outcome is lost. An automated judgement at the threshold always needs a human judgement.</w:t>
      </w:r>
    </w:p>
    <w:p>
      <w:pPr>
        <w:pStyle w:val="Heading2"/>
        <w:bidi w:val="false"/>
        <w:spacing w:after="120" w:before="240"/>
        <w:jc w:val="left"/>
      </w:pPr>
      <w:r>
        <w:rPr>
          <w:rFonts w:ascii="Calibri" w:cs="Calibri" w:eastAsia="Calibri" w:hAnsi="Calibri"/>
          <w:b/>
          <w:bCs/>
          <w:color w:val="2E75B6"/>
          <w:sz w:val="25"/>
          <w:szCs w:val="25"/>
        </w:rPr>
        <w:t xml:space="preserve">4.5 Balance of cognitive levels</w:t>
      </w:r>
    </w:p>
    <w:p>
      <w:pPr>
        <w:bidi w:val="false"/>
        <w:spacing w:after="120" w:line="300"/>
        <w:jc w:val="left"/>
      </w:pPr>
      <w:r>
        <w:rPr>
          <w:rFonts w:ascii="Calibri" w:cs="Calibri" w:eastAsia="Calibri" w:hAnsi="Calibri"/>
          <w:sz w:val="22"/>
          <w:szCs w:val="22"/>
        </w:rPr>
        <w:t xml:space="preserve">The test's teacher adopted an intended distribution of levels: Knowing 35%, Applying 40%, Reasoning 25%. For comparison, the TIMSS 2023 framework for Grade 8 science specifies: Knowing 35%, Applying 35%, Reasoning 30%.</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0"/>
        <w:gridCol w:w="1049"/>
        <w:gridCol w:w="1049"/>
        <w:gridCol w:w="1212"/>
        <w:gridCol w:w="1538"/>
        <w:gridCol w:w="932"/>
        <w:gridCol w:w="2428"/>
      </w:tblGrid>
      <w:tr>
        <w:trPr>
          <w:cantSplit/>
          <w:tblHeader/>
        </w:trPr>
        <w:tc>
          <w:tcPr>
            <w:tcW w:type="dxa" w:w="14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Level</w:t>
            </w:r>
          </w:p>
        </w:tc>
        <w:tc>
          <w:tcPr>
            <w:tcW w:type="dxa" w:w="10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Items</w:t>
            </w:r>
          </w:p>
        </w:tc>
        <w:tc>
          <w:tcPr>
            <w:tcW w:type="dxa" w:w="10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Marks</w:t>
            </w:r>
          </w:p>
        </w:tc>
        <w:tc>
          <w:tcPr>
            <w:tcW w:type="dxa" w:w="12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Actual weight</w:t>
            </w:r>
          </w:p>
        </w:tc>
        <w:tc>
          <w:tcPr>
            <w:tcW w:type="dxa" w:w="15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Intended</w:t>
            </w:r>
          </w:p>
        </w:tc>
        <w:tc>
          <w:tcPr>
            <w:tcW w:type="dxa" w:w="9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Gap</w:t>
            </w:r>
          </w:p>
        </w:tc>
        <w:tc>
          <w:tcPr>
            <w:tcW w:type="dxa" w:w="24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Judgement</w:t>
            </w:r>
          </w:p>
        </w:tc>
      </w:tr>
      <w:tr>
        <w:trPr>
          <w:cantSplit/>
        </w:trPr>
        <w:tc>
          <w:tcPr>
            <w:tcW w:type="dxa" w:w="1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Knowing</w:t>
            </w: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15</w:t>
            </w: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15</w:t>
            </w:r>
          </w:p>
        </w:tc>
        <w:tc>
          <w:tcPr>
            <w:tcW w:type="dxa" w:w="1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50%</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35%</w:t>
            </w:r>
          </w:p>
        </w:tc>
        <w:tc>
          <w:tcPr>
            <w:tcW w:type="dxa" w:w="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+15.0</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Over-represented</w:t>
            </w:r>
          </w:p>
        </w:tc>
      </w:tr>
      <w:tr>
        <w:trPr>
          <w:cantSplit/>
        </w:trPr>
        <w:tc>
          <w:tcPr>
            <w:tcW w:type="dxa" w:w="1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Applying</w:t>
            </w: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w:t>
            </w: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11</w:t>
            </w:r>
          </w:p>
        </w:tc>
        <w:tc>
          <w:tcPr>
            <w:tcW w:type="dxa" w:w="1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37%</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40%</w:t>
            </w:r>
          </w:p>
        </w:tc>
        <w:tc>
          <w:tcPr>
            <w:tcW w:type="dxa" w:w="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‎−3.3</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Balanced</w:t>
            </w:r>
          </w:p>
        </w:tc>
      </w:tr>
      <w:tr>
        <w:trPr>
          <w:cantSplit/>
        </w:trPr>
        <w:tc>
          <w:tcPr>
            <w:tcW w:type="dxa" w:w="1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Reasoning</w:t>
            </w: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w:t>
            </w:r>
          </w:p>
        </w:tc>
        <w:tc>
          <w:tcPr>
            <w:tcW w:type="dxa" w:w="1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13%</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25%</w:t>
            </w:r>
          </w:p>
        </w:tc>
        <w:tc>
          <w:tcPr>
            <w:tcW w:type="dxa" w:w="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‎−11.7</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Under-represented</w:t>
            </w:r>
          </w:p>
        </w:tc>
      </w:tr>
    </w:tbl>
    <w:p>
      <w:pPr>
        <w:spacing w:after="120"/>
      </w:pPr>
    </w:p>
    <w:p>
      <w:pPr>
        <w:bidi w:val="false"/>
        <w:spacing w:after="120" w:line="300"/>
        <w:jc w:val="left"/>
      </w:pPr>
      <w:r>
        <w:rPr>
          <w:rFonts w:ascii="Calibri" w:cs="Calibri" w:eastAsia="Calibri" w:hAnsi="Calibri"/>
          <w:sz w:val="22"/>
          <w:szCs w:val="22"/>
        </w:rPr>
        <w:t xml:space="preserve">Note that Applying is balanced by marks even though it is represented by only four items, because each of these items carries two or three marks. And Reasoning is entirely in one item (item 19). This means the test rewards recall more than the teacher planned, and does not give enough information about the student's ability to think scientifically.</w:t>
      </w:r>
    </w:p>
    <w:p>
      <w:pPr>
        <w:pStyle w:val="Heading2"/>
        <w:bidi w:val="false"/>
        <w:spacing w:after="120" w:before="240"/>
        <w:jc w:val="left"/>
      </w:pPr>
      <w:r>
        <w:rPr>
          <w:rFonts w:ascii="Calibri" w:cs="Calibri" w:eastAsia="Calibri" w:hAnsi="Calibri"/>
          <w:b/>
          <w:bCs/>
          <w:color w:val="2E75B6"/>
          <w:sz w:val="25"/>
          <w:szCs w:val="25"/>
        </w:rPr>
        <w:t xml:space="preserve">4.6 The coverage index</w:t>
      </w:r>
    </w:p>
    <w:p>
      <w:pPr>
        <w:bidi w:val="false"/>
        <w:spacing w:after="120" w:line="300"/>
        <w:jc w:val="left"/>
      </w:pPr>
      <w:r>
        <w:rPr>
          <w:rFonts w:ascii="Calibri" w:cs="Calibri" w:eastAsia="Calibri" w:hAnsi="Calibri"/>
          <w:sz w:val="22"/>
          <w:szCs w:val="22"/>
        </w:rPr>
        <w:t xml:space="preserve">We summarise the outcomes matrix in a single number: the proportion of balanced outcomes to the number of outcomes.</w:t>
      </w:r>
    </w:p>
    <w:p>
      <w:pPr>
        <w:shd w:fill="F2F6FA" w:color="auto" w:val="clear"/>
        <w:bidi w:val="false"/>
        <w:spacing w:after="160" w:before="80"/>
        <w:jc w:val="center"/>
      </w:pPr>
      <w:r>
        <w:rPr>
          <w:rFonts w:ascii="Cambria Math" w:cs="Calibri" w:hAnsi="Cambria Math"/>
          <w:i w:val="false"/>
          <w:iCs w:val="false"/>
          <w:sz w:val="24"/>
          <w:szCs w:val="24"/>
        </w:rPr>
        <w:t xml:space="preserve">Coverage = balanced outcomes / all outcomes</w:t>
      </w:r>
    </w:p>
    <w:p>
      <w:pPr>
        <w:bidi w:val="false"/>
        <w:spacing w:after="120" w:line="300"/>
        <w:jc w:val="left"/>
      </w:pPr>
      <w:r>
        <w:rPr>
          <w:rFonts w:ascii="Calibri" w:cs="Calibri" w:eastAsia="Calibri" w:hAnsi="Calibri"/>
          <w:sz w:val="22"/>
          <w:szCs w:val="22"/>
        </w:rPr>
        <w:t xml:space="preserve">In our example 4 outcomes out of 6 are balanced, so the coverage index is 67%, and one outcome is not represented. The number is useful for comparison before and after revision, but it is no substitute for the table: two of the four balanced outcomes lie exactly at the threshold.</w:t>
      </w:r>
    </w:p>
    <w:p>
      <w:pPr>
        <w:pStyle w:val="Heading1"/>
        <w:bidi w:val="false"/>
        <w:spacing w:after="160" w:before="360"/>
        <w:jc w:val="left"/>
      </w:pPr>
      <w:r>
        <w:rPr>
          <w:rFonts w:ascii="Calibri" w:cs="Calibri" w:eastAsia="Calibri" w:hAnsi="Calibri"/>
          <w:b/>
          <w:bCs/>
          <w:color w:val="1F4E79"/>
          <w:sz w:val="30"/>
          <w:szCs w:val="30"/>
        </w:rPr>
        <w:t xml:space="preserve">5. Expert judgement and the content validity index</w:t>
      </w:r>
    </w:p>
    <w:p>
      <w:pPr>
        <w:pStyle w:val="Heading2"/>
        <w:bidi w:val="false"/>
        <w:spacing w:after="120" w:before="240"/>
        <w:jc w:val="left"/>
      </w:pPr>
      <w:r>
        <w:rPr>
          <w:rFonts w:ascii="Calibri" w:cs="Calibri" w:eastAsia="Calibri" w:hAnsi="Calibri"/>
          <w:b/>
          <w:bCs/>
          <w:color w:val="2E75B6"/>
          <w:sz w:val="25"/>
          <w:szCs w:val="25"/>
        </w:rPr>
        <w:t xml:space="preserve">5.1 Why do we need experts?</w:t>
      </w:r>
    </w:p>
    <w:p>
      <w:pPr>
        <w:bidi w:val="false"/>
        <w:spacing w:after="120" w:line="300"/>
        <w:jc w:val="left"/>
      </w:pPr>
      <w:r>
        <w:rPr>
          <w:rFonts w:ascii="Calibri" w:cs="Calibri" w:eastAsia="Calibri" w:hAnsi="Calibri"/>
          <w:sz w:val="22"/>
          <w:szCs w:val="22"/>
        </w:rPr>
        <w:t xml:space="preserve">The alignment matrix depends on the teacher's classification of each item. But who guarantees that the item actually measures the outcome the teacher attributed to it? Here we need the judgement of independent experts: teachers of the subject, its supervisor, or department members.</w:t>
      </w:r>
    </w:p>
    <w:p>
      <w:pPr>
        <w:bidi w:val="false"/>
        <w:spacing w:after="120" w:line="300"/>
        <w:jc w:val="left"/>
      </w:pPr>
      <w:r>
        <w:rPr>
          <w:rFonts w:ascii="Calibri" w:cs="Calibri" w:eastAsia="Calibri" w:hAnsi="Calibri"/>
          <w:sz w:val="22"/>
          <w:szCs w:val="22"/>
        </w:rPr>
        <w:t xml:space="preserve">The usual procedure: each expert reads the item and the outcome attributed to it, and rates how relevant they are to each other on a four-point scale: 1 not relevant, 2 somewhat relevant, 3 relevant, 4 highly relevant. Then we count ratings of 3 and 4 as agreement, and ratings of 1 and 2 as disagreement.</w:t>
      </w:r>
    </w:p>
    <w:p>
      <w:pPr>
        <w:pStyle w:val="Heading2"/>
        <w:bidi w:val="false"/>
        <w:spacing w:after="120" w:before="240"/>
        <w:jc w:val="left"/>
      </w:pPr>
      <w:r>
        <w:rPr>
          <w:rFonts w:ascii="Calibri" w:cs="Calibri" w:eastAsia="Calibri" w:hAnsi="Calibri"/>
          <w:b/>
          <w:bCs/>
          <w:color w:val="2E75B6"/>
          <w:sz w:val="25"/>
          <w:szCs w:val="25"/>
        </w:rPr>
        <w:t xml:space="preserve">5.2 The item content validity index</w:t>
      </w:r>
    </w:p>
    <w:p>
      <w:pPr>
        <w:shd w:fill="F2F6FA" w:color="auto" w:val="clear"/>
        <w:bidi w:val="false"/>
        <w:spacing w:after="160" w:before="80"/>
        <w:jc w:val="center"/>
      </w:pPr>
      <w:r>
        <w:rPr>
          <w:rFonts w:ascii="Cambria Math" w:cs="Calibri" w:hAnsi="Cambria Math"/>
          <w:i w:val="false"/>
          <w:iCs w:val="false"/>
          <w:sz w:val="24"/>
          <w:szCs w:val="24"/>
        </w:rPr>
        <w:t xml:space="preserve">I-CVI = (experts rating 3 or 4) / (number of experts)</w:t>
      </w:r>
    </w:p>
    <w:p>
      <w:pPr>
        <w:bidi w:val="false"/>
        <w:spacing w:after="120" w:line="300"/>
        <w:jc w:val="left"/>
      </w:pPr>
      <w:r>
        <w:rPr>
          <w:rFonts w:ascii="Calibri" w:cs="Calibri" w:eastAsia="Calibri" w:hAnsi="Calibri"/>
          <w:b/>
          <w:bCs/>
          <w:sz w:val="22"/>
          <w:szCs w:val="22"/>
        </w:rPr>
        <w:t xml:space="preserve">Lynn's criterion (1986):</w:t>
      </w:r>
      <w:r>
        <w:rPr>
          <w:rFonts w:ascii="Calibri" w:cs="Calibri" w:eastAsia="Calibri" w:hAnsi="Calibri"/>
          <w:sz w:val="22"/>
          <w:szCs w:val="22"/>
        </w:rPr>
        <w:t xml:space="preserve"> with five experts or fewer, all must agree, that is, the index must be 1.00. If one expert out of five rejects the item's relevance to its outcome, the item needs review. With six experts or more, Polit and Beck (2006) recommend that the index be no lower than 0.78.</w:t>
      </w:r>
    </w:p>
    <w:p>
      <w:pPr>
        <w:pStyle w:val="Heading2"/>
        <w:bidi w:val="false"/>
        <w:spacing w:after="120" w:before="240"/>
        <w:jc w:val="left"/>
      </w:pPr>
      <w:r>
        <w:rPr>
          <w:rFonts w:ascii="Calibri" w:cs="Calibri" w:eastAsia="Calibri" w:hAnsi="Calibri"/>
          <w:b/>
          <w:bCs/>
          <w:color w:val="2E75B6"/>
          <w:sz w:val="25"/>
          <w:szCs w:val="25"/>
        </w:rPr>
        <w:t xml:space="preserve">5.3 The content validity index for the whole test</w:t>
      </w:r>
    </w:p>
    <w:p>
      <w:pPr>
        <w:bidi w:val="false"/>
        <w:spacing w:after="120" w:line="300"/>
        <w:jc w:val="left"/>
      </w:pPr>
      <w:r>
        <w:rPr>
          <w:rFonts w:ascii="Calibri" w:cs="Calibri" w:eastAsia="Calibri" w:hAnsi="Calibri"/>
          <w:sz w:val="22"/>
          <w:szCs w:val="22"/>
        </w:rPr>
        <w:t xml:space="preserve">There are two common methods, and Polit and Beck (2006) pointed out that many studies report the figure without specifying which of them they used:</w:t>
      </w:r>
    </w:p>
    <w:p>
      <w:pPr>
        <w:shd w:fill="F2F6FA" w:color="auto" w:val="clear"/>
        <w:bidi w:val="false"/>
        <w:spacing w:after="160" w:before="80"/>
        <w:jc w:val="center"/>
      </w:pPr>
      <w:r>
        <w:rPr>
          <w:rFonts w:ascii="Cambria Math" w:cs="Calibri" w:hAnsi="Cambria Math"/>
          <w:i w:val="false"/>
          <w:iCs w:val="false"/>
          <w:sz w:val="24"/>
          <w:szCs w:val="24"/>
        </w:rPr>
        <w:t xml:space="preserve">S-CVI/Ave = average of all I-CVI values</w:t>
      </w:r>
    </w:p>
    <w:p>
      <w:pPr>
        <w:shd w:fill="F2F6FA" w:color="auto" w:val="clear"/>
        <w:bidi w:val="false"/>
        <w:spacing w:after="160" w:before="80"/>
        <w:jc w:val="center"/>
      </w:pPr>
      <w:r>
        <w:rPr>
          <w:rFonts w:ascii="Cambria Math" w:cs="Calibri" w:hAnsi="Cambria Math"/>
          <w:i w:val="false"/>
          <w:iCs w:val="false"/>
          <w:sz w:val="24"/>
          <w:szCs w:val="24"/>
        </w:rPr>
        <w:t xml:space="preserve">S-CVI/UA = items with I-CVI = 1.00 / all items</w:t>
      </w:r>
    </w:p>
    <w:p>
      <w:pPr>
        <w:bidi w:val="false"/>
        <w:spacing w:after="120" w:line="300"/>
        <w:jc w:val="left"/>
      </w:pPr>
      <w:r>
        <w:rPr>
          <w:rFonts w:ascii="Calibri" w:cs="Calibri" w:eastAsia="Calibri" w:hAnsi="Calibri"/>
          <w:sz w:val="22"/>
          <w:szCs w:val="22"/>
        </w:rPr>
        <w:t xml:space="preserve">The first is the mean of the item indices, and Polit and Beck recommend that it reach 0.90 or more. The second is the proportion of items on which all the experts agreed; it is stricter, and it falls as the number of experts increases, because unanimity becomes harder.</w:t>
      </w:r>
    </w:p>
    <w:p>
      <w:pPr>
        <w:bidi w:val="false"/>
        <w:spacing w:after="120" w:line="300"/>
        <w:jc w:val="left"/>
      </w:pPr>
      <w:r>
        <w:rPr>
          <w:rFonts w:ascii="Calibri" w:cs="Calibri" w:eastAsia="Calibri" w:hAnsi="Calibri"/>
          <w:b/>
          <w:bCs/>
          <w:sz w:val="22"/>
          <w:szCs w:val="22"/>
        </w:rPr>
        <w:t xml:space="preserve">An important limitation:</w:t>
      </w:r>
      <w:r>
        <w:rPr>
          <w:rFonts w:ascii="Calibri" w:cs="Calibri" w:eastAsia="Calibri" w:hAnsi="Calibri"/>
          <w:sz w:val="22"/>
          <w:szCs w:val="22"/>
        </w:rPr>
        <w:t xml:space="preserve"> the index is a simple proportion of agreement that does not correct for chance agreement. And it measures the relevance of the item to its outcome, not the quality of the item's wording. An item that is fully relevant to its outcome may be ambiguously worded.</w:t>
      </w:r>
    </w:p>
    <w:p>
      <w:pPr>
        <w:pStyle w:val="Heading2"/>
        <w:bidi w:val="false"/>
        <w:spacing w:after="120" w:before="240"/>
        <w:jc w:val="left"/>
      </w:pPr>
      <w:r>
        <w:rPr>
          <w:rFonts w:ascii="Calibri" w:cs="Calibri" w:eastAsia="Calibri" w:hAnsi="Calibri"/>
          <w:b/>
          <w:bCs/>
          <w:color w:val="2E75B6"/>
          <w:sz w:val="25"/>
          <w:szCs w:val="25"/>
        </w:rPr>
        <w:t xml:space="preserve">5.4 A worked example: the ratings of five experts</w:t>
      </w:r>
    </w:p>
    <w:p>
      <w:pPr>
        <w:bidi w:val="false"/>
        <w:spacing w:after="120" w:line="300"/>
        <w:jc w:val="left"/>
      </w:pPr>
      <w:r>
        <w:rPr>
          <w:rFonts w:ascii="Calibri" w:cs="Calibri" w:eastAsia="Calibri" w:hAnsi="Calibri"/>
          <w:sz w:val="22"/>
          <w:szCs w:val="22"/>
        </w:rPr>
        <w:t xml:space="preserve">Five experts rated the twenty items of the test. The result:</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2"/>
        <w:gridCol w:w="2650"/>
        <w:gridCol w:w="3856"/>
      </w:tblGrid>
      <w:tr>
        <w:trPr>
          <w:cantSplit/>
          <w:tblHeader/>
        </w:trPr>
        <w:tc>
          <w:tcPr>
            <w:tcW w:type="dxa" w:w="31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Index</w:t>
            </w:r>
          </w:p>
        </w:tc>
        <w:tc>
          <w:tcPr>
            <w:tcW w:type="dxa" w:w="26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Value</w:t>
            </w:r>
          </w:p>
        </w:tc>
        <w:tc>
          <w:tcPr>
            <w:tcW w:type="dxa" w:w="38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Judgement</w:t>
            </w:r>
          </w:p>
        </w:tc>
      </w:tr>
      <w:tr>
        <w:trPr>
          <w:cantSplit/>
        </w:trPr>
        <w:tc>
          <w:tcPr>
            <w:tcW w:type="dxa" w:w="3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Number of experts</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By Lynn's criterion, the item index must be 1.00</w:t>
            </w:r>
          </w:p>
        </w:tc>
      </w:tr>
      <w:tr>
        <w:trPr>
          <w:cantSplit/>
        </w:trPr>
        <w:tc>
          <w:tcPr>
            <w:tcW w:type="dxa" w:w="3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Items that did not reach 1.00</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I3 (0.60), I11 (0.20), I14 (0.80)</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Three items need review</w:t>
            </w:r>
          </w:p>
        </w:tc>
      </w:tr>
      <w:tr>
        <w:trPr>
          <w:cantSplit/>
        </w:trPr>
        <w:tc>
          <w:tcPr>
            <w:tcW w:type="dxa" w:w="3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Mean of the item indices</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0.93</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Exceeds Polit and Beck's threshold of 0.90</w:t>
            </w:r>
          </w:p>
        </w:tc>
      </w:tr>
      <w:tr>
        <w:trPr>
          <w:cantSplit/>
        </w:trPr>
        <w:tc>
          <w:tcPr>
            <w:tcW w:type="dxa" w:w="3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Proportion of items with full agreement</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85%</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17 items out of 20</w:t>
            </w:r>
          </w:p>
        </w:tc>
      </w:tr>
    </w:tbl>
    <w:p>
      <w:pPr>
        <w:spacing w:after="120"/>
      </w:pPr>
    </w:p>
    <w:p>
      <w:pPr>
        <w:bidi w:val="false"/>
        <w:spacing w:after="120" w:line="300"/>
        <w:jc w:val="left"/>
      </w:pPr>
      <w:r>
        <w:rPr>
          <w:rFonts w:ascii="Calibri" w:cs="Calibri" w:eastAsia="Calibri" w:hAnsi="Calibri"/>
          <w:b/>
          <w:bCs/>
          <w:sz w:val="22"/>
          <w:szCs w:val="22"/>
        </w:rPr>
        <w:t xml:space="preserve">The most important lesson in this example: the mean hides the problems.</w:t>
      </w:r>
      <w:r>
        <w:rPr>
          <w:rFonts w:ascii="Calibri" w:cs="Calibri" w:eastAsia="Calibri" w:hAnsi="Calibri"/>
          <w:sz w:val="22"/>
          <w:szCs w:val="22"/>
        </w:rPr>
        <w:t xml:space="preserve"> Had the teacher relied on the mean of 0.93 alone, he would have written in his report «content validity is high». But three items did not reach the threshold, and one of them (I11) was seen as relevant to its outcome by only one expert out of five. So we read the index of each item first, then the mean.</w:t>
      </w:r>
    </w:p>
    <w:p>
      <w:pPr>
        <w:bidi w:val="false"/>
        <w:spacing w:after="120" w:line="300"/>
        <w:jc w:val="left"/>
      </w:pPr>
      <w:r>
        <w:rPr>
          <w:rFonts w:ascii="Calibri" w:cs="Calibri" w:eastAsia="Calibri" w:hAnsi="Calibri"/>
          <w:sz w:val="22"/>
          <w:szCs w:val="22"/>
        </w:rPr>
        <w:t xml:space="preserve">Why did the experts reject these items? The index does not say, but a qualitative reading suggests reasons:</w:t>
      </w:r>
    </w:p>
    <w:p>
      <w:pPr>
        <w:pStyle w:val="ListParagraph"/>
        <w:numPr>
          <w:ilvl w:val="0"/>
          <w:numId w:val="3"/>
        </w:numPr>
        <w:bidi w:val="false"/>
        <w:spacing w:after="80" w:line="300"/>
        <w:jc w:val="left"/>
      </w:pPr>
      <w:r>
        <w:rPr>
          <w:rFonts w:ascii="Calibri" w:cs="Calibri" w:eastAsia="Calibri" w:hAnsi="Calibri"/>
          <w:b/>
          <w:bCs/>
          <w:sz w:val="22"/>
          <w:szCs w:val="22"/>
        </w:rPr>
        <w:t xml:space="preserve">I11</w:t>
      </w:r>
      <w:r>
        <w:rPr>
          <w:rFonts w:ascii="Calibri" w:cs="Calibri" w:eastAsia="Calibri" w:hAnsi="Calibri"/>
          <w:sz w:val="22"/>
          <w:szCs w:val="22"/>
        </w:rPr>
        <w:t xml:space="preserve"> «Name the three states of matter» is attributed to O2, which requires explanation using the particle model, but it does not require any model. And its level is below Grade 8.</w:t>
      </w:r>
    </w:p>
    <w:p>
      <w:pPr>
        <w:pStyle w:val="ListParagraph"/>
        <w:numPr>
          <w:ilvl w:val="0"/>
          <w:numId w:val="3"/>
        </w:numPr>
        <w:bidi w:val="false"/>
        <w:spacing w:after="80" w:line="300"/>
        <w:jc w:val="left"/>
      </w:pPr>
      <w:r>
        <w:rPr>
          <w:rFonts w:ascii="Calibri" w:cs="Calibri" w:eastAsia="Calibri" w:hAnsi="Calibri"/>
          <w:b/>
          <w:bCs/>
          <w:sz w:val="22"/>
          <w:szCs w:val="22"/>
        </w:rPr>
        <w:t xml:space="preserve">I3</w:t>
      </w:r>
      <w:r>
        <w:rPr>
          <w:rFonts w:ascii="Calibri" w:cs="Calibri" w:eastAsia="Calibri" w:hAnsi="Calibri"/>
          <w:sz w:val="22"/>
          <w:szCs w:val="22"/>
        </w:rPr>
        <w:t xml:space="preserve"> «Dissolving sugar in water is a chemical change (true or false)» is a very simple example, and a true/false item allows guessing to succeed in about half of cases.</w:t>
      </w:r>
    </w:p>
    <w:p>
      <w:pPr>
        <w:pStyle w:val="ListParagraph"/>
        <w:numPr>
          <w:ilvl w:val="0"/>
          <w:numId w:val="3"/>
        </w:numPr>
        <w:bidi w:val="false"/>
        <w:spacing w:after="80" w:line="300"/>
        <w:jc w:val="left"/>
      </w:pPr>
      <w:r>
        <w:rPr>
          <w:rFonts w:ascii="Calibri" w:cs="Calibri" w:eastAsia="Calibri" w:hAnsi="Calibri"/>
          <w:b/>
          <w:bCs/>
          <w:sz w:val="22"/>
          <w:szCs w:val="22"/>
        </w:rPr>
        <w:t xml:space="preserve">I14</w:t>
      </w:r>
      <w:r>
        <w:rPr>
          <w:rFonts w:ascii="Calibri" w:cs="Calibri" w:eastAsia="Calibri" w:hAnsi="Calibri"/>
          <w:sz w:val="22"/>
          <w:szCs w:val="22"/>
        </w:rPr>
        <w:t xml:space="preserve"> «The unit of density» relates to density only peripherally, whereas O3 requires calculating density and using it to explain floating.</w:t>
      </w:r>
    </w:p>
    <w:p>
      <w:pPr>
        <w:pStyle w:val="Heading1"/>
        <w:bidi w:val="false"/>
        <w:spacing w:after="160" w:before="360"/>
        <w:jc w:val="left"/>
      </w:pPr>
      <w:r>
        <w:rPr>
          <w:rFonts w:ascii="Calibri" w:cs="Calibri" w:eastAsia="Calibri" w:hAnsi="Calibri"/>
          <w:b/>
          <w:bCs/>
          <w:color w:val="1F4E79"/>
          <w:sz w:val="30"/>
          <w:szCs w:val="30"/>
        </w:rPr>
        <w:t xml:space="preserve">6. What the numbers do not reveal: a qualitative reading of the items</w:t>
      </w:r>
    </w:p>
    <w:p>
      <w:pPr>
        <w:bidi w:val="false"/>
        <w:spacing w:after="120" w:line="300"/>
        <w:jc w:val="left"/>
      </w:pPr>
      <w:r>
        <w:rPr>
          <w:rFonts w:ascii="Calibri" w:cs="Calibri" w:eastAsia="Calibri" w:hAnsi="Calibri"/>
          <w:sz w:val="22"/>
          <w:szCs w:val="22"/>
        </w:rPr>
        <w:t xml:space="preserve">The matrix and the index do not read the text of the item. So the validity check is completed by reading each item with a single question: could a student who has mastered the outcome get it wrong, or a student who has not mastered it get it right, for a reason unrelated to the outcome?</w:t>
      </w:r>
    </w:p>
    <w:p>
      <w:pPr>
        <w:pStyle w:val="ListParagraph"/>
        <w:numPr>
          <w:ilvl w:val="0"/>
          <w:numId w:val="3"/>
        </w:numPr>
        <w:bidi w:val="false"/>
        <w:spacing w:after="80" w:line="300"/>
        <w:jc w:val="left"/>
      </w:pPr>
      <w:r>
        <w:rPr>
          <w:rFonts w:ascii="Calibri" w:cs="Calibri" w:eastAsia="Calibri" w:hAnsi="Calibri"/>
          <w:b/>
          <w:bCs/>
          <w:sz w:val="22"/>
          <w:szCs w:val="22"/>
        </w:rPr>
        <w:t xml:space="preserve">Items 6 and 9 (completion with an ambiguous blank):</w:t>
      </w:r>
      <w:r>
        <w:rPr>
          <w:rFonts w:ascii="Calibri" w:cs="Calibri" w:eastAsia="Calibri" w:hAnsi="Calibri"/>
          <w:sz w:val="22"/>
          <w:szCs w:val="22"/>
        </w:rPr>
        <w:t xml:space="preserve"> «Melting wax is an example of a ...... change». The intended answer is «physical», but a student who writes «of state» gives a scientifically correct answer. The blank does not specify the type of answer required, so the score varies from marker to marker.</w:t>
      </w:r>
    </w:p>
    <w:p>
      <w:pPr>
        <w:pStyle w:val="ListParagraph"/>
        <w:numPr>
          <w:ilvl w:val="0"/>
          <w:numId w:val="3"/>
        </w:numPr>
        <w:bidi w:val="false"/>
        <w:spacing w:after="80" w:line="300"/>
        <w:jc w:val="left"/>
      </w:pPr>
      <w:r>
        <w:rPr>
          <w:rFonts w:ascii="Calibri" w:cs="Calibri" w:eastAsia="Calibri" w:hAnsi="Calibri"/>
          <w:b/>
          <w:bCs/>
          <w:sz w:val="22"/>
          <w:szCs w:val="22"/>
        </w:rPr>
        <w:t xml:space="preserve">Item 3 (true/false on a simple example):</w:t>
      </w:r>
      <w:r>
        <w:rPr>
          <w:rFonts w:ascii="Calibri" w:cs="Calibri" w:eastAsia="Calibri" w:hAnsi="Calibri"/>
          <w:sz w:val="22"/>
          <w:szCs w:val="22"/>
        </w:rPr>
        <w:t xml:space="preserve"> it measures a single easy piece of information, and allows guessing.</w:t>
      </w:r>
    </w:p>
    <w:p>
      <w:pPr>
        <w:pStyle w:val="ListParagraph"/>
        <w:numPr>
          <w:ilvl w:val="0"/>
          <w:numId w:val="3"/>
        </w:numPr>
        <w:bidi w:val="false"/>
        <w:spacing w:after="80" w:line="300"/>
        <w:jc w:val="left"/>
      </w:pPr>
      <w:r>
        <w:rPr>
          <w:rFonts w:ascii="Calibri" w:cs="Calibri" w:eastAsia="Calibri" w:hAnsi="Calibri"/>
          <w:b/>
          <w:bCs/>
          <w:sz w:val="22"/>
          <w:szCs w:val="22"/>
        </w:rPr>
        <w:t xml:space="preserve">Item 11 (below grade level):</w:t>
      </w:r>
      <w:r>
        <w:rPr>
          <w:rFonts w:ascii="Calibri" w:cs="Calibri" w:eastAsia="Calibri" w:hAnsi="Calibri"/>
          <w:sz w:val="22"/>
          <w:szCs w:val="22"/>
        </w:rPr>
        <w:t xml:space="preserve"> it does not distinguish between a Grade 8 student who understands the particle model and a primary-school student.</w:t>
      </w:r>
    </w:p>
    <w:p>
      <w:pPr>
        <w:bidi w:val="false"/>
        <w:spacing w:after="120" w:line="300"/>
        <w:jc w:val="left"/>
      </w:pPr>
      <w:r>
        <w:rPr>
          <w:rFonts w:ascii="Calibri" w:cs="Calibri" w:eastAsia="Calibri" w:hAnsi="Calibri"/>
          <w:sz w:val="22"/>
          <w:szCs w:val="22"/>
        </w:rPr>
        <w:t xml:space="preserve">A practical rule: the items rejected by the experts, or that carry a wording flaw, are the first we delete or rewrite when addressing an alignment imbalance. In this way we fix two problems with one revision.</w:t>
      </w:r>
    </w:p>
    <w:p>
      <w:pPr>
        <w:pStyle w:val="Heading1"/>
        <w:bidi w:val="false"/>
        <w:spacing w:after="160" w:before="360"/>
        <w:jc w:val="left"/>
      </w:pPr>
      <w:r>
        <w:rPr>
          <w:rFonts w:ascii="Calibri" w:cs="Calibri" w:eastAsia="Calibri" w:hAnsi="Calibri"/>
          <w:b/>
          <w:bCs/>
          <w:color w:val="1F4E79"/>
          <w:sz w:val="30"/>
          <w:szCs w:val="30"/>
        </w:rPr>
        <w:t xml:space="preserve">7. Threats to validity</w:t>
      </w:r>
    </w:p>
    <w:p>
      <w:pPr>
        <w:bidi w:val="false"/>
        <w:spacing w:after="120" w:line="300"/>
        <w:jc w:val="left"/>
      </w:pPr>
      <w:r>
        <w:rPr>
          <w:rFonts w:ascii="Calibri" w:cs="Calibri" w:eastAsia="Calibri" w:hAnsi="Calibri"/>
          <w:sz w:val="22"/>
          <w:szCs w:val="22"/>
        </w:rPr>
        <w:t xml:space="preserve">Messick (1989) identified two main sources of threat to validity, and our current reality has added a third.</w:t>
      </w:r>
    </w:p>
    <w:p>
      <w:pPr>
        <w:pStyle w:val="Heading2"/>
        <w:bidi w:val="false"/>
        <w:spacing w:after="120" w:before="240"/>
        <w:jc w:val="left"/>
      </w:pPr>
      <w:r>
        <w:rPr>
          <w:rFonts w:ascii="Calibri" w:cs="Calibri" w:eastAsia="Calibri" w:hAnsi="Calibri"/>
          <w:b/>
          <w:bCs/>
          <w:color w:val="2E75B6"/>
          <w:sz w:val="25"/>
          <w:szCs w:val="25"/>
        </w:rPr>
        <w:t xml:space="preserve">7.1 Construct under-representation</w:t>
      </w:r>
    </w:p>
    <w:p>
      <w:pPr>
        <w:bidi w:val="false"/>
        <w:spacing w:after="120" w:line="300"/>
        <w:jc w:val="left"/>
      </w:pPr>
      <w:r>
        <w:rPr>
          <w:rFonts w:ascii="Calibri" w:cs="Calibri" w:eastAsia="Calibri" w:hAnsi="Calibri"/>
          <w:sz w:val="22"/>
          <w:szCs w:val="22"/>
        </w:rPr>
        <w:t xml:space="preserve">This occurs when the test omits an important part of what it is supposed to measure. In our example: O5 is absent, and Reasoning is represented by a single item. The score here is «narrower» than the interpretation built on it. Its remedy lies in the test blueprint before writing the items, and in checking alignment after writing them.</w:t>
      </w:r>
    </w:p>
    <w:p>
      <w:pPr>
        <w:pStyle w:val="Heading2"/>
        <w:bidi w:val="false"/>
        <w:spacing w:after="120" w:before="240"/>
        <w:jc w:val="left"/>
      </w:pPr>
      <w:r>
        <w:rPr>
          <w:rFonts w:ascii="Calibri" w:cs="Calibri" w:eastAsia="Calibri" w:hAnsi="Calibri"/>
          <w:b/>
          <w:bCs/>
          <w:color w:val="2E75B6"/>
          <w:sz w:val="25"/>
          <w:szCs w:val="25"/>
        </w:rPr>
        <w:t xml:space="preserve">7.2 Construct-irrelevant variance</w:t>
      </w:r>
    </w:p>
    <w:p>
      <w:pPr>
        <w:bidi w:val="false"/>
        <w:spacing w:after="120" w:line="300"/>
        <w:jc w:val="left"/>
      </w:pPr>
      <w:r>
        <w:rPr>
          <w:rFonts w:ascii="Calibri" w:cs="Calibri" w:eastAsia="Calibri" w:hAnsi="Calibri"/>
          <w:sz w:val="22"/>
          <w:szCs w:val="22"/>
        </w:rPr>
        <w:t xml:space="preserve">This occurs when the score is affected by a factor unrelated to what we are measuring. Classroom examples:</w:t>
      </w:r>
    </w:p>
    <w:p>
      <w:pPr>
        <w:pStyle w:val="ListParagraph"/>
        <w:numPr>
          <w:ilvl w:val="0"/>
          <w:numId w:val="3"/>
        </w:numPr>
        <w:bidi w:val="false"/>
        <w:spacing w:after="80" w:line="300"/>
        <w:jc w:val="left"/>
      </w:pPr>
      <w:r>
        <w:rPr>
          <w:rFonts w:ascii="Calibri" w:cs="Calibri" w:eastAsia="Calibri" w:hAnsi="Calibri"/>
          <w:b/>
          <w:bCs/>
          <w:sz w:val="22"/>
          <w:szCs w:val="22"/>
        </w:rPr>
        <w:t xml:space="preserve">Reading load in a science test:</w:t>
      </w:r>
      <w:r>
        <w:rPr>
          <w:rFonts w:ascii="Calibri" w:cs="Calibri" w:eastAsia="Calibri" w:hAnsi="Calibri"/>
          <w:sz w:val="22"/>
          <w:szCs w:val="22"/>
        </w:rPr>
        <w:t xml:space="preserve"> a long item in complex language may be answered wrongly by a student who understands the scientific concept because they read slowly. Here the item measures reading alongside science. This matters especially for learners studying science in a language other than their first language.</w:t>
      </w:r>
    </w:p>
    <w:p>
      <w:pPr>
        <w:pStyle w:val="ListParagraph"/>
        <w:numPr>
          <w:ilvl w:val="0"/>
          <w:numId w:val="3"/>
        </w:numPr>
        <w:bidi w:val="false"/>
        <w:spacing w:after="80" w:line="300"/>
        <w:jc w:val="left"/>
      </w:pPr>
      <w:r>
        <w:rPr>
          <w:rFonts w:ascii="Calibri" w:cs="Calibri" w:eastAsia="Calibri" w:hAnsi="Calibri"/>
          <w:b/>
          <w:bCs/>
          <w:sz w:val="22"/>
          <w:szCs w:val="22"/>
        </w:rPr>
        <w:t xml:space="preserve">Ambiguity in wording:</w:t>
      </w:r>
      <w:r>
        <w:rPr>
          <w:rFonts w:ascii="Calibri" w:cs="Calibri" w:eastAsia="Calibri" w:hAnsi="Calibri"/>
          <w:sz w:val="22"/>
          <w:szCs w:val="22"/>
        </w:rPr>
        <w:t xml:space="preserve"> as in items 6 and 9, the score is affected by the marker's interpretation.</w:t>
      </w:r>
    </w:p>
    <w:p>
      <w:pPr>
        <w:pStyle w:val="ListParagraph"/>
        <w:numPr>
          <w:ilvl w:val="0"/>
          <w:numId w:val="3"/>
        </w:numPr>
        <w:bidi w:val="false"/>
        <w:spacing w:after="80" w:line="300"/>
        <w:jc w:val="left"/>
      </w:pPr>
      <w:r>
        <w:rPr>
          <w:rFonts w:ascii="Calibri" w:cs="Calibri" w:eastAsia="Calibri" w:hAnsi="Calibri"/>
          <w:b/>
          <w:bCs/>
          <w:sz w:val="22"/>
          <w:szCs w:val="22"/>
        </w:rPr>
        <w:t xml:space="preserve">Test-taking experience:</w:t>
      </w:r>
      <w:r>
        <w:rPr>
          <w:rFonts w:ascii="Calibri" w:cs="Calibri" w:eastAsia="Calibri" w:hAnsi="Calibri"/>
          <w:sz w:val="22"/>
          <w:szCs w:val="22"/>
        </w:rPr>
        <w:t xml:space="preserve"> an item that can be solved by eliminating illogical options without knowing the content.</w:t>
      </w:r>
    </w:p>
    <w:p>
      <w:pPr>
        <w:pStyle w:val="ListParagraph"/>
        <w:numPr>
          <w:ilvl w:val="0"/>
          <w:numId w:val="3"/>
        </w:numPr>
        <w:bidi w:val="false"/>
        <w:spacing w:after="80" w:line="300"/>
        <w:jc w:val="left"/>
      </w:pPr>
      <w:r>
        <w:rPr>
          <w:rFonts w:ascii="Calibri" w:cs="Calibri" w:eastAsia="Calibri" w:hAnsi="Calibri"/>
          <w:b/>
          <w:bCs/>
          <w:sz w:val="22"/>
          <w:szCs w:val="22"/>
        </w:rPr>
        <w:t xml:space="preserve">Guessing:</w:t>
      </w:r>
      <w:r>
        <w:rPr>
          <w:rFonts w:ascii="Calibri" w:cs="Calibri" w:eastAsia="Calibri" w:hAnsi="Calibri"/>
          <w:sz w:val="22"/>
          <w:szCs w:val="22"/>
        </w:rPr>
        <w:t xml:space="preserve"> true/false items increase the effect of luck on the score.</w:t>
      </w:r>
    </w:p>
    <w:p>
      <w:pPr>
        <w:pStyle w:val="Heading2"/>
        <w:bidi w:val="false"/>
        <w:spacing w:after="120" w:before="240"/>
        <w:jc w:val="left"/>
      </w:pPr>
      <w:r>
        <w:rPr>
          <w:rFonts w:ascii="Calibri" w:cs="Calibri" w:eastAsia="Calibri" w:hAnsi="Calibri"/>
          <w:b/>
          <w:bCs/>
          <w:color w:val="2E75B6"/>
          <w:sz w:val="25"/>
          <w:szCs w:val="25"/>
        </w:rPr>
        <w:t xml:space="preserve">7.3 Homework with the help of AI</w:t>
      </w:r>
    </w:p>
    <w:p>
      <w:pPr>
        <w:bidi w:val="false"/>
        <w:spacing w:after="120" w:line="300"/>
        <w:jc w:val="left"/>
      </w:pPr>
      <w:r>
        <w:rPr>
          <w:rFonts w:ascii="Calibri" w:cs="Calibri" w:eastAsia="Calibri" w:hAnsi="Calibri"/>
          <w:sz w:val="22"/>
          <w:szCs w:val="22"/>
        </w:rPr>
        <w:t xml:space="preserve">If students are set homework that counts towards the grade, and any student could complete it with an AI tool without understanding, the score may reflect skill in using the tool rather than the student's learning. This is construct-irrelevant variance, and it is one of the most widespread threats to validity today.</w:t>
      </w:r>
    </w:p>
    <w:p>
      <w:pPr>
        <w:bidi w:val="false"/>
        <w:spacing w:after="120" w:line="300"/>
        <w:jc w:val="left"/>
      </w:pPr>
      <w:r>
        <w:rPr>
          <w:rFonts w:ascii="Calibri" w:cs="Calibri" w:eastAsia="Calibri" w:hAnsi="Calibri"/>
          <w:sz w:val="22"/>
          <w:szCs w:val="22"/>
        </w:rPr>
        <w:t xml:space="preserve">Anthropic's report on university students' use of Claude (2025) shows that about 47% of conversations were direct, with the student asking for the answer or the product without notable interaction, and the report flagged concerns related to academic integrity. The solution is not a blanket ban, but design:</w:t>
      </w:r>
    </w:p>
    <w:p>
      <w:pPr>
        <w:pStyle w:val="ListParagraph"/>
        <w:numPr>
          <w:ilvl w:val="0"/>
          <w:numId w:val="3"/>
        </w:numPr>
        <w:bidi w:val="false"/>
        <w:spacing w:after="80" w:line="300"/>
        <w:jc w:val="left"/>
      </w:pPr>
      <w:r>
        <w:rPr>
          <w:rFonts w:ascii="Calibri" w:cs="Calibri" w:eastAsia="Calibri" w:hAnsi="Calibri"/>
          <w:b/>
          <w:bCs/>
          <w:sz w:val="22"/>
          <w:szCs w:val="22"/>
        </w:rPr>
        <w:t xml:space="preserve">The University of Sydney's two-track approach:</w:t>
      </w:r>
      <w:r>
        <w:rPr>
          <w:rFonts w:ascii="Calibri" w:cs="Calibri" w:eastAsia="Calibri" w:hAnsi="Calibri"/>
          <w:sz w:val="22"/>
          <w:szCs w:val="22"/>
        </w:rPr>
        <w:t xml:space="preserve"> a secure track in which learning is measured without AI under supervised conditions, and an open track in which AI is permitted with documentation of its use. The interpretation built on the score of each track is different.</w:t>
      </w:r>
    </w:p>
    <w:p>
      <w:pPr>
        <w:pStyle w:val="ListParagraph"/>
        <w:numPr>
          <w:ilvl w:val="0"/>
          <w:numId w:val="3"/>
        </w:numPr>
        <w:bidi w:val="false"/>
        <w:spacing w:after="80" w:line="300"/>
        <w:jc w:val="left"/>
      </w:pPr>
      <w:r>
        <w:rPr>
          <w:rFonts w:ascii="Calibri" w:cs="Calibri" w:eastAsia="Calibri" w:hAnsi="Calibri"/>
          <w:b/>
          <w:bCs/>
          <w:sz w:val="22"/>
          <w:szCs w:val="22"/>
        </w:rPr>
        <w:t xml:space="preserve">United Arab Emirates University's policy (2025):</w:t>
      </w:r>
      <w:r>
        <w:rPr>
          <w:rFonts w:ascii="Calibri" w:cs="Calibri" w:eastAsia="Calibri" w:hAnsi="Calibri"/>
          <w:sz w:val="22"/>
          <w:szCs w:val="22"/>
        </w:rPr>
        <w:t xml:space="preserve"> it prohibits generative AI in tests whose questions students do not see in advance, requires disclosure of its use, and considers undisclosed use to be plagiarism.</w:t>
      </w:r>
    </w:p>
    <w:p>
      <w:pPr>
        <w:bidi w:val="false"/>
        <w:spacing w:after="120" w:line="300"/>
        <w:jc w:val="left"/>
      </w:pPr>
      <w:r>
        <w:rPr>
          <w:rFonts w:ascii="Calibri" w:cs="Calibri" w:eastAsia="Calibri" w:hAnsi="Calibri"/>
          <w:sz w:val="22"/>
          <w:szCs w:val="22"/>
        </w:rPr>
        <w:t xml:space="preserve">The question the teacher asks: what interpretation will I build on this score? And do the conditions under which the work was completed permit this interpretation? This is the logic of the AI use levels in this course.</w:t>
      </w:r>
    </w:p>
    <w:p>
      <w:pPr>
        <w:pStyle w:val="Heading1"/>
        <w:bidi w:val="false"/>
        <w:spacing w:after="160" w:before="360"/>
        <w:jc w:val="left"/>
      </w:pPr>
      <w:r>
        <w:rPr>
          <w:rFonts w:ascii="Calibri" w:cs="Calibri" w:eastAsia="Calibri" w:hAnsi="Calibri"/>
          <w:b/>
          <w:bCs/>
          <w:color w:val="1F4E79"/>
          <w:sz w:val="30"/>
          <w:szCs w:val="30"/>
        </w:rPr>
        <w:t xml:space="preserve">8. Validity and AI-generated tests</w:t>
      </w:r>
    </w:p>
    <w:p>
      <w:pPr>
        <w:bidi w:val="false"/>
        <w:spacing w:after="120" w:line="300"/>
        <w:jc w:val="left"/>
      </w:pPr>
      <w:r>
        <w:rPr>
          <w:rFonts w:ascii="Calibri" w:cs="Calibri" w:eastAsia="Calibri" w:hAnsi="Calibri"/>
          <w:sz w:val="22"/>
          <w:szCs w:val="22"/>
        </w:rPr>
        <w:t xml:space="preserve">Claude can write a complete test in a minute. And Anthropic's data on university educators' use of Claude (2025) show that curriculum development was the largest area of use at 57%, and that assessing student performance was 7%. This means that a growing number of classroom tests will be written with the help of AI.</w:t>
      </w:r>
    </w:p>
    <w:p>
      <w:pPr>
        <w:bidi w:val="false"/>
        <w:spacing w:after="120" w:line="300"/>
        <w:jc w:val="left"/>
      </w:pPr>
      <w:r>
        <w:rPr>
          <w:rFonts w:ascii="Calibri" w:cs="Calibri" w:eastAsia="Calibri" w:hAnsi="Calibri"/>
          <w:sz w:val="22"/>
          <w:szCs w:val="22"/>
        </w:rPr>
        <w:t xml:space="preserve">The rule: </w:t>
      </w:r>
      <w:r>
        <w:rPr>
          <w:rFonts w:ascii="Calibri" w:cs="Calibri" w:eastAsia="Calibri" w:hAnsi="Calibri"/>
          <w:b/>
          <w:bCs/>
          <w:sz w:val="22"/>
          <w:szCs w:val="22"/>
        </w:rPr>
        <w:t xml:space="preserve">validity does not change when the writer changes.</w:t>
      </w:r>
      <w:r>
        <w:rPr>
          <w:rFonts w:ascii="Calibri" w:cs="Calibri" w:eastAsia="Calibri" w:hAnsi="Calibri"/>
          <w:sz w:val="22"/>
          <w:szCs w:val="22"/>
        </w:rPr>
        <w:t xml:space="preserve"> A test generated by Claude needs the same evidence as a test written by a teacher: alignment with the outcomes, balance of levels, expert judgement and a qualitative reading. Indeed, it needs extra care on three points:</w:t>
      </w:r>
    </w:p>
    <w:p>
      <w:pPr>
        <w:pStyle w:val="ListParagraph"/>
        <w:numPr>
          <w:ilvl w:val="0"/>
          <w:numId w:val="3"/>
        </w:numPr>
        <w:bidi w:val="false"/>
        <w:spacing w:after="80" w:line="300"/>
        <w:jc w:val="left"/>
      </w:pPr>
      <w:r>
        <w:rPr>
          <w:rFonts w:ascii="Calibri" w:cs="Calibri" w:eastAsia="Calibri" w:hAnsi="Calibri"/>
          <w:b/>
          <w:bCs/>
          <w:sz w:val="22"/>
          <w:szCs w:val="22"/>
        </w:rPr>
        <w:t xml:space="preserve">A polished appearance is deceptive.</w:t>
      </w:r>
      <w:r>
        <w:rPr>
          <w:rFonts w:ascii="Calibri" w:cs="Calibri" w:eastAsia="Calibri" w:hAnsi="Calibri"/>
          <w:sz w:val="22"/>
          <w:szCs w:val="22"/>
        </w:rPr>
        <w:t xml:space="preserve"> Generated items are usually linguistically sound, so the teacher pays less attention to the content. Checking alignment reveals what good wording does not.</w:t>
      </w:r>
    </w:p>
    <w:p>
      <w:pPr>
        <w:pStyle w:val="ListParagraph"/>
        <w:numPr>
          <w:ilvl w:val="0"/>
          <w:numId w:val="3"/>
        </w:numPr>
        <w:bidi w:val="false"/>
        <w:spacing w:after="80" w:line="300"/>
        <w:jc w:val="left"/>
      </w:pPr>
      <w:r>
        <w:rPr>
          <w:rFonts w:ascii="Calibri" w:cs="Calibri" w:eastAsia="Calibri" w:hAnsi="Calibri"/>
          <w:b/>
          <w:bCs/>
          <w:sz w:val="22"/>
          <w:szCs w:val="22"/>
        </w:rPr>
        <w:t xml:space="preserve">The stated classification may not match the item.</w:t>
      </w:r>
      <w:r>
        <w:rPr>
          <w:rFonts w:ascii="Calibri" w:cs="Calibri" w:eastAsia="Calibri" w:hAnsi="Calibri"/>
          <w:sz w:val="22"/>
          <w:szCs w:val="22"/>
        </w:rPr>
        <w:t xml:space="preserve"> Claude may write «reasoning item» next to a recall item. Do not rely on the classification that accompanies the item; classify it yourself.</w:t>
      </w:r>
    </w:p>
    <w:p>
      <w:pPr>
        <w:pStyle w:val="ListParagraph"/>
        <w:numPr>
          <w:ilvl w:val="0"/>
          <w:numId w:val="3"/>
        </w:numPr>
        <w:bidi w:val="false"/>
        <w:spacing w:after="80" w:line="300"/>
        <w:jc w:val="left"/>
      </w:pPr>
      <w:r>
        <w:rPr>
          <w:rFonts w:ascii="Calibri" w:cs="Calibri" w:eastAsia="Calibri" w:hAnsi="Calibri"/>
          <w:b/>
          <w:bCs/>
          <w:sz w:val="22"/>
          <w:szCs w:val="22"/>
        </w:rPr>
        <w:t xml:space="preserve">The local context is absent.</w:t>
      </w:r>
      <w:r>
        <w:rPr>
          <w:rFonts w:ascii="Calibri" w:cs="Calibri" w:eastAsia="Calibri" w:hAnsi="Calibri"/>
          <w:sz w:val="22"/>
          <w:szCs w:val="22"/>
        </w:rPr>
        <w:t xml:space="preserve"> Claude does not know what was actually taught in your class, nor your students' language level. This affects both content evidence and fairness.</w:t>
      </w:r>
    </w:p>
    <w:p>
      <w:pPr>
        <w:bidi w:val="false"/>
        <w:spacing w:after="120" w:line="300"/>
        <w:jc w:val="left"/>
      </w:pPr>
      <w:r>
        <w:rPr>
          <w:rFonts w:ascii="Calibri" w:cs="Calibri" w:eastAsia="Calibri" w:hAnsi="Calibri"/>
          <w:sz w:val="22"/>
          <w:szCs w:val="22"/>
        </w:rPr>
        <w:t xml:space="preserve">UNESCO's guidance on generative AI in education and research (2023) emphasises that the final judgement in educational decisions remains with humans. This is consistent with the course principle: Claude proposes, the student judges and documents, and the data decides.</w:t>
      </w:r>
    </w:p>
    <w:p>
      <w:pPr>
        <w:pStyle w:val="Heading1"/>
        <w:bidi w:val="false"/>
        <w:spacing w:after="160" w:before="360"/>
        <w:jc w:val="left"/>
      </w:pPr>
      <w:r>
        <w:rPr>
          <w:rFonts w:ascii="Calibri" w:cs="Calibri" w:eastAsia="Calibri" w:hAnsi="Calibri"/>
          <w:b/>
          <w:bCs/>
          <w:color w:val="1F4E79"/>
          <w:sz w:val="30"/>
          <w:szCs w:val="30"/>
        </w:rPr>
        <w:t xml:space="preserve">9. Checking validity with Claude's help</w:t>
      </w:r>
    </w:p>
    <w:p>
      <w:pPr>
        <w:bidi w:val="false"/>
        <w:spacing w:after="120" w:line="300"/>
        <w:jc w:val="left"/>
      </w:pPr>
      <w:r>
        <w:rPr>
          <w:rFonts w:ascii="Calibri" w:cs="Calibri" w:eastAsia="Calibri" w:hAnsi="Calibri"/>
          <w:sz w:val="22"/>
          <w:szCs w:val="22"/>
        </w:rPr>
        <w:t xml:space="preserve">In this week's workshop Claude works as an independent «critic»: it classifies the items without seeing the teacher's classification, so we obtain a second opinion that we compare with the first.</w:t>
      </w:r>
    </w:p>
    <w:p>
      <w:pPr>
        <w:bidi w:val="false"/>
        <w:spacing w:after="120" w:line="300"/>
        <w:jc w:val="left"/>
      </w:pPr>
      <w:r>
        <w:rPr>
          <w:rFonts w:ascii="Calibri" w:cs="Calibri" w:eastAsia="Calibri" w:hAnsi="Calibri"/>
          <w:b/>
          <w:bCs/>
          <w:sz w:val="22"/>
          <w:szCs w:val="22"/>
        </w:rPr>
        <w:t xml:space="preserve">What it does well:</w:t>
      </w:r>
    </w:p>
    <w:p>
      <w:pPr>
        <w:pStyle w:val="ListParagraph"/>
        <w:numPr>
          <w:ilvl w:val="0"/>
          <w:numId w:val="3"/>
        </w:numPr>
        <w:bidi w:val="false"/>
        <w:spacing w:after="80" w:line="300"/>
        <w:jc w:val="left"/>
      </w:pPr>
      <w:r>
        <w:rPr>
          <w:rFonts w:ascii="Calibri" w:cs="Calibri" w:eastAsia="Calibri" w:hAnsi="Calibri"/>
          <w:sz w:val="22"/>
          <w:szCs w:val="22"/>
        </w:rPr>
        <w:t xml:space="preserve">Classifying items by outcome and cognitive level, with a written justification for each classification.</w:t>
      </w:r>
    </w:p>
    <w:p>
      <w:pPr>
        <w:pStyle w:val="ListParagraph"/>
        <w:numPr>
          <w:ilvl w:val="0"/>
          <w:numId w:val="3"/>
        </w:numPr>
        <w:bidi w:val="false"/>
        <w:spacing w:after="80" w:line="300"/>
        <w:jc w:val="left"/>
      </w:pPr>
      <w:r>
        <w:rPr>
          <w:rFonts w:ascii="Calibri" w:cs="Calibri" w:eastAsia="Calibri" w:hAnsi="Calibri"/>
          <w:sz w:val="22"/>
          <w:szCs w:val="22"/>
        </w:rPr>
        <w:t xml:space="preserve">Spotting common wording flaws: the ambiguous blank, cueing the answer, and heterogeneous options.</w:t>
      </w:r>
    </w:p>
    <w:p>
      <w:pPr>
        <w:pStyle w:val="ListParagraph"/>
        <w:numPr>
          <w:ilvl w:val="0"/>
          <w:numId w:val="3"/>
        </w:numPr>
        <w:bidi w:val="false"/>
        <w:spacing w:after="80" w:line="300"/>
        <w:jc w:val="left"/>
      </w:pPr>
      <w:r>
        <w:rPr>
          <w:rFonts w:ascii="Calibri" w:cs="Calibri" w:eastAsia="Calibri" w:hAnsi="Calibri"/>
          <w:sz w:val="22"/>
          <w:szCs w:val="22"/>
        </w:rPr>
        <w:t xml:space="preserve">Suggesting alternative items for an absent outcome or an under-represented level, at different levels.</w:t>
      </w:r>
    </w:p>
    <w:p>
      <w:pPr>
        <w:pStyle w:val="ListParagraph"/>
        <w:numPr>
          <w:ilvl w:val="0"/>
          <w:numId w:val="3"/>
        </w:numPr>
        <w:bidi w:val="false"/>
        <w:spacing w:after="80" w:line="300"/>
        <w:jc w:val="left"/>
      </w:pPr>
      <w:r>
        <w:rPr>
          <w:rFonts w:ascii="Calibri" w:cs="Calibri" w:eastAsia="Calibri" w:hAnsi="Calibri"/>
          <w:sz w:val="22"/>
          <w:szCs w:val="22"/>
        </w:rPr>
        <w:t xml:space="preserve">Recalculating outcome weights after revision.</w:t>
      </w:r>
    </w:p>
    <w:p>
      <w:pPr>
        <w:bidi w:val="false"/>
        <w:spacing w:after="120" w:line="300"/>
        <w:jc w:val="left"/>
      </w:pPr>
      <w:r>
        <w:rPr>
          <w:rFonts w:ascii="Calibri" w:cs="Calibri" w:eastAsia="Calibri" w:hAnsi="Calibri"/>
          <w:b/>
          <w:bCs/>
          <w:sz w:val="22"/>
          <w:szCs w:val="22"/>
        </w:rPr>
        <w:t xml:space="preserve">What you must verify yourself:</w:t>
      </w:r>
    </w:p>
    <w:p>
      <w:pPr>
        <w:pStyle w:val="ListParagraph"/>
        <w:numPr>
          <w:ilvl w:val="0"/>
          <w:numId w:val="3"/>
        </w:numPr>
        <w:bidi w:val="false"/>
        <w:spacing w:after="80" w:line="300"/>
        <w:jc w:val="left"/>
      </w:pPr>
      <w:r>
        <w:rPr>
          <w:rFonts w:ascii="Calibri" w:cs="Calibri" w:eastAsia="Calibri" w:hAnsi="Calibri"/>
          <w:b/>
          <w:bCs/>
          <w:sz w:val="22"/>
          <w:szCs w:val="22"/>
        </w:rPr>
        <w:t xml:space="preserve">That Claude has not seen the teacher's classification.</w:t>
      </w:r>
      <w:r>
        <w:rPr>
          <w:rFonts w:ascii="Calibri" w:cs="Calibri" w:eastAsia="Calibri" w:hAnsi="Calibri"/>
          <w:sz w:val="22"/>
          <w:szCs w:val="22"/>
        </w:rPr>
        <w:t xml:space="preserve"> If you upload the whole file, it will read the outcome and level columns, and the critique will lose its independence. Delete them before uploading.</w:t>
      </w:r>
    </w:p>
    <w:p>
      <w:pPr>
        <w:pStyle w:val="ListParagraph"/>
        <w:numPr>
          <w:ilvl w:val="0"/>
          <w:numId w:val="3"/>
        </w:numPr>
        <w:bidi w:val="false"/>
        <w:spacing w:after="80" w:line="300"/>
        <w:jc w:val="left"/>
      </w:pPr>
      <w:r>
        <w:rPr>
          <w:rFonts w:ascii="Calibri" w:cs="Calibri" w:eastAsia="Calibri" w:hAnsi="Calibri"/>
          <w:b/>
          <w:bCs/>
          <w:sz w:val="22"/>
          <w:szCs w:val="22"/>
        </w:rPr>
        <w:t xml:space="preserve">That its classification of the level depends on what the item actually requires.</w:t>
      </w:r>
      <w:r>
        <w:rPr>
          <w:rFonts w:ascii="Calibri" w:cs="Calibri" w:eastAsia="Calibri" w:hAnsi="Calibri"/>
          <w:sz w:val="22"/>
          <w:szCs w:val="22"/>
        </w:rPr>
        <w:t xml:space="preserve"> A «calculate» item may be recall of a memorised formula, and an «explain» item may have as its answer a sentence memorised from the textbook.</w:t>
      </w:r>
    </w:p>
    <w:p>
      <w:pPr>
        <w:pStyle w:val="ListParagraph"/>
        <w:numPr>
          <w:ilvl w:val="0"/>
          <w:numId w:val="3"/>
        </w:numPr>
        <w:bidi w:val="false"/>
        <w:spacing w:after="80" w:line="300"/>
        <w:jc w:val="left"/>
      </w:pPr>
      <w:r>
        <w:rPr>
          <w:rFonts w:ascii="Calibri" w:cs="Calibri" w:eastAsia="Calibri" w:hAnsi="Calibri"/>
          <w:b/>
          <w:bCs/>
          <w:sz w:val="22"/>
          <w:szCs w:val="22"/>
        </w:rPr>
        <w:t xml:space="preserve">Every new item it suggests:</w:t>
      </w:r>
      <w:r>
        <w:rPr>
          <w:rFonts w:ascii="Calibri" w:cs="Calibri" w:eastAsia="Calibri" w:hAnsi="Calibri"/>
          <w:sz w:val="22"/>
          <w:szCs w:val="22"/>
        </w:rPr>
        <w:t xml:space="preserve"> does it measure the required outcome? Is its level suitable for Grade 8? Is its key scientifically correct?</w:t>
      </w:r>
    </w:p>
    <w:p>
      <w:pPr>
        <w:pStyle w:val="ListParagraph"/>
        <w:numPr>
          <w:ilvl w:val="0"/>
          <w:numId w:val="3"/>
        </w:numPr>
        <w:bidi w:val="false"/>
        <w:spacing w:after="80" w:line="300"/>
        <w:jc w:val="left"/>
      </w:pPr>
      <w:r>
        <w:rPr>
          <w:rFonts w:ascii="Calibri" w:cs="Calibri" w:eastAsia="Calibri" w:hAnsi="Calibri"/>
          <w:b/>
          <w:bCs/>
          <w:sz w:val="22"/>
          <w:szCs w:val="22"/>
        </w:rPr>
        <w:t xml:space="preserve">The numbers are in the Excel file, not in the conversation.</w:t>
      </w:r>
      <w:r>
        <w:rPr>
          <w:rFonts w:ascii="Calibri" w:cs="Calibri" w:eastAsia="Calibri" w:hAnsi="Calibri"/>
          <w:sz w:val="22"/>
          <w:szCs w:val="22"/>
        </w:rPr>
        <w:t xml:space="preserve"> Recalculate the alignment in the file after every revision.</w:t>
      </w:r>
    </w:p>
    <w:p>
      <w:pPr>
        <w:pStyle w:val="ListParagraph"/>
        <w:numPr>
          <w:ilvl w:val="0"/>
          <w:numId w:val="3"/>
        </w:numPr>
        <w:bidi w:val="false"/>
        <w:spacing w:after="80" w:line="300"/>
        <w:jc w:val="left"/>
      </w:pPr>
      <w:r>
        <w:rPr>
          <w:rFonts w:ascii="Calibri" w:cs="Calibri" w:eastAsia="Calibri" w:hAnsi="Calibri"/>
          <w:b/>
          <w:bCs/>
          <w:sz w:val="22"/>
          <w:szCs w:val="22"/>
        </w:rPr>
        <w:t xml:space="preserve">The decision in a disagreement is yours.</w:t>
      </w:r>
      <w:r>
        <w:rPr>
          <w:rFonts w:ascii="Calibri" w:cs="Calibri" w:eastAsia="Calibri" w:hAnsi="Calibri"/>
          <w:sz w:val="22"/>
          <w:szCs w:val="22"/>
        </w:rPr>
        <w:t xml:space="preserve"> Do not automatically adopt either Claude's classification or the teacher's. Go back to the text of the outcome and the text of the item, and write your justification.</w:t>
      </w:r>
    </w:p>
    <w:p>
      <w:pPr>
        <w:bidi w:val="false"/>
        <w:spacing w:after="120" w:line="300"/>
        <w:jc w:val="left"/>
      </w:pPr>
      <w:r>
        <w:rPr>
          <w:rFonts w:ascii="Calibri" w:cs="Calibri" w:eastAsia="Calibri" w:hAnsi="Calibri"/>
          <w:b/>
          <w:bCs/>
          <w:sz w:val="22"/>
          <w:szCs w:val="22"/>
        </w:rPr>
        <w:t xml:space="preserve">Privacy:</w:t>
      </w:r>
      <w:r>
        <w:rPr>
          <w:rFonts w:ascii="Calibri" w:cs="Calibri" w:eastAsia="Calibri" w:hAnsi="Calibri"/>
          <w:sz w:val="22"/>
          <w:szCs w:val="22"/>
        </w:rPr>
        <w:t xml:space="preserve"> upload only the text of the test and the outcomes. No students' names or scores, and no experts' names.</w:t>
      </w:r>
    </w:p>
    <w:p>
      <w:pPr>
        <w:pStyle w:val="Heading1"/>
        <w:bidi w:val="false"/>
        <w:spacing w:after="160" w:before="360"/>
        <w:jc w:val="left"/>
      </w:pPr>
      <w:r>
        <w:rPr>
          <w:rFonts w:ascii="Calibri" w:cs="Calibri" w:eastAsia="Calibri" w:hAnsi="Calibri"/>
          <w:b/>
          <w:bCs/>
          <w:color w:val="1F4E79"/>
          <w:sz w:val="30"/>
          <w:szCs w:val="30"/>
        </w:rPr>
        <w:t xml:space="preserve">10. Questions for review and discussion</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Your colleague says: «My test is valid because an expert reviewed it last year». Discuss this statement in light of the modern concept of validity.</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In this week's example, the gap for O4 equals exactly 5.0. Do you consider it balanced? What additional information do you need to decide?</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The mean of the item validity indices is 0.93, and three items did not reach the threshold. Write two sentences for the department report that express the result accurately.</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Choose two of the five sources of validity evidence other than content, and describe how you would gather evidence from each of them in your class without great cost.</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How does homework completed with an AI tool threaten the validity of the interpretation of scores? Propose a change in assessment design that addresses this.</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Claude generated a 20-item test and wrote its cognitive level next to each item. What steps do you take before adopting the test?</w:t>
      </w:r>
    </w:p>
    <w:p>
      <w:pPr>
        <w:pStyle w:val="Heading1"/>
        <w:bidi w:val="false"/>
        <w:spacing w:after="160" w:before="360"/>
        <w:jc w:val="left"/>
      </w:pPr>
      <w:r>
        <w:rPr>
          <w:rFonts w:ascii="Calibri" w:cs="Calibri" w:eastAsia="Calibri" w:hAnsi="Calibri"/>
          <w:b/>
          <w:bCs/>
          <w:color w:val="1F4E79"/>
          <w:sz w:val="30"/>
          <w:szCs w:val="30"/>
        </w:rPr>
        <w:t xml:space="preserve">11. Readings for the week</w:t>
      </w:r>
    </w:p>
    <w:p>
      <w:pPr>
        <w:pStyle w:val="Heading2"/>
        <w:bidi w:val="false"/>
        <w:spacing w:after="120" w:before="240"/>
        <w:jc w:val="left"/>
      </w:pPr>
      <w:r>
        <w:rPr>
          <w:rFonts w:ascii="Calibri" w:cs="Calibri" w:eastAsia="Calibri" w:hAnsi="Calibri"/>
          <w:b/>
          <w:bCs/>
          <w:color w:val="2E75B6"/>
          <w:sz w:val="25"/>
          <w:szCs w:val="25"/>
        </w:rPr>
        <w:t xml:space="preserve">Core reading</w:t>
      </w:r>
    </w:p>
    <w:p>
      <w:pPr>
        <w:bidi w:val="false"/>
        <w:spacing w:after="120" w:line="300"/>
        <w:jc w:val="left"/>
      </w:pPr>
      <w:r>
        <w:rPr>
          <w:rFonts w:ascii="Calibri" w:cs="Calibri" w:eastAsia="Calibri" w:hAnsi="Calibri"/>
          <w:sz w:val="22"/>
          <w:szCs w:val="22"/>
        </w:rPr>
        <w:t xml:space="preserve">AERA, APA, &amp; NCME (2014). Standards for Educational and Psychological Testing. AERA.</w:t>
      </w:r>
    </w:p>
    <w:p>
      <w:pPr>
        <w:bidi w:val="false"/>
        <w:spacing w:after="120" w:line="300"/>
        <w:jc w:val="left"/>
      </w:pPr>
      <w:r>
        <w:rPr>
          <w:rFonts w:ascii="Calibri" w:cs="Calibri" w:eastAsia="Calibri" w:hAnsi="Calibri"/>
          <w:sz w:val="22"/>
          <w:szCs w:val="22"/>
        </w:rPr>
        <w:t xml:space="preserve">The first chapter, on validity and its five sources of evidence.</w:t>
      </w:r>
    </w:p>
    <w:p>
      <w:pPr>
        <w:pStyle w:val="Heading2"/>
        <w:bidi w:val="false"/>
        <w:spacing w:after="120" w:before="240"/>
        <w:jc w:val="left"/>
      </w:pPr>
      <w:r>
        <w:rPr>
          <w:rFonts w:ascii="Calibri" w:cs="Calibri" w:eastAsia="Calibri" w:hAnsi="Calibri"/>
          <w:b/>
          <w:bCs/>
          <w:color w:val="2E75B6"/>
          <w:sz w:val="25"/>
          <w:szCs w:val="25"/>
        </w:rPr>
        <w:t xml:space="preserve">Supporting readings</w:t>
      </w:r>
    </w:p>
    <w:p>
      <w:pPr>
        <w:bidi w:val="false"/>
        <w:spacing w:after="120" w:line="300"/>
        <w:jc w:val="left"/>
      </w:pPr>
      <w:r>
        <w:rPr>
          <w:rFonts w:ascii="Calibri" w:cs="Calibri" w:eastAsia="Calibri" w:hAnsi="Calibri"/>
          <w:sz w:val="22"/>
          <w:szCs w:val="22"/>
        </w:rPr>
        <w:t xml:space="preserve">Popham, W. J. (2025). Classroom Assessment: What Teachers Need to Know (10th ed.). Pearson.</w:t>
      </w:r>
    </w:p>
    <w:p>
      <w:pPr>
        <w:bidi w:val="false"/>
        <w:spacing w:after="120" w:line="300"/>
        <w:jc w:val="left"/>
      </w:pPr>
      <w:r>
        <w:rPr>
          <w:rFonts w:ascii="Calibri" w:cs="Calibri" w:eastAsia="Calibri" w:hAnsi="Calibri"/>
          <w:sz w:val="22"/>
          <w:szCs w:val="22"/>
        </w:rPr>
        <w:t xml:space="preserve">McMillan, J. H. (2024). Classroom Assessment: Principles and Practice that Enhance Student Learning and Motivation (8th ed.). Pearson.</w:t>
      </w:r>
    </w:p>
    <w:p>
      <w:pPr>
        <w:bidi w:val="false"/>
        <w:spacing w:after="120" w:line="300"/>
        <w:jc w:val="left"/>
      </w:pPr>
      <w:r>
        <w:rPr>
          <w:rFonts w:ascii="Calibri" w:cs="Calibri" w:eastAsia="Calibri" w:hAnsi="Calibri"/>
          <w:sz w:val="22"/>
          <w:szCs w:val="22"/>
        </w:rPr>
        <w:t xml:space="preserve">Kane, M. T. (2013). Validating the interpretations and uses of test scores. Journal of Educational Measurement, 50(1), 1–73.</w:t>
      </w:r>
    </w:p>
    <w:p>
      <w:pPr>
        <w:bidi w:val="false"/>
        <w:spacing w:after="120" w:line="300"/>
        <w:jc w:val="left"/>
      </w:pPr>
      <w:r>
        <w:rPr>
          <w:rFonts w:ascii="Calibri" w:cs="Calibri" w:eastAsia="Calibri" w:hAnsi="Calibri"/>
          <w:sz w:val="22"/>
          <w:szCs w:val="22"/>
        </w:rPr>
        <w:t xml:space="preserve">Webb, N. L. (1997). Criteria for alignment of expectations and assessments in mathematics and science education (Research Monograph No. 6). National Institute for Science Education.</w:t>
      </w:r>
    </w:p>
    <w:p>
      <w:pPr>
        <w:bidi w:val="false"/>
        <w:spacing w:after="120" w:line="300"/>
        <w:jc w:val="left"/>
      </w:pPr>
      <w:r>
        <w:rPr>
          <w:rFonts w:ascii="Calibri" w:cs="Calibri" w:eastAsia="Calibri" w:hAnsi="Calibri"/>
          <w:sz w:val="22"/>
          <w:szCs w:val="22"/>
        </w:rPr>
        <w:t xml:space="preserve">Polit, D. F., &amp; Beck, C. T. (2006). The content validity index: Are you sure you know what's being reported? Research in Nursing &amp; Health, 29(5), 489–497.</w:t>
      </w:r>
    </w:p>
    <w:p>
      <w:pPr>
        <w:bidi w:val="false"/>
        <w:spacing w:after="120" w:line="300"/>
        <w:jc w:val="left"/>
      </w:pPr>
      <w:r>
        <w:rPr>
          <w:rFonts w:ascii="Calibri" w:cs="Calibri" w:eastAsia="Calibri" w:hAnsi="Calibri"/>
          <w:sz w:val="22"/>
          <w:szCs w:val="22"/>
        </w:rPr>
        <w:t xml:space="preserve">Lynn, M. R. (1986). Determination and quantification of content validity. Nursing Research, 35(6), 382–385.</w:t>
      </w:r>
    </w:p>
    <w:p>
      <w:pPr>
        <w:bidi w:val="false"/>
        <w:spacing w:after="120" w:line="300"/>
        <w:jc w:val="left"/>
      </w:pPr>
      <w:r>
        <w:rPr>
          <w:rFonts w:ascii="Calibri" w:cs="Calibri" w:eastAsia="Calibri" w:hAnsi="Calibri"/>
          <w:sz w:val="22"/>
          <w:szCs w:val="22"/>
        </w:rPr>
        <w:t xml:space="preserve">Mullis, I. V. S., Martin, M. O., &amp; von Davier, M. (Eds.) (2021). TIMSS 2023 Assessment Frameworks. TIMSS &amp; PIRLS International Study Center, Boston College.</w:t>
      </w:r>
    </w:p>
    <w:p>
      <w:pPr>
        <w:pStyle w:val="Heading2"/>
        <w:bidi w:val="false"/>
        <w:spacing w:after="120" w:before="240"/>
        <w:jc w:val="left"/>
      </w:pPr>
      <w:r>
        <w:rPr>
          <w:rFonts w:ascii="Calibri" w:cs="Calibri" w:eastAsia="Calibri" w:hAnsi="Calibri"/>
          <w:b/>
          <w:bCs/>
          <w:color w:val="2E75B6"/>
          <w:sz w:val="25"/>
          <w:szCs w:val="25"/>
        </w:rPr>
        <w:t xml:space="preserve">Reading for depth</w:t>
      </w:r>
    </w:p>
    <w:p>
      <w:pPr>
        <w:bidi w:val="false"/>
        <w:spacing w:after="120" w:line="300"/>
        <w:jc w:val="left"/>
      </w:pPr>
      <w:r>
        <w:rPr>
          <w:rFonts w:ascii="Calibri" w:cs="Calibri" w:eastAsia="Calibri" w:hAnsi="Calibri"/>
          <w:sz w:val="22"/>
          <w:szCs w:val="22"/>
        </w:rPr>
        <w:t xml:space="preserve">Messick, S. (1989). Validity. In R. L. Linn (Ed.), Educational Measurement (3rd ed.). American Council on Education/Macmillan.</w:t>
      </w:r>
    </w:p>
    <w:p>
      <w:pPr>
        <w:bidi w:val="false"/>
        <w:spacing w:after="120" w:line="300"/>
        <w:jc w:val="left"/>
      </w:pPr>
      <w:r>
        <w:rPr>
          <w:rFonts w:ascii="Calibri" w:cs="Calibri" w:eastAsia="Calibri" w:hAnsi="Calibri"/>
          <w:sz w:val="22"/>
          <w:szCs w:val="22"/>
        </w:rPr>
        <w:t xml:space="preserve">The founding text of the unified view of validity; it is long and theoretical, and is read for depth only.</w:t>
      </w:r>
    </w:p>
    <w:p>
      <w:pPr>
        <w:pStyle w:val="Heading2"/>
        <w:bidi w:val="false"/>
        <w:spacing w:after="120" w:before="240"/>
        <w:jc w:val="left"/>
      </w:pPr>
      <w:r>
        <w:rPr>
          <w:rFonts w:ascii="Calibri" w:cs="Calibri" w:eastAsia="Calibri" w:hAnsi="Calibri"/>
          <w:b/>
          <w:bCs/>
          <w:color w:val="2E75B6"/>
          <w:sz w:val="25"/>
          <w:szCs w:val="25"/>
        </w:rPr>
        <w:t xml:space="preserve">Critical reading (linked to AI)</w:t>
      </w:r>
    </w:p>
    <w:p>
      <w:pPr>
        <w:bidi w:val="false"/>
        <w:spacing w:after="120" w:line="300"/>
        <w:jc w:val="left"/>
      </w:pPr>
      <w:r>
        <w:rPr>
          <w:rFonts w:ascii="Calibri" w:cs="Calibri" w:eastAsia="Calibri" w:hAnsi="Calibri"/>
          <w:sz w:val="22"/>
          <w:szCs w:val="22"/>
        </w:rPr>
        <w:t xml:space="preserve">Anthropic (2025, April). Anthropic Education Report: How university students use Claude.</w:t>
      </w:r>
    </w:p>
    <w:p>
      <w:pPr>
        <w:bidi w:val="false"/>
        <w:spacing w:after="120" w:line="300"/>
        <w:jc w:val="left"/>
      </w:pPr>
      <w:r>
        <w:rPr>
          <w:rFonts w:ascii="Calibri" w:cs="Calibri" w:eastAsia="Calibri" w:hAnsi="Calibri"/>
          <w:sz w:val="22"/>
          <w:szCs w:val="22"/>
        </w:rPr>
        <w:t xml:space="preserve">Miao, F., &amp; Holmes, W. (2023). Guidance for Generative AI in Education and Research. UNESCO.</w:t>
      </w:r>
    </w:p>
    <w:p>
      <w:pPr>
        <w:pStyle w:val="Heading1"/>
        <w:bidi w:val="false"/>
        <w:spacing w:after="160" w:before="360"/>
        <w:jc w:val="left"/>
      </w:pPr>
      <w:r>
        <w:rPr>
          <w:rFonts w:ascii="Calibri" w:cs="Calibri" w:eastAsia="Calibri" w:hAnsi="Calibri"/>
          <w:b/>
          <w:bCs/>
          <w:color w:val="1F4E79"/>
          <w:sz w:val="30"/>
          <w:szCs w:val="30"/>
        </w:rPr>
        <w:t xml:space="preserve">Glossary of terms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1"/>
        <w:gridCol w:w="5207"/>
      </w:tblGrid>
      <w:tr>
        <w:trPr>
          <w:cantSplit/>
          <w:tblHeader/>
        </w:trPr>
        <w:tc>
          <w:tcPr>
            <w:tcW w:type="dxa" w:w="443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Term used in this course</w:t>
            </w:r>
          </w:p>
        </w:tc>
        <w:tc>
          <w:tcPr>
            <w:tcW w:type="dxa" w:w="52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Equivalent term in the literature</w:t>
            </w:r>
          </w:p>
        </w:tc>
      </w:tr>
      <w:tr>
        <w:trPr>
          <w:cantSplit/>
        </w:trPr>
        <w:tc>
          <w:tcPr>
            <w:tcW w:type="dxa" w:w="44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Validity</w:t>
            </w:r>
          </w:p>
        </w:tc>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Validity</w:t>
            </w:r>
          </w:p>
        </w:tc>
      </w:tr>
      <w:tr>
        <w:trPr>
          <w:cantSplit/>
        </w:trPr>
        <w:tc>
          <w:tcPr>
            <w:tcW w:type="dxa" w:w="44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Interpretation and use argument</w:t>
            </w:r>
          </w:p>
        </w:tc>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Interpretation/use argument</w:t>
            </w:r>
          </w:p>
        </w:tc>
      </w:tr>
      <w:tr>
        <w:trPr>
          <w:cantSplit/>
        </w:trPr>
        <w:tc>
          <w:tcPr>
            <w:tcW w:type="dxa" w:w="44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Argument-based approach</w:t>
            </w:r>
          </w:p>
        </w:tc>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Argument-based approach</w:t>
            </w:r>
          </w:p>
        </w:tc>
      </w:tr>
      <w:tr>
        <w:trPr>
          <w:cantSplit/>
        </w:trPr>
        <w:tc>
          <w:tcPr>
            <w:tcW w:type="dxa" w:w="44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Content evidence</w:t>
            </w:r>
          </w:p>
        </w:tc>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Evidence based on test content</w:t>
            </w:r>
          </w:p>
        </w:tc>
      </w:tr>
      <w:tr>
        <w:trPr>
          <w:cantSplit/>
        </w:trPr>
        <w:tc>
          <w:tcPr>
            <w:tcW w:type="dxa" w:w="44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Response-process evidence</w:t>
            </w:r>
          </w:p>
        </w:tc>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Evidence based on response processes</w:t>
            </w:r>
          </w:p>
        </w:tc>
      </w:tr>
      <w:tr>
        <w:trPr>
          <w:cantSplit/>
        </w:trPr>
        <w:tc>
          <w:tcPr>
            <w:tcW w:type="dxa" w:w="44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Internal-structure evidence</w:t>
            </w:r>
          </w:p>
        </w:tc>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Evidence based on internal structure</w:t>
            </w:r>
          </w:p>
        </w:tc>
      </w:tr>
      <w:tr>
        <w:trPr>
          <w:cantSplit/>
        </w:trPr>
        <w:tc>
          <w:tcPr>
            <w:tcW w:type="dxa" w:w="44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Evidence of relations to other variables</w:t>
            </w:r>
          </w:p>
        </w:tc>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Evidence based on relations to other variables</w:t>
            </w:r>
          </w:p>
        </w:tc>
      </w:tr>
      <w:tr>
        <w:trPr>
          <w:cantSplit/>
        </w:trPr>
        <w:tc>
          <w:tcPr>
            <w:tcW w:type="dxa" w:w="44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Evidence of consequences of testing</w:t>
            </w:r>
          </w:p>
        </w:tc>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Evidence based on consequences of testing</w:t>
            </w:r>
          </w:p>
        </w:tc>
      </w:tr>
      <w:tr>
        <w:trPr>
          <w:cantSplit/>
        </w:trPr>
        <w:tc>
          <w:tcPr>
            <w:tcW w:type="dxa" w:w="44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Alignment</w:t>
            </w:r>
          </w:p>
        </w:tc>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Alignment</w:t>
            </w:r>
          </w:p>
        </w:tc>
      </w:tr>
      <w:tr>
        <w:trPr>
          <w:cantSplit/>
        </w:trPr>
        <w:tc>
          <w:tcPr>
            <w:tcW w:type="dxa" w:w="44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Test blueprint</w:t>
            </w:r>
          </w:p>
        </w:tc>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Test blueprint (table of specifications)</w:t>
            </w:r>
          </w:p>
        </w:tc>
      </w:tr>
      <w:tr>
        <w:trPr>
          <w:cantSplit/>
        </w:trPr>
        <w:tc>
          <w:tcPr>
            <w:tcW w:type="dxa" w:w="44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Depth of knowledge</w:t>
            </w:r>
          </w:p>
        </w:tc>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Depth of knowledge (DOK)</w:t>
            </w:r>
          </w:p>
        </w:tc>
      </w:tr>
      <w:tr>
        <w:trPr>
          <w:cantSplit/>
        </w:trPr>
        <w:tc>
          <w:tcPr>
            <w:tcW w:type="dxa" w:w="44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Balance of representation</w:t>
            </w:r>
          </w:p>
        </w:tc>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Balance of representation</w:t>
            </w:r>
          </w:p>
        </w:tc>
      </w:tr>
      <w:tr>
        <w:trPr>
          <w:cantSplit/>
        </w:trPr>
        <w:tc>
          <w:tcPr>
            <w:tcW w:type="dxa" w:w="44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Item content validity index</w:t>
            </w:r>
          </w:p>
        </w:tc>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Item-level content validity index (I-CVI)</w:t>
            </w:r>
          </w:p>
        </w:tc>
      </w:tr>
      <w:tr>
        <w:trPr>
          <w:cantSplit/>
        </w:trPr>
        <w:tc>
          <w:tcPr>
            <w:tcW w:type="dxa" w:w="44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Mean content validity index</w:t>
            </w:r>
          </w:p>
        </w:tc>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Scale-level CVI, averaging method (S-CVI/Ave)</w:t>
            </w:r>
          </w:p>
        </w:tc>
      </w:tr>
      <w:tr>
        <w:trPr>
          <w:cantSplit/>
        </w:trPr>
        <w:tc>
          <w:tcPr>
            <w:tcW w:type="dxa" w:w="44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Proportion of full agreement</w:t>
            </w:r>
          </w:p>
        </w:tc>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Scale-level CVI, universal agreement (S-CVI/UA)</w:t>
            </w:r>
          </w:p>
        </w:tc>
      </w:tr>
      <w:tr>
        <w:trPr>
          <w:cantSplit/>
        </w:trPr>
        <w:tc>
          <w:tcPr>
            <w:tcW w:type="dxa" w:w="44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Construct under-representation</w:t>
            </w:r>
          </w:p>
        </w:tc>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Construct under-representation</w:t>
            </w:r>
          </w:p>
        </w:tc>
      </w:tr>
      <w:tr>
        <w:trPr>
          <w:cantSplit/>
        </w:trPr>
        <w:tc>
          <w:tcPr>
            <w:tcW w:type="dxa" w:w="44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Construct-irrelevant variance</w:t>
            </w:r>
          </w:p>
        </w:tc>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Construct-irrelevant variance</w:t>
            </w:r>
          </w:p>
        </w:tc>
      </w:tr>
      <w:tr>
        <w:trPr>
          <w:cantSplit/>
        </w:trPr>
        <w:tc>
          <w:tcPr>
            <w:tcW w:type="dxa" w:w="44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Reading load</w:t>
            </w:r>
          </w:p>
        </w:tc>
        <w:tc>
          <w:tcPr>
            <w:tcW w:type="dxa" w:w="52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Reading load</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3: Lecture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Lecture Notes</dc:title>
  <dc:creator>Emad Adel Fraij</dc:creator>
  <cp:lastModifiedBy>Un-named</cp:lastModifiedBy>
  <cp:revision>1</cp:revision>
  <dcterms:created xsi:type="dcterms:W3CDTF">2026-10-15T04:06:00.769Z</dcterms:created>
  <dcterms:modified xsi:type="dcterms:W3CDTF">2026-10-15T04:06:00.769Z</dcterms:modified>
</cp:coreProperties>
</file>

<file path=docProps/custom.xml><?xml version="1.0" encoding="utf-8"?>
<Properties xmlns="http://schemas.openxmlformats.org/officeDocument/2006/custom-properties" xmlns:vt="http://schemas.openxmlformats.org/officeDocument/2006/docPropsVTypes"/>
</file>