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6 — Learning Outcomes and the Test Blueprint: Phase 1 of the Project</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Formulate measurable learning outcomes for a unit of study, each including an observable verb, specific content and a condition of performance.</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Classify learning outcomes according to the levels of the revised Bloom's taxonomy, and convert them to the three cognitive domains of the TIMSS framework: Knowing, Applying, Reasoning.</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Calculate outcome weights from the number of periods and relative importance, and distribute the test marks across the cells of the test blueprint.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Detect the effect of rounding on the blueprint total and on the distribution of levels, and make a documented decision to address it.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Convert each outcome's marks into a suggested number of items and suitable item types for each level.</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Use Claude to draft the outcomes and the blueprint, then verify its numbers with the Excel template and document where they differ.</w:t>
      </w:r>
    </w:p>
    <w:p>
      <w:pPr>
        <w:bidi w:val="false"/>
        <w:spacing w:after="120" w:line="300"/>
        <w:jc w:val="left"/>
      </w:pPr>
      <w:r>
        <w:rPr>
          <w:rFonts w:ascii="Calibri" w:cs="Calibri" w:eastAsia="Calibri" w:hAnsi="Calibri"/>
          <w:sz w:val="22"/>
          <w:szCs w:val="22"/>
        </w:rPr>
        <w:t xml:space="preserve">This week serves course outcome 2, and is Phase 1 of the integrated test project. The blueprint you build here is the basis on which you write items in Week 7, the rubric in Week 8, and analyse the test in Week 11.</w:t>
      </w:r>
    </w:p>
    <w:p>
      <w:pPr>
        <w:pStyle w:val="Heading1"/>
        <w:bidi w:val="false"/>
        <w:spacing w:after="160" w:before="360"/>
        <w:jc w:val="left"/>
      </w:pPr>
      <w:r>
        <w:rPr>
          <w:rFonts w:ascii="Calibri" w:cs="Calibri" w:eastAsia="Calibri" w:hAnsi="Calibri"/>
          <w:b/>
          <w:bCs/>
          <w:color w:val="1F4E79"/>
          <w:sz w:val="30"/>
          <w:szCs w:val="30"/>
        </w:rPr>
        <w:t xml:space="preserve">1. From the Week 3 problem to the plan</w:t>
      </w:r>
    </w:p>
    <w:p>
      <w:pPr>
        <w:bidi w:val="false"/>
        <w:spacing w:after="120" w:line="300"/>
        <w:jc w:val="left"/>
      </w:pPr>
      <w:r>
        <w:rPr>
          <w:rFonts w:ascii="Calibri" w:cs="Calibri" w:eastAsia="Calibri" w:hAnsi="Calibri"/>
          <w:sz w:val="22"/>
          <w:szCs w:val="22"/>
        </w:rPr>
        <w:t xml:space="preserve">In Week 3 we examined the test for the Grade 8 unit "Matter and Its Changes", and found three problems:</w:t>
      </w:r>
    </w:p>
    <w:p>
      <w:pPr>
        <w:pStyle w:val="ListParagraph"/>
        <w:numPr>
          <w:ilvl w:val="0"/>
          <w:numId w:val="3"/>
        </w:numPr>
        <w:bidi w:val="false"/>
        <w:spacing w:after="80" w:line="300"/>
        <w:jc w:val="left"/>
      </w:pPr>
      <w:r>
        <w:rPr>
          <w:rFonts w:ascii="Calibri" w:cs="Calibri" w:eastAsia="Calibri" w:hAnsi="Calibri"/>
          <w:b/>
          <w:bCs/>
          <w:sz w:val="22"/>
          <w:szCs w:val="22"/>
        </w:rPr>
        <w:t xml:space="preserve">Recall takes up half the test.</w:t>
      </w:r>
      <w:r>
        <w:rPr>
          <w:rFonts w:ascii="Calibri" w:cs="Calibri" w:eastAsia="Calibri" w:hAnsi="Calibri"/>
          <w:sz w:val="22"/>
          <w:szCs w:val="22"/>
        </w:rPr>
        <w:t xml:space="preserve"> 15 marks out of 30 for Knowing items, while the teacher had planned for 35%.</w:t>
      </w:r>
    </w:p>
    <w:p>
      <w:pPr>
        <w:pStyle w:val="ListParagraph"/>
        <w:numPr>
          <w:ilvl w:val="0"/>
          <w:numId w:val="3"/>
        </w:numPr>
        <w:bidi w:val="false"/>
        <w:spacing w:after="80" w:line="300"/>
        <w:jc w:val="left"/>
      </w:pPr>
      <w:r>
        <w:rPr>
          <w:rFonts w:ascii="Calibri" w:cs="Calibri" w:eastAsia="Calibri" w:hAnsi="Calibri"/>
          <w:b/>
          <w:bCs/>
          <w:sz w:val="22"/>
          <w:szCs w:val="22"/>
        </w:rPr>
        <w:t xml:space="preserve">A whole outcome is missing.</w:t>
      </w:r>
      <w:r>
        <w:rPr>
          <w:rFonts w:ascii="Calibri" w:cs="Calibri" w:eastAsia="Calibri" w:hAnsi="Calibri"/>
          <w:sz w:val="22"/>
          <w:szCs w:val="22"/>
        </w:rPr>
        <w:t xml:space="preserve"> Outcome O5, "Applies the law of conservation of mass", was not measured by any item.</w:t>
      </w:r>
    </w:p>
    <w:p>
      <w:pPr>
        <w:pStyle w:val="ListParagraph"/>
        <w:numPr>
          <w:ilvl w:val="0"/>
          <w:numId w:val="3"/>
        </w:numPr>
        <w:bidi w:val="false"/>
        <w:spacing w:after="80" w:line="300"/>
        <w:jc w:val="left"/>
      </w:pPr>
      <w:r>
        <w:rPr>
          <w:rFonts w:ascii="Calibri" w:cs="Calibri" w:eastAsia="Calibri" w:hAnsi="Calibri"/>
          <w:b/>
          <w:bCs/>
          <w:sz w:val="22"/>
          <w:szCs w:val="22"/>
        </w:rPr>
        <w:t xml:space="preserve">One outcome is inflated.</w:t>
      </w:r>
      <w:r>
        <w:rPr>
          <w:rFonts w:ascii="Calibri" w:cs="Calibri" w:eastAsia="Calibri" w:hAnsi="Calibri"/>
          <w:sz w:val="22"/>
          <w:szCs w:val="22"/>
        </w:rPr>
        <w:t xml:space="preserve"> Outcome O1 took 10 marks out of 30, i.e. a third.</w:t>
      </w:r>
    </w:p>
    <w:p>
      <w:pPr>
        <w:bidi w:val="false"/>
        <w:spacing w:after="120" w:line="300"/>
        <w:jc w:val="left"/>
      </w:pPr>
      <w:r>
        <w:rPr>
          <w:rFonts w:ascii="Calibri" w:cs="Calibri" w:eastAsia="Calibri" w:hAnsi="Calibri"/>
          <w:sz w:val="22"/>
          <w:szCs w:val="22"/>
        </w:rPr>
        <w:t xml:space="preserve">These were not calculation errors. They were planning errors: the teacher wrote what was easy to write, and we discovered the flaw after the test was ready. The test blueprint reverses the order: we first decide what we will measure, with what weight and at what level of thinking, then we write items to fill cells defined in advance.</w:t>
      </w:r>
    </w:p>
    <w:p>
      <w:pPr>
        <w:bidi w:val="false"/>
        <w:spacing w:after="120" w:line="300"/>
        <w:jc w:val="left"/>
      </w:pPr>
      <w:r>
        <w:rPr>
          <w:rFonts w:ascii="Calibri" w:cs="Calibri" w:eastAsia="Calibri" w:hAnsi="Calibri"/>
          <w:sz w:val="22"/>
          <w:szCs w:val="22"/>
        </w:rPr>
        <w:t xml:space="preserve">This week we build a test blueprint for the same unit from the start, and see how it prevents the three problems before they happen.</w:t>
      </w:r>
    </w:p>
    <w:p>
      <w:pPr>
        <w:pStyle w:val="Heading1"/>
        <w:bidi w:val="false"/>
        <w:spacing w:after="160" w:before="360"/>
        <w:jc w:val="left"/>
      </w:pPr>
      <w:r>
        <w:rPr>
          <w:rFonts w:ascii="Calibri" w:cs="Calibri" w:eastAsia="Calibri" w:hAnsi="Calibri"/>
          <w:b/>
          <w:bCs/>
          <w:color w:val="1F4E79"/>
          <w:sz w:val="30"/>
          <w:szCs w:val="30"/>
        </w:rPr>
        <w:t xml:space="preserve">2. The measurable learning outcome</w:t>
      </w:r>
    </w:p>
    <w:p>
      <w:pPr>
        <w:pStyle w:val="Heading2"/>
        <w:bidi w:val="false"/>
        <w:spacing w:after="120" w:before="240"/>
        <w:jc w:val="left"/>
      </w:pPr>
      <w:r>
        <w:rPr>
          <w:rFonts w:ascii="Calibri" w:cs="Calibri" w:eastAsia="Calibri" w:hAnsi="Calibri"/>
          <w:b/>
          <w:bCs/>
          <w:color w:val="2E75B6"/>
          <w:sz w:val="25"/>
          <w:szCs w:val="25"/>
        </w:rPr>
        <w:t xml:space="preserve">2.1 Why does the plan start with outcomes?</w:t>
      </w:r>
    </w:p>
    <w:p>
      <w:pPr>
        <w:bidi w:val="false"/>
        <w:spacing w:after="120" w:line="300"/>
        <w:jc w:val="left"/>
      </w:pPr>
      <w:r>
        <w:rPr>
          <w:rFonts w:ascii="Calibri" w:cs="Calibri" w:eastAsia="Calibri" w:hAnsi="Calibri"/>
          <w:sz w:val="22"/>
          <w:szCs w:val="22"/>
        </w:rPr>
        <w:t xml:space="preserve">A learning outcome is a statement describing what the student can do after learning. It is the basic unit of the test blueprint: each row in the blueprint is an outcome, and each item in the test is attributed to an outcome. If the outcome is vague, everything after it becomes vague: we do not know which item measures it, nor when to judge that the student has mastered it.</w:t>
      </w:r>
    </w:p>
    <w:p>
      <w:pPr>
        <w:pStyle w:val="Heading2"/>
        <w:bidi w:val="false"/>
        <w:spacing w:after="120" w:before="240"/>
        <w:jc w:val="left"/>
      </w:pPr>
      <w:r>
        <w:rPr>
          <w:rFonts w:ascii="Calibri" w:cs="Calibri" w:eastAsia="Calibri" w:hAnsi="Calibri"/>
          <w:b/>
          <w:bCs/>
          <w:color w:val="2E75B6"/>
          <w:sz w:val="25"/>
          <w:szCs w:val="25"/>
        </w:rPr>
        <w:t xml:space="preserve">2.2 Three components</w:t>
      </w:r>
    </w:p>
    <w:p>
      <w:pPr>
        <w:bidi w:val="false"/>
        <w:spacing w:after="120" w:line="300"/>
        <w:jc w:val="left"/>
      </w:pPr>
      <w:r>
        <w:rPr>
          <w:rFonts w:ascii="Calibri" w:cs="Calibri" w:eastAsia="Calibri" w:hAnsi="Calibri"/>
          <w:sz w:val="22"/>
          <w:szCs w:val="22"/>
        </w:rPr>
        <w:t xml:space="preserve">A measurable outcome consists of three elements: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6"/>
        <w:gridCol w:w="3962"/>
        <w:gridCol w:w="3790"/>
      </w:tblGrid>
      <w:tr>
        <w:trPr>
          <w:cantSplit/>
          <w:tblHeader/>
        </w:trPr>
        <w:tc>
          <w:tcPr>
            <w:tcW w:type="dxa" w:w="1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Component</w:t>
            </w:r>
          </w:p>
        </w:tc>
        <w:tc>
          <w:tcPr>
            <w:tcW w:type="dxa" w:w="39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question</w:t>
            </w:r>
          </w:p>
        </w:tc>
        <w:tc>
          <w:tcPr>
            <w:tcW w:type="dxa" w:w="37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 from the unit</w:t>
            </w:r>
          </w:p>
        </w:tc>
      </w:tr>
      <w:tr>
        <w:trPr>
          <w:cantSplit/>
        </w:trPr>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Verb</w:t>
            </w:r>
          </w:p>
        </w:tc>
        <w:tc>
          <w:tcPr>
            <w:tcW w:type="dxa" w:w="3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does the student do in an observable way?</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Calculates</w:t>
            </w:r>
          </w:p>
        </w:tc>
      </w:tr>
      <w:tr>
        <w:trPr>
          <w:cantSplit/>
        </w:trPr>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w:t>
            </w:r>
          </w:p>
        </w:tc>
        <w:tc>
          <w:tcPr>
            <w:tcW w:type="dxa" w:w="3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On what subject matter does the verb act?</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density of a regularly shaped solid</w:t>
            </w:r>
          </w:p>
        </w:tc>
      </w:tr>
      <w:tr>
        <w:trPr>
          <w:cantSplit/>
        </w:trPr>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Condition</w:t>
            </w:r>
          </w:p>
        </w:tc>
        <w:tc>
          <w:tcPr>
            <w:tcW w:type="dxa" w:w="3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Under what conditions or with what givens?</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From measurements of its mass and dimensions</w:t>
            </w:r>
          </w:p>
        </w:tc>
      </w:tr>
    </w:tbl>
    <w:p>
      <w:pPr>
        <w:spacing w:after="120"/>
      </w:pPr>
    </w:p>
    <w:p>
      <w:pPr>
        <w:bidi w:val="false"/>
        <w:spacing w:after="120" w:line="300"/>
        <w:jc w:val="left"/>
      </w:pPr>
      <w:r>
        <w:rPr>
          <w:rFonts w:ascii="Calibri" w:cs="Calibri" w:eastAsia="Calibri" w:hAnsi="Calibri"/>
          <w:sz w:val="22"/>
          <w:szCs w:val="22"/>
        </w:rPr>
        <w:t xml:space="preserve">The full outcome: "Calculates the density of a regularly shaped solid from measurements of its mass and dimensions." Two different teachers can write similar items for this outcome, and agree on who has mastered it. This is what "measurable" means.</w:t>
      </w:r>
    </w:p>
    <w:p>
      <w:pPr>
        <w:bidi w:val="false"/>
        <w:spacing w:after="120" w:line="300"/>
        <w:jc w:val="left"/>
      </w:pPr>
      <w:r>
        <w:rPr>
          <w:rFonts w:ascii="Calibri" w:cs="Calibri" w:eastAsia="Calibri" w:hAnsi="Calibri"/>
          <w:sz w:val="22"/>
          <w:szCs w:val="22"/>
        </w:rPr>
        <w:t xml:space="preserve">Some teachers add a fourth component, the performance criterion, such as "to one decimal place". The criterion is useful in practical skills and rubrics, but it is not required in every outcome at unit level.</w:t>
      </w:r>
    </w:p>
    <w:p>
      <w:pPr>
        <w:pStyle w:val="Heading2"/>
        <w:bidi w:val="false"/>
        <w:spacing w:after="120" w:before="240"/>
        <w:jc w:val="left"/>
      </w:pPr>
      <w:r>
        <w:rPr>
          <w:rFonts w:ascii="Calibri" w:cs="Calibri" w:eastAsia="Calibri" w:hAnsi="Calibri"/>
          <w:b/>
          <w:bCs/>
          <w:color w:val="2E75B6"/>
          <w:sz w:val="25"/>
          <w:szCs w:val="25"/>
        </w:rPr>
        <w:t xml:space="preserve">2.3 Verbs we avoid</w:t>
      </w:r>
    </w:p>
    <w:p>
      <w:pPr>
        <w:bidi w:val="false"/>
        <w:spacing w:after="120" w:line="300"/>
        <w:jc w:val="left"/>
      </w:pPr>
      <w:r>
        <w:rPr>
          <w:rFonts w:ascii="Calibri" w:cs="Calibri" w:eastAsia="Calibri" w:hAnsi="Calibri"/>
          <w:sz w:val="22"/>
          <w:szCs w:val="22"/>
        </w:rPr>
        <w:t xml:space="preserve">The verbs "understands", "knows", "realises", "comprehends" and "appreciates" describe internal states that we cannot see. We do not see understanding; we see what the student does when they understand. So we replace them with a verb that shows understanding: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5"/>
        <w:gridCol w:w="2784"/>
        <w:gridCol w:w="3749"/>
      </w:tblGrid>
      <w:tr>
        <w:trPr>
          <w:cantSplit/>
          <w:tblHeader/>
        </w:trPr>
        <w:tc>
          <w:tcPr>
            <w:tcW w:type="dxa" w:w="31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Weak outcome</w:t>
            </w:r>
          </w:p>
        </w:tc>
        <w:tc>
          <w:tcPr>
            <w:tcW w:type="dxa" w:w="27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problem</w:t>
            </w:r>
          </w:p>
        </w:tc>
        <w:tc>
          <w:tcPr>
            <w:tcW w:type="dxa" w:w="37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Measurable outcome</w:t>
            </w:r>
          </w:p>
        </w:tc>
      </w:tr>
      <w:tr>
        <w:trPr>
          <w:cantSplit/>
        </w:trPr>
        <w:tc>
          <w:tcPr>
            <w:tcW w:type="dxa" w:w="3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Understands the states of matter</w:t>
            </w:r>
          </w:p>
        </w:tc>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 do not know what shows understanding</w:t>
            </w:r>
          </w:p>
        </w:tc>
        <w:tc>
          <w:tcPr>
            <w:tcW w:type="dxa" w:w="3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Explains the differences in the properties of the states of matter using the particle model</w:t>
            </w:r>
          </w:p>
        </w:tc>
      </w:tr>
      <w:tr>
        <w:trPr>
          <w:cantSplit/>
        </w:trPr>
        <w:tc>
          <w:tcPr>
            <w:tcW w:type="dxa" w:w="3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Knows chemical change</w:t>
            </w:r>
          </w:p>
        </w:tc>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 could mean memorising, distinguishing or applying</w:t>
            </w:r>
          </w:p>
        </w:tc>
        <w:tc>
          <w:tcPr>
            <w:tcW w:type="dxa" w:w="3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Distinguishes between physical and chemical changes in everyday examples</w:t>
            </w:r>
          </w:p>
        </w:tc>
      </w:tr>
      <w:tr>
        <w:trPr>
          <w:cantSplit/>
        </w:trPr>
        <w:tc>
          <w:tcPr>
            <w:tcW w:type="dxa" w:w="3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Realises the importance of the law of conservation of mass</w:t>
            </w:r>
          </w:p>
        </w:tc>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Realisation and importance are not observable</w:t>
            </w:r>
          </w:p>
        </w:tc>
        <w:tc>
          <w:tcPr>
            <w:tcW w:type="dxa" w:w="3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Applies the law of conservation of mass to calculate the mass of a product in a simple reaction</w:t>
            </w:r>
          </w:p>
        </w:tc>
      </w:tr>
      <w:tr>
        <w:trPr>
          <w:cantSplit/>
        </w:trPr>
        <w:tc>
          <w:tcPr>
            <w:tcW w:type="dxa" w:w="3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Recognises, analyses and evaluates separation methods</w:t>
            </w:r>
          </w:p>
        </w:tc>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verbs in one outcome</w:t>
            </w:r>
          </w:p>
        </w:tc>
        <w:tc>
          <w:tcPr>
            <w:tcW w:type="dxa" w:w="3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Plans the separation of the components of a mixture using methods suited to their properties</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2.4 Practical rules for wording</w:t>
      </w:r>
    </w:p>
    <w:p>
      <w:pPr>
        <w:pStyle w:val="ListParagraph"/>
        <w:numPr>
          <w:ilvl w:val="0"/>
          <w:numId w:val="3"/>
        </w:numPr>
        <w:bidi w:val="false"/>
        <w:spacing w:after="80" w:line="300"/>
        <w:jc w:val="left"/>
      </w:pPr>
      <w:r>
        <w:rPr>
          <w:rFonts w:ascii="Calibri" w:cs="Calibri" w:eastAsia="Calibri" w:hAnsi="Calibri"/>
          <w:b/>
          <w:bCs/>
          <w:sz w:val="22"/>
          <w:szCs w:val="22"/>
        </w:rPr>
        <w:t xml:space="preserve">One verb per outcome.</w:t>
      </w:r>
      <w:r>
        <w:rPr>
          <w:rFonts w:ascii="Calibri" w:cs="Calibri" w:eastAsia="Calibri" w:hAnsi="Calibri"/>
          <w:sz w:val="22"/>
          <w:szCs w:val="22"/>
        </w:rPr>
        <w:t xml:space="preserve"> An outcome that combines "identifies, explains and evaluates" can be neither weighted nor classified by level. Split it into outcomes, or choose the highest verb you intend.</w:t>
      </w:r>
    </w:p>
    <w:p>
      <w:pPr>
        <w:pStyle w:val="ListParagraph"/>
        <w:numPr>
          <w:ilvl w:val="0"/>
          <w:numId w:val="3"/>
        </w:numPr>
        <w:bidi w:val="false"/>
        <w:spacing w:after="80" w:line="300"/>
        <w:jc w:val="left"/>
      </w:pPr>
      <w:r>
        <w:rPr>
          <w:rFonts w:ascii="Calibri" w:cs="Calibri" w:eastAsia="Calibri" w:hAnsi="Calibri"/>
          <w:b/>
          <w:bCs/>
          <w:sz w:val="22"/>
          <w:szCs w:val="22"/>
        </w:rPr>
        <w:t xml:space="preserve">The outcome describes the student, not the teacher.</w:t>
      </w:r>
      <w:r>
        <w:rPr>
          <w:rFonts w:ascii="Calibri" w:cs="Calibri" w:eastAsia="Calibri" w:hAnsi="Calibri"/>
          <w:sz w:val="22"/>
          <w:szCs w:val="22"/>
        </w:rPr>
        <w:t xml:space="preserve"> "The teacher explains chemical changes" is a teaching activity, not a learning outcome.</w:t>
      </w:r>
    </w:p>
    <w:p>
      <w:pPr>
        <w:pStyle w:val="ListParagraph"/>
        <w:numPr>
          <w:ilvl w:val="0"/>
          <w:numId w:val="3"/>
        </w:numPr>
        <w:bidi w:val="false"/>
        <w:spacing w:after="80" w:line="300"/>
        <w:jc w:val="left"/>
      </w:pPr>
      <w:r>
        <w:rPr>
          <w:rFonts w:ascii="Calibri" w:cs="Calibri" w:eastAsia="Calibri" w:hAnsi="Calibri"/>
          <w:b/>
          <w:bCs/>
          <w:sz w:val="22"/>
          <w:szCs w:val="22"/>
        </w:rPr>
        <w:t xml:space="preserve">The outcome describes the result, not the activity.</w:t>
      </w:r>
      <w:r>
        <w:rPr>
          <w:rFonts w:ascii="Calibri" w:cs="Calibri" w:eastAsia="Calibri" w:hAnsi="Calibri"/>
          <w:sz w:val="22"/>
          <w:szCs w:val="22"/>
        </w:rPr>
        <w:t xml:space="preserve"> "Takes part in the density experiment" is an activity. The outcome is what the student can do afterwards.</w:t>
      </w:r>
    </w:p>
    <w:p>
      <w:pPr>
        <w:pStyle w:val="ListParagraph"/>
        <w:numPr>
          <w:ilvl w:val="0"/>
          <w:numId w:val="3"/>
        </w:numPr>
        <w:bidi w:val="false"/>
        <w:spacing w:after="80" w:line="300"/>
        <w:jc w:val="left"/>
      </w:pPr>
      <w:r>
        <w:rPr>
          <w:rFonts w:ascii="Calibri" w:cs="Calibri" w:eastAsia="Calibri" w:hAnsi="Calibri"/>
          <w:b/>
          <w:bCs/>
          <w:sz w:val="22"/>
          <w:szCs w:val="22"/>
        </w:rPr>
        <w:t xml:space="preserve">A size suitable for the unit.</w:t>
      </w:r>
      <w:r>
        <w:rPr>
          <w:rFonts w:ascii="Calibri" w:cs="Calibri" w:eastAsia="Calibri" w:hAnsi="Calibri"/>
          <w:sz w:val="22"/>
          <w:szCs w:val="22"/>
        </w:rPr>
        <w:t xml:space="preserve"> In a unit of 15 to 20 periods, 5 to 8 outcomes are usually enough. Fewer makes the outcomes too general, and more makes the blueprint fragmented beyond what the items of a single test can cover. This is a rule of thumb, not a binding number.</w:t>
      </w:r>
    </w:p>
    <w:p>
      <w:pPr>
        <w:pStyle w:val="ListParagraph"/>
        <w:numPr>
          <w:ilvl w:val="0"/>
          <w:numId w:val="3"/>
        </w:numPr>
        <w:bidi w:val="false"/>
        <w:spacing w:after="80" w:line="300"/>
        <w:jc w:val="left"/>
      </w:pPr>
      <w:r>
        <w:rPr>
          <w:rFonts w:ascii="Calibri" w:cs="Calibri" w:eastAsia="Calibri" w:hAnsi="Calibri"/>
          <w:b/>
          <w:bCs/>
          <w:sz w:val="22"/>
          <w:szCs w:val="22"/>
        </w:rPr>
        <w:t xml:space="preserve">Go back to the curriculum document.</w:t>
      </w:r>
      <w:r>
        <w:rPr>
          <w:rFonts w:ascii="Calibri" w:cs="Calibri" w:eastAsia="Calibri" w:hAnsi="Calibri"/>
          <w:sz w:val="22"/>
          <w:szCs w:val="22"/>
        </w:rPr>
        <w:t xml:space="preserve"> The official outcomes of the unit are the starting point. Your wording makes them measurable, and does not add to them what has not been taught.</w:t>
      </w:r>
    </w:p>
    <w:p>
      <w:pPr>
        <w:pStyle w:val="Heading1"/>
        <w:bidi w:val="false"/>
        <w:spacing w:after="160" w:before="360"/>
        <w:jc w:val="left"/>
      </w:pPr>
      <w:r>
        <w:rPr>
          <w:rFonts w:ascii="Calibri" w:cs="Calibri" w:eastAsia="Calibri" w:hAnsi="Calibri"/>
          <w:b/>
          <w:bCs/>
          <w:color w:val="1F4E79"/>
          <w:sz w:val="30"/>
          <w:szCs w:val="30"/>
        </w:rPr>
        <w:t xml:space="preserve">3. The revised Bloom's taxonomy and the TIMSS domains</w:t>
      </w:r>
    </w:p>
    <w:p>
      <w:pPr>
        <w:pStyle w:val="Heading2"/>
        <w:bidi w:val="false"/>
        <w:spacing w:after="120" w:before="240"/>
        <w:jc w:val="left"/>
      </w:pPr>
      <w:r>
        <w:rPr>
          <w:rFonts w:ascii="Calibri" w:cs="Calibri" w:eastAsia="Calibri" w:hAnsi="Calibri"/>
          <w:b/>
          <w:bCs/>
          <w:color w:val="2E75B6"/>
          <w:sz w:val="25"/>
          <w:szCs w:val="25"/>
        </w:rPr>
        <w:t xml:space="preserve">3.1 The six levels</w:t>
      </w:r>
    </w:p>
    <w:p>
      <w:pPr>
        <w:bidi w:val="false"/>
        <w:spacing w:after="120" w:line="300"/>
        <w:jc w:val="left"/>
      </w:pPr>
      <w:r>
        <w:rPr>
          <w:rFonts w:ascii="Calibri" w:cs="Calibri" w:eastAsia="Calibri" w:hAnsi="Calibri"/>
          <w:sz w:val="22"/>
          <w:szCs w:val="22"/>
        </w:rPr>
        <w:t xml:space="preserve">Anderson and Krathwohl (2001) published a revision of the original Bloom's taxonomy. The most important changes were that the levels became verbs instead of nouns, and that "create" became the highest level instead of "evaluate". The revised taxonomy arranged cognitive processes into six levels: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4497"/>
        <w:gridCol w:w="3856"/>
      </w:tblGrid>
      <w:tr>
        <w:trPr>
          <w:cantSplit/>
          <w:tblHeader/>
        </w:trPr>
        <w:tc>
          <w:tcPr>
            <w:tcW w:type="dxa" w:w="12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44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the student does</w:t>
            </w:r>
          </w:p>
        </w:tc>
        <w:tc>
          <w:tcPr>
            <w:tcW w:type="dxa" w:w="38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Common verbs</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Remember</w:t>
            </w:r>
          </w:p>
        </w:tc>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Retrieves information from memory</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Names, lists, states, recognises</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Understand</w:t>
            </w:r>
          </w:p>
        </w:tc>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Constructs meaning from what they have learned</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Describes, classifies, compares, gives an example, explains</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w:t>
            </w:r>
          </w:p>
        </w:tc>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Carries out a procedure in a given situation</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Calculates, uses, executes, applies</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Analyse</w:t>
            </w:r>
          </w:p>
        </w:tc>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Breaks material into parts and determines the relationships between them</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Distinguishes causes, infers from data, identifies variables</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Evaluate</w:t>
            </w:r>
          </w:p>
        </w:tc>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Makes a judgement based on criteria</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Assesses, justifies, critiques, judges</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Create</w:t>
            </w:r>
          </w:p>
        </w:tc>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Puts elements together into a new product or plan</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Designs, plans, proposes a hypothesis</w:t>
            </w:r>
          </w:p>
        </w:tc>
      </w:tr>
    </w:tbl>
    <w:p>
      <w:pPr>
        <w:spacing w:after="120"/>
      </w:pPr>
    </w:p>
    <w:p>
      <w:pPr>
        <w:bidi w:val="false"/>
        <w:spacing w:after="120" w:line="300"/>
        <w:jc w:val="left"/>
      </w:pPr>
      <w:r>
        <w:rPr>
          <w:rFonts w:ascii="Calibri" w:cs="Calibri" w:eastAsia="Calibri" w:hAnsi="Calibri"/>
          <w:sz w:val="22"/>
          <w:szCs w:val="22"/>
        </w:rPr>
        <w:t xml:space="preserve">The revised taxonomy added a second dimension, the "knowledge dimension": factual knowledge, conceptual knowledge, procedural knowledge, and metacognitive knowledge. We will not use this dimension in our blueprint, but it is enough to know that "calculates density" is procedural, that "explains floating using density" is conceptual, and that the difference between them affects the item type.</w:t>
      </w:r>
    </w:p>
    <w:p>
      <w:pPr>
        <w:pStyle w:val="Heading2"/>
        <w:bidi w:val="false"/>
        <w:spacing w:after="120" w:before="240"/>
        <w:jc w:val="left"/>
      </w:pPr>
      <w:r>
        <w:rPr>
          <w:rFonts w:ascii="Calibri" w:cs="Calibri" w:eastAsia="Calibri" w:hAnsi="Calibri"/>
          <w:b/>
          <w:bCs/>
          <w:color w:val="2E75B6"/>
          <w:sz w:val="25"/>
          <w:szCs w:val="25"/>
        </w:rPr>
        <w:t xml:space="preserve">3.2 From six levels to three domains</w:t>
      </w:r>
    </w:p>
    <w:p>
      <w:pPr>
        <w:bidi w:val="false"/>
        <w:spacing w:after="120" w:line="300"/>
        <w:jc w:val="left"/>
      </w:pPr>
      <w:r>
        <w:rPr>
          <w:rFonts w:ascii="Calibri" w:cs="Calibri" w:eastAsia="Calibri" w:hAnsi="Calibri"/>
          <w:sz w:val="22"/>
          <w:szCs w:val="22"/>
        </w:rPr>
        <w:t xml:space="preserve">A blueprint with six level columns is hard to fill in a 20-item classroom test, and many of its cells would be left with one mark or zero. So in this course we use the three cognitive domains of the TIMSS 2023 framework, as we did in Week 3.</w:t>
      </w:r>
    </w:p>
    <w:p>
      <w:pPr>
        <w:bidi w:val="false"/>
        <w:spacing w:after="120" w:line="300"/>
        <w:jc w:val="left"/>
      </w:pPr>
      <w:r>
        <w:rPr>
          <w:rFonts w:ascii="Calibri" w:cs="Calibri" w:eastAsia="Calibri" w:hAnsi="Calibri"/>
          <w:sz w:val="22"/>
          <w:szCs w:val="22"/>
        </w:rPr>
        <w:t xml:space="preserve">The TIMSS 2023 framework (Mullis et al., 2021) set this target distribution for Grade 8 science: </w:t>
      </w:r>
      <w:r>
        <w:rPr>
          <w:rFonts w:ascii="Calibri" w:cs="Calibri" w:eastAsia="Calibri" w:hAnsi="Calibri"/>
          <w:b/>
          <w:bCs/>
          <w:sz w:val="22"/>
          <w:szCs w:val="22"/>
        </w:rPr>
        <w:t xml:space="preserve">Knowing 35%, Applying 35%, Reasoning 30%</w:t>
      </w:r>
      <w:r>
        <w:rPr>
          <w:rFonts w:ascii="Calibri" w:cs="Calibri" w:eastAsia="Calibri" w:hAnsi="Calibri"/>
          <w:sz w:val="22"/>
          <w:szCs w:val="22"/>
        </w:rPr>
        <w:t xml:space="preserve">. The Grade 4 science distribution is 40%, 40% and 20%. This week's worked example, however, adopts the distribution chosen by the teacher in the example: </w:t>
      </w:r>
      <w:r>
        <w:rPr>
          <w:rFonts w:ascii="Calibri" w:cs="Calibri" w:eastAsia="Calibri" w:hAnsi="Calibri"/>
          <w:b/>
          <w:bCs/>
          <w:sz w:val="22"/>
          <w:szCs w:val="22"/>
        </w:rPr>
        <w:t xml:space="preserve">Knowing 35%, Applying 40%, Reasoning 25%</w:t>
      </w:r>
      <w:r>
        <w:rPr>
          <w:rFonts w:ascii="Calibri" w:cs="Calibri" w:eastAsia="Calibri" w:hAnsi="Calibri"/>
          <w:sz w:val="22"/>
          <w:szCs w:val="22"/>
        </w:rPr>
        <w:t xml:space="preserve">. This difference is acceptable: the TIMSS framework is a useful reference for comparison, not a binding rule for a classroom test. The teacher is entitled to depart from it if they justify this by their curriculum and the purpose of their test, for example if they judge that their students have not yet practised enough novel reasoning situations in this unit.</w:t>
      </w:r>
    </w:p>
    <w:p>
      <w:pPr>
        <w:bidi w:val="false"/>
        <w:spacing w:after="120" w:line="300"/>
        <w:jc w:val="left"/>
      </w:pPr>
      <w:r>
        <w:rPr>
          <w:rFonts w:ascii="Calibri" w:cs="Calibri" w:eastAsia="Calibri" w:hAnsi="Calibri"/>
          <w:sz w:val="22"/>
          <w:szCs w:val="22"/>
        </w:rPr>
        <w:t xml:space="preserve">The conversion between the two classifications is approximate, not a literal match:</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807"/>
        <w:gridCol w:w="6024"/>
      </w:tblGrid>
      <w:tr>
        <w:trPr>
          <w:cantSplit/>
          <w:tblHeader/>
        </w:trPr>
        <w:tc>
          <w:tcPr>
            <w:tcW w:type="dxa" w:w="18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Revised Bloom's level</w:t>
            </w:r>
          </w:p>
        </w:tc>
        <w:tc>
          <w:tcPr>
            <w:tcW w:type="dxa" w:w="18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Closest TIMSS domain</w:t>
            </w:r>
          </w:p>
        </w:tc>
        <w:tc>
          <w:tcPr>
            <w:tcW w:type="dxa" w:w="6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Note</w:t>
            </w:r>
          </w:p>
        </w:tc>
      </w:tr>
      <w:tr>
        <w:trPr>
          <w:cantSplit/>
        </w:trP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Remember</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Retrieving and recognising facts and terms</w:t>
            </w:r>
          </w:p>
        </w:tc>
      </w:tr>
      <w:tr>
        <w:trPr>
          <w:cantSplit/>
        </w:trP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Understand</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 or Applying</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Describing and giving examples is closer to Knowing; comparing, classifying and explaining with a model is closer to Applying</w:t>
            </w:r>
          </w:p>
        </w:tc>
      </w:tr>
      <w:tr>
        <w:trPr>
          <w:cantSplit/>
        </w:trP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Using a formula, model or procedure in a familiar situation</w:t>
            </w:r>
          </w:p>
        </w:tc>
      </w:tr>
      <w:tr>
        <w:trPr>
          <w:cantSplit/>
        </w:trP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Analyse</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 or Reasoning</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Interpreting familiar data is Applying; inferring a relationship from new data is Reasoning</w:t>
            </w:r>
          </w:p>
        </w:tc>
      </w:tr>
      <w:tr>
        <w:trPr>
          <w:cantSplit/>
        </w:trP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Evaluate</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Reasoning</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Judging a conclusion or an experimental design and justifying it</w:t>
            </w:r>
          </w:p>
        </w:tc>
      </w:tr>
      <w:tr>
        <w:trPr>
          <w:cantSplit/>
        </w:trP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Create</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Reasoning</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Designing an experiment or a plan, and proposing a hypothesis</w:t>
            </w:r>
          </w:p>
        </w:tc>
      </w:tr>
    </w:tbl>
    <w:p>
      <w:pPr>
        <w:spacing w:after="120"/>
      </w:pPr>
    </w:p>
    <w:p>
      <w:pPr>
        <w:bidi w:val="false"/>
        <w:spacing w:after="120" w:line="300"/>
        <w:jc w:val="left"/>
      </w:pPr>
      <w:r>
        <w:rPr>
          <w:rFonts w:ascii="Calibri" w:cs="Calibri" w:eastAsia="Calibri" w:hAnsi="Calibri"/>
          <w:sz w:val="22"/>
          <w:szCs w:val="22"/>
        </w:rPr>
        <w:t xml:space="preserve">Notice that "Understand" and "Analyse" are split across two domains. Here the teacher needs to judge: what does the item actually ask of the student?</w:t>
      </w:r>
    </w:p>
    <w:p>
      <w:pPr>
        <w:pStyle w:val="Heading2"/>
        <w:bidi w:val="false"/>
        <w:spacing w:after="120" w:before="240"/>
        <w:jc w:val="left"/>
      </w:pPr>
      <w:r>
        <w:rPr>
          <w:rFonts w:ascii="Calibri" w:cs="Calibri" w:eastAsia="Calibri" w:hAnsi="Calibri"/>
          <w:b/>
          <w:bCs/>
          <w:color w:val="2E75B6"/>
          <w:sz w:val="25"/>
          <w:szCs w:val="25"/>
        </w:rPr>
        <w:t xml:space="preserve">3.3 The verb alone does not determine the level</w:t>
      </w:r>
    </w:p>
    <w:p>
      <w:pPr>
        <w:bidi w:val="false"/>
        <w:spacing w:after="120" w:line="300"/>
        <w:jc w:val="left"/>
      </w:pPr>
      <w:r>
        <w:rPr>
          <w:rFonts w:ascii="Calibri" w:cs="Calibri" w:eastAsia="Calibri" w:hAnsi="Calibri"/>
          <w:sz w:val="22"/>
          <w:szCs w:val="22"/>
        </w:rPr>
        <w:t xml:space="preserve">This is the most important lesson in classification, and we saw it in Week 3. The verb "explains" may be Knowing if the explanation is a sentence memorised from the textbook, and it may be Reasoning if the student is asked to explain a new phenomenon not covered in the lesson. And the verb "calculates" may be Applying in a familiar problem, or Reasoning if the student has to select the givens from a complex situation.</w:t>
      </w:r>
    </w:p>
    <w:p>
      <w:pPr>
        <w:bidi w:val="false"/>
        <w:spacing w:after="120" w:line="300"/>
        <w:jc w:val="left"/>
      </w:pPr>
      <w:r>
        <w:rPr>
          <w:rFonts w:ascii="Calibri" w:cs="Calibri" w:eastAsia="Calibri" w:hAnsi="Calibri"/>
          <w:sz w:val="22"/>
          <w:szCs w:val="22"/>
        </w:rPr>
        <w:t xml:space="preserve">So we classify the outcome by the </w:t>
      </w:r>
      <w:r>
        <w:rPr>
          <w:rFonts w:ascii="Calibri" w:cs="Calibri" w:eastAsia="Calibri" w:hAnsi="Calibri"/>
          <w:b/>
          <w:bCs/>
          <w:sz w:val="22"/>
          <w:szCs w:val="22"/>
        </w:rPr>
        <w:t xml:space="preserve">highest</w:t>
      </w:r>
      <w:r>
        <w:rPr>
          <w:rFonts w:ascii="Calibri" w:cs="Calibri" w:eastAsia="Calibri" w:hAnsi="Calibri"/>
          <w:sz w:val="22"/>
          <w:szCs w:val="22"/>
        </w:rPr>
        <w:t xml:space="preserve"> level it requires, then distribute its marks across the three levels, because a single outcome is usually measured by items at more than one level. Outcome O3, "Calculates density and uses it to explain floating", can be measured by a Knowing item about the unit of density, an Applying item that calculates the density of an object, and a Reasoning item that predicts whether an unknown object will float.</w:t>
      </w:r>
    </w:p>
    <w:p>
      <w:pPr>
        <w:pStyle w:val="Heading1"/>
        <w:bidi w:val="false"/>
        <w:spacing w:after="160" w:before="360"/>
        <w:jc w:val="left"/>
      </w:pPr>
      <w:r>
        <w:rPr>
          <w:rFonts w:ascii="Calibri" w:cs="Calibri" w:eastAsia="Calibri" w:hAnsi="Calibri"/>
          <w:b/>
          <w:bCs/>
          <w:color w:val="1F4E79"/>
          <w:sz w:val="30"/>
          <w:szCs w:val="30"/>
        </w:rPr>
        <w:t xml:space="preserve">4. The test blueprint: what it is and why</w:t>
      </w:r>
    </w:p>
    <w:p>
      <w:pPr>
        <w:pStyle w:val="Heading2"/>
        <w:bidi w:val="false"/>
        <w:spacing w:after="120" w:before="240"/>
        <w:jc w:val="left"/>
      </w:pPr>
      <w:r>
        <w:rPr>
          <w:rFonts w:ascii="Calibri" w:cs="Calibri" w:eastAsia="Calibri" w:hAnsi="Calibri"/>
          <w:b/>
          <w:bCs/>
          <w:color w:val="2E75B6"/>
          <w:sz w:val="25"/>
          <w:szCs w:val="25"/>
        </w:rPr>
        <w:t xml:space="preserve">4.1 Definition</w:t>
      </w:r>
    </w:p>
    <w:p>
      <w:pPr>
        <w:bidi w:val="false"/>
        <w:spacing w:after="120" w:line="300"/>
        <w:jc w:val="left"/>
      </w:pPr>
      <w:r>
        <w:rPr>
          <w:rFonts w:ascii="Calibri" w:cs="Calibri" w:eastAsia="Calibri" w:hAnsi="Calibri"/>
          <w:sz w:val="22"/>
          <w:szCs w:val="22"/>
        </w:rPr>
        <w:t xml:space="preserve">A test blueprint is a two-dimensional matrix: the rows are learning outcomes, and the columns are cognitive levels. Each cell holds the number of marks the test allocates to that outcome at that level. Usually added to it are each outcome's weight, its total marks, and the suggested number of items.</w:t>
      </w:r>
    </w:p>
    <w:p>
      <w:pPr>
        <w:pStyle w:val="Heading2"/>
        <w:bidi w:val="false"/>
        <w:spacing w:after="120" w:before="240"/>
        <w:jc w:val="left"/>
      </w:pPr>
      <w:r>
        <w:rPr>
          <w:rFonts w:ascii="Calibri" w:cs="Calibri" w:eastAsia="Calibri" w:hAnsi="Calibri"/>
          <w:b/>
          <w:bCs/>
          <w:color w:val="2E75B6"/>
          <w:sz w:val="25"/>
          <w:szCs w:val="25"/>
        </w:rPr>
        <w:t xml:space="preserve">4.2 The blueprint as validity evidence</w:t>
      </w:r>
    </w:p>
    <w:p>
      <w:pPr>
        <w:bidi w:val="false"/>
        <w:spacing w:after="120" w:line="300"/>
        <w:jc w:val="left"/>
      </w:pPr>
      <w:r>
        <w:rPr>
          <w:rFonts w:ascii="Calibri" w:cs="Calibri" w:eastAsia="Calibri" w:hAnsi="Calibri"/>
          <w:sz w:val="22"/>
          <w:szCs w:val="22"/>
        </w:rPr>
        <w:t xml:space="preserve">The Standards for Educational and Psychological Testing (2014) classify "evidence based on test content" as one of the five sources of validity evidence. The test blueprint is the document that makes this evidence possible, because it answers two questions in advance:</w:t>
      </w:r>
    </w:p>
    <w:p>
      <w:pPr>
        <w:pStyle w:val="ListParagraph"/>
        <w:numPr>
          <w:ilvl w:val="0"/>
          <w:numId w:val="3"/>
        </w:numPr>
        <w:bidi w:val="false"/>
        <w:spacing w:after="80" w:line="300"/>
        <w:jc w:val="left"/>
      </w:pPr>
      <w:r>
        <w:rPr>
          <w:rFonts w:ascii="Calibri" w:cs="Calibri" w:eastAsia="Calibri" w:hAnsi="Calibri"/>
          <w:b/>
          <w:bCs/>
          <w:sz w:val="22"/>
          <w:szCs w:val="22"/>
        </w:rPr>
        <w:t xml:space="preserve">Does the test represent all the outcomes?</w:t>
      </w:r>
      <w:r>
        <w:rPr>
          <w:rFonts w:ascii="Calibri" w:cs="Calibri" w:eastAsia="Calibri" w:hAnsi="Calibri"/>
          <w:sz w:val="22"/>
          <w:szCs w:val="22"/>
        </w:rPr>
        <w:t xml:space="preserve"> If every outcome has a row in the blueprint with marks in it, no outcome will be missing as O5 was in Week 3.</w:t>
      </w:r>
    </w:p>
    <w:p>
      <w:pPr>
        <w:pStyle w:val="ListParagraph"/>
        <w:numPr>
          <w:ilvl w:val="0"/>
          <w:numId w:val="3"/>
        </w:numPr>
        <w:bidi w:val="false"/>
        <w:spacing w:after="80" w:line="300"/>
        <w:jc w:val="left"/>
      </w:pPr>
      <w:r>
        <w:rPr>
          <w:rFonts w:ascii="Calibri" w:cs="Calibri" w:eastAsia="Calibri" w:hAnsi="Calibri"/>
          <w:b/>
          <w:bCs/>
          <w:sz w:val="22"/>
          <w:szCs w:val="22"/>
        </w:rPr>
        <w:t xml:space="preserve">Does it represent them with the intended weight and level?</w:t>
      </w:r>
      <w:r>
        <w:rPr>
          <w:rFonts w:ascii="Calibri" w:cs="Calibri" w:eastAsia="Calibri" w:hAnsi="Calibri"/>
          <w:sz w:val="22"/>
          <w:szCs w:val="22"/>
        </w:rPr>
        <w:t xml:space="preserve"> If the weights are calculated from a stated basis, an outcome that is easy to write items for will not become inflated, and recall will not take up half the test.</w:t>
      </w:r>
    </w:p>
    <w:p>
      <w:pPr>
        <w:bidi w:val="false"/>
        <w:spacing w:after="120" w:line="300"/>
        <w:jc w:val="left"/>
      </w:pPr>
      <w:r>
        <w:rPr>
          <w:rFonts w:ascii="Calibri" w:cs="Calibri" w:eastAsia="Calibri" w:hAnsi="Calibri"/>
          <w:sz w:val="22"/>
          <w:szCs w:val="22"/>
        </w:rPr>
        <w:t xml:space="preserve">After the test is written, the blueprint becomes the reference against which we compare the actual test, using the alignment criteria proposed by Webb (1997) that we used in Week 3. That is, the blueprint works twice: as a plan before writing, and as a checking standard afterwards.</w:t>
      </w:r>
    </w:p>
    <w:p>
      <w:pPr>
        <w:pStyle w:val="Heading2"/>
        <w:bidi w:val="false"/>
        <w:spacing w:after="120" w:before="240"/>
        <w:jc w:val="left"/>
      </w:pPr>
      <w:r>
        <w:rPr>
          <w:rFonts w:ascii="Calibri" w:cs="Calibri" w:eastAsia="Calibri" w:hAnsi="Calibri"/>
          <w:b/>
          <w:bCs/>
          <w:color w:val="2E75B6"/>
          <w:sz w:val="25"/>
          <w:szCs w:val="25"/>
        </w:rPr>
        <w:t xml:space="preserve">4.3 What the blueprint does not do</w:t>
      </w:r>
    </w:p>
    <w:p>
      <w:pPr>
        <w:bidi w:val="false"/>
        <w:spacing w:after="120" w:line="300"/>
        <w:jc w:val="left"/>
      </w:pPr>
      <w:r>
        <w:rPr>
          <w:rFonts w:ascii="Calibri" w:cs="Calibri" w:eastAsia="Calibri" w:hAnsi="Calibri"/>
          <w:sz w:val="22"/>
          <w:szCs w:val="22"/>
        </w:rPr>
        <w:t xml:space="preserve">The blueprint does not guarantee the quality of the items. An ambiguous item in the right cell remains ambiguous. Nor does it guarantee that an item placed in a "Reasoning" cell actually requires reasoning. These are the tasks of Weeks 7 and 8, and of the expert review we learned in Week 3.</w:t>
      </w:r>
    </w:p>
    <w:p>
      <w:pPr>
        <w:pStyle w:val="Heading1"/>
        <w:bidi w:val="false"/>
        <w:spacing w:after="160" w:before="360"/>
        <w:jc w:val="left"/>
      </w:pPr>
      <w:r>
        <w:rPr>
          <w:rFonts w:ascii="Calibri" w:cs="Calibri" w:eastAsia="Calibri" w:hAnsi="Calibri"/>
          <w:b/>
          <w:bCs/>
          <w:color w:val="1F4E79"/>
          <w:sz w:val="30"/>
          <w:szCs w:val="30"/>
        </w:rPr>
        <w:t xml:space="preserve">5. Calculating outcome weights</w:t>
      </w:r>
    </w:p>
    <w:p>
      <w:pPr>
        <w:pStyle w:val="Heading2"/>
        <w:bidi w:val="false"/>
        <w:spacing w:after="120" w:before="240"/>
        <w:jc w:val="left"/>
      </w:pPr>
      <w:r>
        <w:rPr>
          <w:rFonts w:ascii="Calibri" w:cs="Calibri" w:eastAsia="Calibri" w:hAnsi="Calibri"/>
          <w:b/>
          <w:bCs/>
          <w:color w:val="2E75B6"/>
          <w:sz w:val="25"/>
          <w:szCs w:val="25"/>
        </w:rPr>
        <w:t xml:space="preserve">5.1 The idea</w:t>
      </w:r>
    </w:p>
    <w:p>
      <w:pPr>
        <w:bidi w:val="false"/>
        <w:spacing w:after="120" w:line="300"/>
        <w:jc w:val="left"/>
      </w:pPr>
      <w:r>
        <w:rPr>
          <w:rFonts w:ascii="Calibri" w:cs="Calibri" w:eastAsia="Calibri" w:hAnsi="Calibri"/>
          <w:sz w:val="22"/>
          <w:szCs w:val="22"/>
        </w:rPr>
        <w:t xml:space="preserve">The weight is the proportion of the test that the outcome deserves. We need a stated basis for it, because a weight written "by feel" tends to inflate what we like to teach or what is easy to measure. In Week 3 the intended weights were 20% or 15% for each outcome, with no reason given.</w:t>
      </w:r>
    </w:p>
    <w:p>
      <w:pPr>
        <w:bidi w:val="false"/>
        <w:spacing w:after="120" w:line="300"/>
        <w:jc w:val="left"/>
      </w:pPr>
      <w:r>
        <w:rPr>
          <w:rFonts w:ascii="Calibri" w:cs="Calibri" w:eastAsia="Calibri" w:hAnsi="Calibri"/>
          <w:sz w:val="22"/>
          <w:szCs w:val="22"/>
        </w:rPr>
        <w:t xml:space="preserve">In this course we use two bases together:</w:t>
      </w:r>
    </w:p>
    <w:p>
      <w:pPr>
        <w:pStyle w:val="ListParagraph"/>
        <w:numPr>
          <w:ilvl w:val="0"/>
          <w:numId w:val="3"/>
        </w:numPr>
        <w:bidi w:val="false"/>
        <w:spacing w:after="80" w:line="300"/>
        <w:jc w:val="left"/>
      </w:pPr>
      <w:r>
        <w:rPr>
          <w:rFonts w:ascii="Calibri" w:cs="Calibri" w:eastAsia="Calibri" w:hAnsi="Calibri"/>
          <w:b/>
          <w:bCs/>
          <w:sz w:val="22"/>
          <w:szCs w:val="22"/>
        </w:rPr>
        <w:t xml:space="preserve">Number of periods:</w:t>
      </w:r>
      <w:r>
        <w:rPr>
          <w:rFonts w:ascii="Calibri" w:cs="Calibri" w:eastAsia="Calibri" w:hAnsi="Calibri"/>
          <w:sz w:val="22"/>
          <w:szCs w:val="22"/>
        </w:rPr>
        <w:t xml:space="preserve"> reflects actual learning time; an outcome taught over four periods gave the student a greater opportunity to learn it.</w:t>
      </w:r>
    </w:p>
    <w:p>
      <w:pPr>
        <w:pStyle w:val="ListParagraph"/>
        <w:numPr>
          <w:ilvl w:val="0"/>
          <w:numId w:val="3"/>
        </w:numPr>
        <w:bidi w:val="false"/>
        <w:spacing w:after="80" w:line="300"/>
        <w:jc w:val="left"/>
      </w:pPr>
      <w:r>
        <w:rPr>
          <w:rFonts w:ascii="Calibri" w:cs="Calibri" w:eastAsia="Calibri" w:hAnsi="Calibri"/>
          <w:b/>
          <w:bCs/>
          <w:sz w:val="22"/>
          <w:szCs w:val="22"/>
        </w:rPr>
        <w:t xml:space="preserve">Relative importance from 1 to 3:</w:t>
      </w:r>
      <w:r>
        <w:rPr>
          <w:rFonts w:ascii="Calibri" w:cs="Calibri" w:eastAsia="Calibri" w:hAnsi="Calibri"/>
          <w:sz w:val="22"/>
          <w:szCs w:val="22"/>
        </w:rPr>
        <w:t xml:space="preserve"> 1 is a supplementary outcome, 2 an important outcome, and 3 a core outcome on which later units build or on which the curriculum focuses. The teacher sets it by referring to the curriculum document.</w:t>
      </w:r>
    </w:p>
    <w:p>
      <w:pPr>
        <w:pStyle w:val="Heading2"/>
        <w:bidi w:val="false"/>
        <w:spacing w:after="120" w:before="240"/>
        <w:jc w:val="left"/>
      </w:pPr>
      <w:r>
        <w:rPr>
          <w:rFonts w:ascii="Calibri" w:cs="Calibri" w:eastAsia="Calibri" w:hAnsi="Calibri"/>
          <w:b/>
          <w:bCs/>
          <w:color w:val="2E75B6"/>
          <w:sz w:val="25"/>
          <w:szCs w:val="25"/>
        </w:rPr>
        <w:t xml:space="preserve">5.2 The formula</w:t>
      </w:r>
    </w:p>
    <w:p>
      <w:pPr>
        <w:shd w:fill="F2F6FA" w:color="auto" w:val="clear"/>
        <w:bidi w:val="false"/>
        <w:spacing w:after="160" w:before="80"/>
        <w:jc w:val="center"/>
      </w:pPr>
      <w:r>
        <w:rPr>
          <w:rFonts w:ascii="Cambria Math" w:cs="Calibri" w:hAnsi="Cambria Math"/>
          <w:i w:val="false"/>
          <w:iCs w:val="false"/>
          <w:sz w:val="24"/>
          <w:szCs w:val="24"/>
        </w:rPr>
        <w:t xml:space="preserve">w_i = (periods_i × importance_i) / Σ (periods × importance)</w:t>
      </w:r>
    </w:p>
    <w:p>
      <w:pPr>
        <w:bidi w:val="false"/>
        <w:spacing w:after="120" w:line="300"/>
        <w:jc w:val="left"/>
      </w:pPr>
      <w:r>
        <w:rPr>
          <w:rFonts w:ascii="Calibri" w:cs="Calibri" w:eastAsia="Calibri" w:hAnsi="Calibri"/>
          <w:sz w:val="22"/>
          <w:szCs w:val="22"/>
        </w:rPr>
        <w:t xml:space="preserve">We multiply the periods by the importance for each outcome, then divide the result by the sum of the products for all outcomes. This is a common practical rule and not the only formula: some departments use periods alone, and some set the weights directly. What matters is that the basis is stated and documented.</w:t>
      </w:r>
    </w:p>
    <w:p>
      <w:pPr>
        <w:pStyle w:val="Heading2"/>
        <w:bidi w:val="false"/>
        <w:spacing w:after="120" w:before="240"/>
        <w:jc w:val="left"/>
      </w:pPr>
      <w:r>
        <w:rPr>
          <w:rFonts w:ascii="Calibri" w:cs="Calibri" w:eastAsia="Calibri" w:hAnsi="Calibri"/>
          <w:b/>
          <w:bCs/>
          <w:color w:val="2E75B6"/>
          <w:sz w:val="25"/>
          <w:szCs w:val="25"/>
        </w:rPr>
        <w:t xml:space="preserve">5.3 The worked example</w:t>
      </w:r>
    </w:p>
    <w:p>
      <w:pPr>
        <w:bidi w:val="false"/>
        <w:spacing w:after="120" w:line="300"/>
        <w:jc w:val="left"/>
      </w:pPr>
      <w:r>
        <w:rPr>
          <w:rFonts w:ascii="Calibri" w:cs="Calibri" w:eastAsia="Calibri" w:hAnsi="Calibri"/>
          <w:sz w:val="22"/>
          <w:szCs w:val="22"/>
        </w:rPr>
        <w:t xml:space="preserve">The Grade 8 unit "Matter and Its Changes", 18 periods, six outcomes: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59"/>
        <w:gridCol w:w="1127"/>
        <w:gridCol w:w="1528"/>
        <w:gridCol w:w="1528"/>
        <w:gridCol w:w="996"/>
      </w:tblGrid>
      <w:tr>
        <w:trPr>
          <w:cantSplit/>
          <w:tblHeader/>
        </w:trPr>
        <w:tc>
          <w:tcPr>
            <w:tcW w:type="dxa" w:w="44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Outcome</w:t>
            </w:r>
          </w:p>
        </w:tc>
        <w:tc>
          <w:tcPr>
            <w:tcW w:type="dxa" w:w="11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Periods</w:t>
            </w:r>
          </w:p>
        </w:tc>
        <w:tc>
          <w:tcPr>
            <w:tcW w:type="dxa" w:w="15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Importance</w:t>
            </w:r>
          </w:p>
        </w:tc>
        <w:tc>
          <w:tcPr>
            <w:tcW w:type="dxa" w:w="15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Periods × importance</w:t>
            </w:r>
          </w:p>
        </w:tc>
        <w:tc>
          <w:tcPr>
            <w:tcW w:type="dxa" w:w="9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Weight</w:t>
            </w:r>
          </w:p>
        </w:tc>
      </w:tr>
      <w:tr>
        <w:trPr>
          <w:cantSplit/>
        </w:trPr>
        <w:tc>
          <w:tcPr>
            <w:tcW w:type="dxa" w:w="4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O1 Distinguishes between physical and chemical changes</w:t>
            </w: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r>
      <w:tr>
        <w:trPr>
          <w:cantSplit/>
        </w:trPr>
        <w:tc>
          <w:tcPr>
            <w:tcW w:type="dxa" w:w="4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O2 Explains the properties of the states of matter with the particle model</w:t>
            </w: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12</w:t>
            </w:r>
          </w:p>
        </w:tc>
        <w:tc>
          <w:tcPr>
            <w:tcW w:type="dxa" w:w="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28%</w:t>
            </w:r>
          </w:p>
        </w:tc>
      </w:tr>
      <w:tr>
        <w:trPr>
          <w:cantSplit/>
        </w:trPr>
        <w:tc>
          <w:tcPr>
            <w:tcW w:type="dxa" w:w="4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O3 Calculates density and uses it to explain floating</w:t>
            </w: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r>
      <w:tr>
        <w:trPr>
          <w:cantSplit/>
        </w:trPr>
        <w:tc>
          <w:tcPr>
            <w:tcW w:type="dxa" w:w="4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O4 Identifies evidence of a chemical reaction</w:t>
            </w: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r>
      <w:tr>
        <w:trPr>
          <w:cantSplit/>
        </w:trPr>
        <w:tc>
          <w:tcPr>
            <w:tcW w:type="dxa" w:w="4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O5 Applies the law of conservation of mass</w:t>
            </w: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c>
          <w:tcPr>
            <w:tcW w:type="dxa" w:w="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21%</w:t>
            </w:r>
          </w:p>
        </w:tc>
      </w:tr>
      <w:tr>
        <w:trPr>
          <w:cantSplit/>
        </w:trPr>
        <w:tc>
          <w:tcPr>
            <w:tcW w:type="dxa" w:w="4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O6 Plans the separation of the components of a mixture</w:t>
            </w: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r>
      <w:tr>
        <w:trPr>
          <w:cantSplit/>
        </w:trPr>
        <w:tc>
          <w:tcPr>
            <w:tcW w:type="dxa" w:w="4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Total</w:t>
            </w: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18</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43</w:t>
            </w:r>
          </w:p>
        </w:tc>
        <w:tc>
          <w:tcPr>
            <w:tcW w:type="dxa" w:w="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100%</w:t>
            </w:r>
          </w:p>
        </w:tc>
      </w:tr>
    </w:tbl>
    <w:p>
      <w:pPr>
        <w:spacing w:after="120"/>
      </w:pPr>
    </w:p>
    <w:p>
      <w:pPr>
        <w:bidi w:val="false"/>
        <w:spacing w:after="120" w:line="300"/>
        <w:jc w:val="left"/>
      </w:pPr>
      <w:r>
        <w:rPr>
          <w:rFonts w:ascii="Calibri" w:cs="Calibri" w:eastAsia="Calibri" w:hAnsi="Calibri"/>
          <w:sz w:val="22"/>
          <w:szCs w:val="22"/>
        </w:rPr>
        <w:t xml:space="preserve">Example: the weight of O2 equals 12 divided by 43, i.e. 0.279 or about 28%.</w:t>
      </w:r>
    </w:p>
    <w:p>
      <w:pPr>
        <w:bidi w:val="false"/>
        <w:spacing w:after="120" w:line="300"/>
        <w:jc w:val="left"/>
      </w:pPr>
      <w:r>
        <w:rPr>
          <w:rFonts w:ascii="Calibri" w:cs="Calibri" w:eastAsia="Calibri" w:hAnsi="Calibri"/>
          <w:sz w:val="22"/>
          <w:szCs w:val="22"/>
        </w:rPr>
        <w:t xml:space="preserve">Notice three things. First, O2 has become the heaviest because it has the longest and most important lessons, being the foundation for understanding all the changes. Second, O1, which was inflated to 33% in the Week 3 test, has a weight of only 14% here. Third, O5, which was missing entirely, has a weight of 21% here, because the teacher rated its importance as three.</w:t>
      </w:r>
    </w:p>
    <w:p>
      <w:pPr>
        <w:pStyle w:val="Heading1"/>
        <w:bidi w:val="false"/>
        <w:spacing w:after="160" w:before="360"/>
        <w:jc w:val="left"/>
      </w:pPr>
      <w:r>
        <w:rPr>
          <w:rFonts w:ascii="Calibri" w:cs="Calibri" w:eastAsia="Calibri" w:hAnsi="Calibri"/>
          <w:b/>
          <w:bCs/>
          <w:color w:val="1F4E79"/>
          <w:sz w:val="30"/>
          <w:szCs w:val="30"/>
        </w:rPr>
        <w:t xml:space="preserve">6. From weights to cell marks</w:t>
      </w:r>
    </w:p>
    <w:p>
      <w:pPr>
        <w:pStyle w:val="Heading2"/>
        <w:bidi w:val="false"/>
        <w:spacing w:after="120" w:before="240"/>
        <w:jc w:val="left"/>
      </w:pPr>
      <w:r>
        <w:rPr>
          <w:rFonts w:ascii="Calibri" w:cs="Calibri" w:eastAsia="Calibri" w:hAnsi="Calibri"/>
          <w:b/>
          <w:bCs/>
          <w:color w:val="2E75B6"/>
          <w:sz w:val="25"/>
          <w:szCs w:val="25"/>
        </w:rPr>
        <w:t xml:space="preserve">6.1 The formula</w:t>
      </w:r>
    </w:p>
    <w:p>
      <w:pPr>
        <w:bidi w:val="false"/>
        <w:spacing w:after="120" w:line="300"/>
        <w:jc w:val="left"/>
      </w:pPr>
      <w:r>
        <w:rPr>
          <w:rFonts w:ascii="Calibri" w:cs="Calibri" w:eastAsia="Calibri" w:hAnsi="Calibri"/>
          <w:sz w:val="22"/>
          <w:szCs w:val="22"/>
        </w:rPr>
        <w:t xml:space="preserve">The marks for each cell equal the total test marks, multiplied by the outcome weight, multiplied by the level weight, with the result then rounded to the nearest whole number:</w:t>
      </w:r>
    </w:p>
    <w:p>
      <w:pPr>
        <w:shd w:fill="F2F6FA" w:color="auto" w:val="clear"/>
        <w:bidi w:val="false"/>
        <w:spacing w:after="160" w:before="80"/>
        <w:jc w:val="center"/>
      </w:pPr>
      <w:r>
        <w:rPr>
          <w:rFonts w:ascii="Cambria Math" w:cs="Calibri" w:hAnsi="Cambria Math"/>
          <w:i w:val="false"/>
          <w:iCs w:val="false"/>
          <w:sz w:val="24"/>
          <w:szCs w:val="24"/>
        </w:rPr>
        <w:t xml:space="preserve">cell marks = ROUND(total × outcome weight × level weight, 0)</w:t>
      </w:r>
    </w:p>
    <w:p>
      <w:pPr>
        <w:pStyle w:val="Heading2"/>
        <w:bidi w:val="false"/>
        <w:spacing w:after="120" w:before="240"/>
        <w:jc w:val="left"/>
      </w:pPr>
      <w:r>
        <w:rPr>
          <w:rFonts w:ascii="Calibri" w:cs="Calibri" w:eastAsia="Calibri" w:hAnsi="Calibri"/>
          <w:b/>
          <w:bCs/>
          <w:color w:val="2E75B6"/>
          <w:sz w:val="25"/>
          <w:szCs w:val="25"/>
        </w:rPr>
        <w:t xml:space="preserve">6.2 Calculating the cells for O2</w:t>
      </w:r>
    </w:p>
    <w:p>
      <w:pPr>
        <w:bidi w:val="false"/>
        <w:spacing w:after="120" w:line="300"/>
        <w:jc w:val="left"/>
      </w:pPr>
      <w:r>
        <w:rPr>
          <w:rFonts w:ascii="Calibri" w:cs="Calibri" w:eastAsia="Calibri" w:hAnsi="Calibri"/>
          <w:sz w:val="22"/>
          <w:szCs w:val="22"/>
        </w:rPr>
        <w:t xml:space="preserve">A 30-mark test, the weight of O2 is 0.279, and the level weights adopted by the teacher in the example are 35%, 40% and 25%:</w:t>
      </w:r>
    </w:p>
    <w:p>
      <w:pPr>
        <w:pStyle w:val="ListParagraph"/>
        <w:numPr>
          <w:ilvl w:val="0"/>
          <w:numId w:val="3"/>
        </w:numPr>
        <w:bidi w:val="false"/>
        <w:spacing w:after="80" w:line="300"/>
        <w:jc w:val="left"/>
      </w:pPr>
      <w:r>
        <w:rPr>
          <w:rFonts w:ascii="Calibri" w:cs="Calibri" w:eastAsia="Calibri" w:hAnsi="Calibri"/>
          <w:b/>
          <w:bCs/>
          <w:sz w:val="22"/>
          <w:szCs w:val="22"/>
        </w:rPr>
        <w:t xml:space="preserve">Knowing:</w:t>
      </w:r>
      <w:r>
        <w:rPr>
          <w:rFonts w:ascii="Calibri" w:cs="Calibri" w:eastAsia="Calibri" w:hAnsi="Calibri"/>
          <w:sz w:val="22"/>
          <w:szCs w:val="22"/>
        </w:rPr>
        <w:t xml:space="preserve"> 30 × 0.279 × 0.35 = 2.93, rounded to 3.</w:t>
      </w:r>
    </w:p>
    <w:p>
      <w:pPr>
        <w:pStyle w:val="ListParagraph"/>
        <w:numPr>
          <w:ilvl w:val="0"/>
          <w:numId w:val="3"/>
        </w:numPr>
        <w:bidi w:val="false"/>
        <w:spacing w:after="80" w:line="300"/>
        <w:jc w:val="left"/>
      </w:pPr>
      <w:r>
        <w:rPr>
          <w:rFonts w:ascii="Calibri" w:cs="Calibri" w:eastAsia="Calibri" w:hAnsi="Calibri"/>
          <w:b/>
          <w:bCs/>
          <w:sz w:val="22"/>
          <w:szCs w:val="22"/>
        </w:rPr>
        <w:t xml:space="preserve">Applying:</w:t>
      </w:r>
      <w:r>
        <w:rPr>
          <w:rFonts w:ascii="Calibri" w:cs="Calibri" w:eastAsia="Calibri" w:hAnsi="Calibri"/>
          <w:sz w:val="22"/>
          <w:szCs w:val="22"/>
        </w:rPr>
        <w:t xml:space="preserve"> 30 × 0.279 × 0.40 = 3.35, rounded to 3.</w:t>
      </w:r>
    </w:p>
    <w:p>
      <w:pPr>
        <w:pStyle w:val="ListParagraph"/>
        <w:numPr>
          <w:ilvl w:val="0"/>
          <w:numId w:val="3"/>
        </w:numPr>
        <w:bidi w:val="false"/>
        <w:spacing w:after="80" w:line="300"/>
        <w:jc w:val="left"/>
      </w:pPr>
      <w:r>
        <w:rPr>
          <w:rFonts w:ascii="Calibri" w:cs="Calibri" w:eastAsia="Calibri" w:hAnsi="Calibri"/>
          <w:b/>
          <w:bCs/>
          <w:sz w:val="22"/>
          <w:szCs w:val="22"/>
        </w:rPr>
        <w:t xml:space="preserve">Reasoning:</w:t>
      </w:r>
      <w:r>
        <w:rPr>
          <w:rFonts w:ascii="Calibri" w:cs="Calibri" w:eastAsia="Calibri" w:hAnsi="Calibri"/>
          <w:sz w:val="22"/>
          <w:szCs w:val="22"/>
        </w:rPr>
        <w:t xml:space="preserve"> 30 × 0.279 × 0.25 = 2.09, rounded to 2.</w:t>
      </w:r>
    </w:p>
    <w:p>
      <w:pPr>
        <w:bidi w:val="false"/>
        <w:spacing w:after="120" w:line="300"/>
        <w:jc w:val="left"/>
      </w:pPr>
      <w:r>
        <w:rPr>
          <w:rFonts w:ascii="Calibri" w:cs="Calibri" w:eastAsia="Calibri" w:hAnsi="Calibri"/>
          <w:sz w:val="22"/>
          <w:szCs w:val="22"/>
        </w:rPr>
        <w:t xml:space="preserve">The total for O2 is 8 marks.</w:t>
      </w:r>
    </w:p>
    <w:p>
      <w:pPr>
        <w:pStyle w:val="Heading2"/>
        <w:bidi w:val="false"/>
        <w:spacing w:after="120" w:before="240"/>
        <w:jc w:val="left"/>
      </w:pPr>
      <w:r>
        <w:rPr>
          <w:rFonts w:ascii="Calibri" w:cs="Calibri" w:eastAsia="Calibri" w:hAnsi="Calibri"/>
          <w:b/>
          <w:bCs/>
          <w:color w:val="2E75B6"/>
          <w:sz w:val="25"/>
          <w:szCs w:val="25"/>
        </w:rPr>
        <w:t xml:space="preserve">6.3 The complete blueprint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9"/>
        <w:gridCol w:w="1136"/>
        <w:gridCol w:w="1289"/>
        <w:gridCol w:w="1442"/>
        <w:gridCol w:w="1595"/>
        <w:gridCol w:w="1289"/>
        <w:gridCol w:w="1598"/>
      </w:tblGrid>
      <w:tr>
        <w:trPr>
          <w:cantSplit/>
          <w:tblHeader/>
        </w:trPr>
        <w:tc>
          <w:tcPr>
            <w:tcW w:type="dxa" w:w="12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Outcome</w:t>
            </w:r>
          </w:p>
        </w:tc>
        <w:tc>
          <w:tcPr>
            <w:tcW w:type="dxa" w:w="11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Weight</w:t>
            </w:r>
          </w:p>
        </w:tc>
        <w:tc>
          <w:tcPr>
            <w:tcW w:type="dxa" w:w="12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Knowing</w:t>
            </w:r>
          </w:p>
        </w:tc>
        <w:tc>
          <w:tcPr>
            <w:tcW w:type="dxa" w:w="14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Applying</w:t>
            </w:r>
          </w:p>
        </w:tc>
        <w:tc>
          <w:tcPr>
            <w:tcW w:type="dxa" w:w="15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Reasoning</w:t>
            </w:r>
          </w:p>
        </w:tc>
        <w:tc>
          <w:tcPr>
            <w:tcW w:type="dxa" w:w="12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Outcome marks</w:t>
            </w:r>
          </w:p>
        </w:tc>
        <w:tc>
          <w:tcPr>
            <w:tcW w:type="dxa" w:w="15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Suggested items</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O1</w:t>
            </w:r>
          </w:p>
        </w:tc>
        <w:tc>
          <w:tcPr>
            <w:tcW w:type="dxa" w:w="1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O2</w:t>
            </w:r>
          </w:p>
        </w:tc>
        <w:tc>
          <w:tcPr>
            <w:tcW w:type="dxa" w:w="1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28%</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O3</w:t>
            </w:r>
          </w:p>
        </w:tc>
        <w:tc>
          <w:tcPr>
            <w:tcW w:type="dxa" w:w="1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O4</w:t>
            </w:r>
          </w:p>
        </w:tc>
        <w:tc>
          <w:tcPr>
            <w:tcW w:type="dxa" w:w="1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O5</w:t>
            </w:r>
          </w:p>
        </w:tc>
        <w:tc>
          <w:tcPr>
            <w:tcW w:type="dxa" w:w="1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21%</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O6</w:t>
            </w:r>
          </w:p>
        </w:tc>
        <w:tc>
          <w:tcPr>
            <w:tcW w:type="dxa" w:w="1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r>
      <w:tr>
        <w:trPr>
          <w:cantSplit/>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Total</w:t>
            </w:r>
          </w:p>
        </w:tc>
        <w:tc>
          <w:tcPr>
            <w:tcW w:type="dxa" w:w="1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100%</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c>
          <w:tcPr>
            <w:tcW w:type="dxa" w:w="1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13</w:t>
            </w:r>
          </w:p>
        </w:tc>
        <w:tc>
          <w:tcPr>
            <w:tcW w:type="dxa" w:w="1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21</w:t>
            </w:r>
          </w:p>
        </w:tc>
      </w:tr>
    </w:tbl>
    <w:p>
      <w:pPr>
        <w:spacing w:after="120"/>
      </w:pPr>
    </w:p>
    <w:p>
      <w:pPr>
        <w:bidi w:val="false"/>
        <w:spacing w:after="120" w:line="300"/>
        <w:jc w:val="left"/>
      </w:pPr>
      <w:r>
        <w:rPr>
          <w:rFonts w:ascii="Calibri" w:cs="Calibri" w:eastAsia="Calibri" w:hAnsi="Calibri"/>
          <w:sz w:val="22"/>
          <w:szCs w:val="22"/>
        </w:rPr>
        <w:t xml:space="preserve">Compare this blueprint with the Week 3 test: every outcome has marks at all three levels, O5 has 7 marks instead of zero, and Knowing has 9 marks instead of 15. The total is 30, so the Excel file shows the message "Total matches" in the check cell.</w:t>
      </w:r>
    </w:p>
    <w:p>
      <w:pPr>
        <w:pStyle w:val="Heading1"/>
        <w:bidi w:val="false"/>
        <w:spacing w:after="160" w:before="360"/>
        <w:jc w:val="left"/>
      </w:pPr>
      <w:r>
        <w:rPr>
          <w:rFonts w:ascii="Calibri" w:cs="Calibri" w:eastAsia="Calibri" w:hAnsi="Calibri"/>
          <w:b/>
          <w:bCs/>
          <w:color w:val="1F4E79"/>
          <w:sz w:val="30"/>
          <w:szCs w:val="30"/>
        </w:rPr>
        <w:t xml:space="preserve">7. The rounding problem and the human decision</w:t>
      </w:r>
    </w:p>
    <w:p>
      <w:pPr>
        <w:pStyle w:val="Heading2"/>
        <w:bidi w:val="false"/>
        <w:spacing w:after="120" w:before="240"/>
        <w:jc w:val="left"/>
      </w:pPr>
      <w:r>
        <w:rPr>
          <w:rFonts w:ascii="Calibri" w:cs="Calibri" w:eastAsia="Calibri" w:hAnsi="Calibri"/>
          <w:b/>
          <w:bCs/>
          <w:color w:val="2E75B6"/>
          <w:sz w:val="25"/>
          <w:szCs w:val="25"/>
        </w:rPr>
        <w:t xml:space="preserve">7.1 Where did one and a half marks go?</w:t>
      </w:r>
    </w:p>
    <w:p>
      <w:pPr>
        <w:bidi w:val="false"/>
        <w:spacing w:after="120" w:line="300"/>
        <w:jc w:val="left"/>
      </w:pPr>
      <w:r>
        <w:rPr>
          <w:rFonts w:ascii="Calibri" w:cs="Calibri" w:eastAsia="Calibri" w:hAnsi="Calibri"/>
          <w:sz w:val="22"/>
          <w:szCs w:val="22"/>
        </w:rPr>
        <w:t xml:space="preserve">The total matches, but look at the distribution of levels compared with the distribution adopted by the teacher in the example: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2"/>
        <w:gridCol w:w="1702"/>
        <w:gridCol w:w="1465"/>
        <w:gridCol w:w="1554"/>
        <w:gridCol w:w="1776"/>
        <w:gridCol w:w="1779"/>
      </w:tblGrid>
      <w:tr>
        <w:trPr>
          <w:cantSplit/>
          <w:tblHeader/>
        </w:trPr>
        <w:tc>
          <w:tcPr>
            <w:tcW w:type="dxa" w:w="13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17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Intended in the example</w:t>
            </w:r>
          </w:p>
        </w:tc>
        <w:tc>
          <w:tcPr>
            <w:tcW w:type="dxa" w:w="14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Intended in marks</w:t>
            </w:r>
          </w:p>
        </w:tc>
        <w:tc>
          <w:tcPr>
            <w:tcW w:type="dxa" w:w="15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Actual after rounding</w:t>
            </w:r>
          </w:p>
        </w:tc>
        <w:tc>
          <w:tcPr>
            <w:tcW w:type="dxa" w:w="17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Actual as a percentage</w:t>
            </w:r>
          </w:p>
        </w:tc>
        <w:tc>
          <w:tcPr>
            <w:tcW w:type="dxa" w:w="17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Difference</w:t>
            </w:r>
          </w:p>
        </w:tc>
      </w:tr>
      <w:tr>
        <w:trPr>
          <w:cantSplit/>
        </w:trPr>
        <w:tc>
          <w:tcPr>
            <w:tcW w:type="dxa" w:w="1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w:t>
            </w:r>
          </w:p>
        </w:tc>
        <w:tc>
          <w:tcPr>
            <w:tcW w:type="dxa" w:w="1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10.5</w:t>
            </w:r>
          </w:p>
        </w:tc>
        <w:tc>
          <w:tcPr>
            <w:tcW w:type="dxa" w:w="1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w:t>
            </w:r>
          </w:p>
        </w:tc>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 points</w:t>
            </w:r>
          </w:p>
        </w:tc>
      </w:tr>
      <w:tr>
        <w:trPr>
          <w:cantSplit/>
        </w:trPr>
        <w:tc>
          <w:tcPr>
            <w:tcW w:type="dxa" w:w="1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40%</w:t>
            </w:r>
          </w:p>
        </w:tc>
        <w:tc>
          <w:tcPr>
            <w:tcW w:type="dxa" w:w="1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12</w:t>
            </w:r>
          </w:p>
        </w:tc>
        <w:tc>
          <w:tcPr>
            <w:tcW w:type="dxa" w:w="1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13</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43%</w:t>
            </w:r>
          </w:p>
        </w:tc>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+3.3 points</w:t>
            </w:r>
          </w:p>
        </w:tc>
      </w:tr>
      <w:tr>
        <w:trPr>
          <w:cantSplit/>
        </w:trPr>
        <w:tc>
          <w:tcPr>
            <w:tcW w:type="dxa" w:w="1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Reasoning</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25%</w:t>
            </w:r>
          </w:p>
        </w:tc>
        <w:tc>
          <w:tcPr>
            <w:tcW w:type="dxa" w:w="1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7.5</w:t>
            </w:r>
          </w:p>
        </w:tc>
        <w:tc>
          <w:tcPr>
            <w:tcW w:type="dxa" w:w="1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27%</w:t>
            </w:r>
          </w:p>
        </w:tc>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 points</w:t>
            </w:r>
          </w:p>
        </w:tc>
      </w:tr>
    </w:tbl>
    <w:p>
      <w:pPr>
        <w:spacing w:after="120"/>
      </w:pPr>
    </w:p>
    <w:p>
      <w:pPr>
        <w:bidi w:val="false"/>
        <w:spacing w:after="120" w:line="300"/>
        <w:jc w:val="left"/>
      </w:pPr>
      <w:r>
        <w:rPr>
          <w:rFonts w:ascii="Calibri" w:cs="Calibri" w:eastAsia="Calibri" w:hAnsi="Calibri"/>
          <w:sz w:val="22"/>
          <w:szCs w:val="22"/>
        </w:rPr>
        <w:t xml:space="preserve">Knowing lost one and a half marks. The reason lies in the values before rounding: the Knowing cells in O1, O3 and O6 each have a value of 1.47, so they were rounded to 1, and each lost about half a mark. And the O5 cell has a value of 2.20, so it was rounded to 2. On the other hand, Applying cells such as 1.67 were rounded to 2, so Applying gained a mark.</w:t>
      </w:r>
    </w:p>
    <w:p>
      <w:pPr>
        <w:bidi w:val="false"/>
        <w:spacing w:after="120" w:line="300"/>
        <w:jc w:val="left"/>
      </w:pPr>
      <w:r>
        <w:rPr>
          <w:rFonts w:ascii="Calibri" w:cs="Calibri" w:eastAsia="Calibri" w:hAnsi="Calibri"/>
          <w:sz w:val="22"/>
          <w:szCs w:val="22"/>
        </w:rPr>
        <w:t xml:space="preserve">Rounding cell by cell preserves neither the total nor the proportions. In our example the total matched by coincidence. If you changed the test total in the file to 40 marks with everything else unchanged, the blueprint would give you 37 marks, and a message showing a difference of 3 marks would appear in the check cell. Likewise, if the teacher adopted the TIMSS distribution for Grade 8 science (35%, 35% and 30%) with a total of 30, the blueprint would give 9 marks for each level, i.e. only 27 marks, and 3 marks would be lost in rounding.</w:t>
      </w:r>
    </w:p>
    <w:p>
      <w:pPr>
        <w:pStyle w:val="Heading2"/>
        <w:bidi w:val="false"/>
        <w:spacing w:after="120" w:before="240"/>
        <w:jc w:val="left"/>
      </w:pPr>
      <w:r>
        <w:rPr>
          <w:rFonts w:ascii="Calibri" w:cs="Calibri" w:eastAsia="Calibri" w:hAnsi="Calibri"/>
          <w:b/>
          <w:bCs/>
          <w:color w:val="2E75B6"/>
          <w:sz w:val="25"/>
          <w:szCs w:val="25"/>
        </w:rPr>
        <w:t xml:space="preserve">7.2 The formula does not decide</w:t>
      </w:r>
    </w:p>
    <w:p>
      <w:pPr>
        <w:bidi w:val="false"/>
        <w:spacing w:after="120" w:line="300"/>
        <w:jc w:val="left"/>
      </w:pPr>
      <w:r>
        <w:rPr>
          <w:rFonts w:ascii="Calibri" w:cs="Calibri" w:eastAsia="Calibri" w:hAnsi="Calibri"/>
          <w:sz w:val="22"/>
          <w:szCs w:val="22"/>
        </w:rPr>
        <w:t xml:space="preserve">Here the role of the formula ends and the role of the teacher begins. There is no single "correct" computational method for distributing the difference. We propose four practical rules in this order:</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Fix the total first.</w:t>
      </w:r>
      <w:r>
        <w:rPr>
          <w:rFonts w:ascii="Calibri" w:cs="Calibri" w:eastAsia="Calibri" w:hAnsi="Calibri"/>
          <w:sz w:val="22"/>
          <w:szCs w:val="22"/>
        </w:rPr>
        <w:t xml:space="preserve"> The test must equal the stated mark.</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Then balance the levels.</w:t>
      </w:r>
      <w:r>
        <w:rPr>
          <w:rFonts w:ascii="Calibri" w:cs="Calibri" w:eastAsia="Calibri" w:hAnsi="Calibri"/>
          <w:sz w:val="22"/>
          <w:szCs w:val="22"/>
        </w:rPr>
        <w:t xml:space="preserve"> If a level is five points or more away from its intended weight, move a mark to it.</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Adjust the cells closest to the rounding midpoint.</w:t>
      </w:r>
      <w:r>
        <w:rPr>
          <w:rFonts w:ascii="Calibri" w:cs="Calibri" w:eastAsia="Calibri" w:hAnsi="Calibri"/>
          <w:sz w:val="22"/>
          <w:szCs w:val="22"/>
        </w:rPr>
        <w:t xml:space="preserve"> A cell that was 1.47 and was rounded to 1 has a stronger claim to adjustment than a cell that was 1.05.</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Protect core outcomes, and document.</w:t>
      </w:r>
      <w:r>
        <w:rPr>
          <w:rFonts w:ascii="Calibri" w:cs="Calibri" w:eastAsia="Calibri" w:hAnsi="Calibri"/>
          <w:sz w:val="22"/>
          <w:szCs w:val="22"/>
        </w:rPr>
        <w:t xml:space="preserve"> Do not reduce an outcome with importance 3 without justification, and write down every adjustment and its reason.</w:t>
      </w:r>
    </w:p>
    <w:p>
      <w:pPr>
        <w:pStyle w:val="Heading2"/>
        <w:bidi w:val="false"/>
        <w:spacing w:after="120" w:before="240"/>
        <w:jc w:val="left"/>
      </w:pPr>
      <w:r>
        <w:rPr>
          <w:rFonts w:ascii="Calibri" w:cs="Calibri" w:eastAsia="Calibri" w:hAnsi="Calibri"/>
          <w:b/>
          <w:bCs/>
          <w:color w:val="2E75B6"/>
          <w:sz w:val="25"/>
          <w:szCs w:val="25"/>
        </w:rPr>
        <w:t xml:space="preserve">7.3 Example: moving a mark within a single outcome</w:t>
      </w:r>
    </w:p>
    <w:p>
      <w:pPr>
        <w:bidi w:val="false"/>
        <w:spacing w:after="120" w:line="300"/>
        <w:jc w:val="left"/>
      </w:pPr>
      <w:r>
        <w:rPr>
          <w:rFonts w:ascii="Calibri" w:cs="Calibri" w:eastAsia="Calibri" w:hAnsi="Calibri"/>
          <w:sz w:val="22"/>
          <w:szCs w:val="22"/>
        </w:rPr>
        <w:t xml:space="preserve">The total in our example matches, so we move on to the second rule: Knowing is five points below the intended weight. Using the third rule, we look for two cells close to the rounding midpoint within a single outcome. We find them in O1: the Knowing cell was 1.47 and was rounded to 1, and the Applying cell was 1.67 and was rounded to 2. We move a mark from O1 Applying to O1 Knowing. In the Excel file we type the new number over the formula in both cells, and colour them to remember that they were adjusted by hand: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18"/>
        <w:gridCol w:w="2099"/>
        <w:gridCol w:w="2021"/>
      </w:tblGrid>
      <w:tr>
        <w:trPr>
          <w:cantSplit/>
          <w:tblHeader/>
        </w:trPr>
        <w:tc>
          <w:tcPr>
            <w:tcW w:type="dxa" w:w="55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p>
        </w:tc>
        <w:tc>
          <w:tcPr>
            <w:tcW w:type="dxa" w:w="20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Before the move</w:t>
            </w:r>
          </w:p>
        </w:tc>
        <w:tc>
          <w:tcPr>
            <w:tcW w:type="dxa" w:w="20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After the move</w:t>
            </w:r>
          </w:p>
        </w:tc>
      </w:tr>
      <w:tr>
        <w:trPr>
          <w:cantSplit/>
        </w:trPr>
        <w:tc>
          <w:tcPr>
            <w:tcW w:type="dxa" w:w="5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O1 cells (Knowing / Applying / Reasoning)</w:t>
            </w:r>
          </w:p>
        </w:tc>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 2 / 1 = 4</w:t>
            </w:r>
          </w:p>
        </w:tc>
        <w:tc>
          <w:tcPr>
            <w:tcW w:type="dxa" w:w="2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 1 / 1 = 4</w:t>
            </w:r>
          </w:p>
        </w:tc>
      </w:tr>
      <w:tr>
        <w:trPr>
          <w:cantSplit/>
        </w:trPr>
        <w:tc>
          <w:tcPr>
            <w:tcW w:type="dxa" w:w="5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Distribution of levels in marks</w:t>
            </w:r>
          </w:p>
        </w:tc>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 / 13 / 8</w:t>
            </w:r>
          </w:p>
        </w:tc>
        <w:tc>
          <w:tcPr>
            <w:tcW w:type="dxa" w:w="2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 / 12 / 8</w:t>
            </w:r>
          </w:p>
        </w:tc>
      </w:tr>
      <w:tr>
        <w:trPr>
          <w:cantSplit/>
        </w:trPr>
        <w:tc>
          <w:tcPr>
            <w:tcW w:type="dxa" w:w="5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Distribution of levels as percentages</w:t>
            </w:r>
          </w:p>
        </w:tc>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 / 43% / 27%</w:t>
            </w:r>
          </w:p>
        </w:tc>
        <w:tc>
          <w:tcPr>
            <w:tcW w:type="dxa" w:w="2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33% / 40% / 27%</w:t>
            </w:r>
          </w:p>
        </w:tc>
      </w:tr>
      <w:tr>
        <w:trPr>
          <w:cantSplit/>
        </w:trPr>
        <w:tc>
          <w:tcPr>
            <w:tcW w:type="dxa" w:w="5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Total</w:t>
            </w:r>
          </w:p>
        </w:tc>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w:t>
            </w:r>
          </w:p>
        </w:tc>
        <w:tc>
          <w:tcPr>
            <w:tcW w:type="dxa" w:w="2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w:t>
            </w:r>
          </w:p>
        </w:tc>
      </w:tr>
    </w:tbl>
    <w:p>
      <w:pPr>
        <w:spacing w:after="120"/>
      </w:pPr>
    </w:p>
    <w:p>
      <w:pPr>
        <w:bidi w:val="false"/>
        <w:spacing w:after="120" w:line="300"/>
        <w:jc w:val="left"/>
      </w:pPr>
      <w:r>
        <w:rPr>
          <w:rFonts w:ascii="Calibri" w:cs="Calibri" w:eastAsia="Calibri" w:hAnsi="Calibri"/>
          <w:sz w:val="22"/>
          <w:szCs w:val="22"/>
        </w:rPr>
        <w:t xml:space="preserve">Knowing came closer to the intended weight (33% against 35%), Applying now matches exactly (40%), and the total stayed at 30. Most importantly, O1 kept its four marks, so no outcome's weight changed. This decision respects all four rules.</w:t>
      </w:r>
    </w:p>
    <w:p>
      <w:pPr>
        <w:pStyle w:val="Heading2"/>
        <w:bidi w:val="false"/>
        <w:spacing w:after="120" w:before="240"/>
        <w:jc w:val="left"/>
      </w:pPr>
      <w:r>
        <w:rPr>
          <w:rFonts w:ascii="Calibri" w:cs="Calibri" w:eastAsia="Calibri" w:hAnsi="Calibri"/>
          <w:b/>
          <w:bCs/>
          <w:color w:val="2E75B6"/>
          <w:sz w:val="25"/>
          <w:szCs w:val="25"/>
        </w:rPr>
        <w:t xml:space="preserve">7.4 A counter-example for discussion</w:t>
      </w:r>
    </w:p>
    <w:p>
      <w:pPr>
        <w:bidi w:val="false"/>
        <w:spacing w:after="120" w:line="300"/>
        <w:jc w:val="left"/>
      </w:pPr>
      <w:r>
        <w:rPr>
          <w:rFonts w:ascii="Calibri" w:cs="Calibri" w:eastAsia="Calibri" w:hAnsi="Calibri"/>
          <w:sz w:val="22"/>
          <w:szCs w:val="22"/>
        </w:rPr>
        <w:t xml:space="preserve">A colleague proposed another solution: moving a mark from the Reasoning cell in O2 to the Knowing cell in O5. The result looks acceptable: the levels are 10, 13 and 7, i.e. 33%, 43% and 23%, and the total is 30. But this move breaks two rules:</w:t>
      </w:r>
    </w:p>
    <w:p>
      <w:pPr>
        <w:pStyle w:val="ListParagraph"/>
        <w:numPr>
          <w:ilvl w:val="0"/>
          <w:numId w:val="3"/>
        </w:numPr>
        <w:bidi w:val="false"/>
        <w:spacing w:after="80" w:line="300"/>
        <w:jc w:val="left"/>
      </w:pPr>
      <w:r>
        <w:rPr>
          <w:rFonts w:ascii="Calibri" w:cs="Calibri" w:eastAsia="Calibri" w:hAnsi="Calibri"/>
          <w:b/>
          <w:bCs/>
          <w:sz w:val="22"/>
          <w:szCs w:val="22"/>
        </w:rPr>
        <w:t xml:space="preserve">The third rule:</w:t>
      </w:r>
      <w:r>
        <w:rPr>
          <w:rFonts w:ascii="Calibri" w:cs="Calibri" w:eastAsia="Calibri" w:hAnsi="Calibri"/>
          <w:sz w:val="22"/>
          <w:szCs w:val="22"/>
        </w:rPr>
        <w:t xml:space="preserve"> the O2 Reasoning cell was 2.09 and was rounded to 2, i.e. it is already slightly below its exact value, and reducing it to 1 takes it further away. And the O5 Knowing cell was 2.20, so raising it to 3 exceeds its exact value by about 0.8. Neither cell is close to the rounding midpoint.</w:t>
      </w:r>
    </w:p>
    <w:p>
      <w:pPr>
        <w:pStyle w:val="ListParagraph"/>
        <w:numPr>
          <w:ilvl w:val="0"/>
          <w:numId w:val="3"/>
        </w:numPr>
        <w:bidi w:val="false"/>
        <w:spacing w:after="80" w:line="300"/>
        <w:jc w:val="left"/>
      </w:pPr>
      <w:r>
        <w:rPr>
          <w:rFonts w:ascii="Calibri" w:cs="Calibri" w:eastAsia="Calibri" w:hAnsi="Calibri"/>
          <w:b/>
          <w:bCs/>
          <w:sz w:val="22"/>
          <w:szCs w:val="22"/>
        </w:rPr>
        <w:t xml:space="preserve">The fourth rule:</w:t>
      </w:r>
      <w:r>
        <w:rPr>
          <w:rFonts w:ascii="Calibri" w:cs="Calibri" w:eastAsia="Calibri" w:hAnsi="Calibri"/>
          <w:sz w:val="22"/>
          <w:szCs w:val="22"/>
        </w:rPr>
        <w:t xml:space="preserve"> O2 has importance 3 and is the heaviest in the blueprint, and it dropped from 8 marks to 7, i.e. from 27% of the test to 23%. And O5 rose from 23% to 27%.</w:t>
      </w:r>
    </w:p>
    <w:p>
      <w:pPr>
        <w:bidi w:val="false"/>
        <w:spacing w:after="120" w:line="300"/>
        <w:jc w:val="left"/>
      </w:pPr>
      <w:r>
        <w:rPr>
          <w:rFonts w:ascii="Calibri" w:cs="Calibri" w:eastAsia="Calibri" w:hAnsi="Calibri"/>
          <w:sz w:val="22"/>
          <w:szCs w:val="22"/>
        </w:rPr>
        <w:t xml:space="preserve">In addition, Applying stayed three points above the intended weight, and Reasoning became about two points below it. A teacher might defend this move on the grounds that O5 was missing from the Week 3 test and deserves compensation, but they must write this justification explicitly, and acknowledge that they changed the outcome weights they calculated themselves. This is what "the human decision" means: not every decision is acceptable, but every decision is judged by its justification and its effect.</w:t>
      </w:r>
    </w:p>
    <w:p>
      <w:pPr>
        <w:pStyle w:val="Heading1"/>
        <w:bidi w:val="false"/>
        <w:spacing w:after="160" w:before="360"/>
        <w:jc w:val="left"/>
      </w:pPr>
      <w:r>
        <w:rPr>
          <w:rFonts w:ascii="Calibri" w:cs="Calibri" w:eastAsia="Calibri" w:hAnsi="Calibri"/>
          <w:b/>
          <w:bCs/>
          <w:color w:val="1F4E79"/>
          <w:sz w:val="30"/>
          <w:szCs w:val="30"/>
        </w:rPr>
        <w:t xml:space="preserve">8. From marks to the number and types of items</w:t>
      </w:r>
    </w:p>
    <w:p>
      <w:pPr>
        <w:pStyle w:val="Heading2"/>
        <w:bidi w:val="false"/>
        <w:spacing w:after="120" w:before="240"/>
        <w:jc w:val="left"/>
      </w:pPr>
      <w:r>
        <w:rPr>
          <w:rFonts w:ascii="Calibri" w:cs="Calibri" w:eastAsia="Calibri" w:hAnsi="Calibri"/>
          <w:b/>
          <w:bCs/>
          <w:color w:val="2E75B6"/>
          <w:sz w:val="25"/>
          <w:szCs w:val="25"/>
        </w:rPr>
        <w:t xml:space="preserve">8.1 The suggested number of items</w:t>
      </w:r>
    </w:p>
    <w:p>
      <w:pPr>
        <w:bidi w:val="false"/>
        <w:spacing w:after="120" w:line="300"/>
        <w:jc w:val="left"/>
      </w:pPr>
      <w:r>
        <w:rPr>
          <w:rFonts w:ascii="Calibri" w:cs="Calibri" w:eastAsia="Calibri" w:hAnsi="Calibri"/>
          <w:sz w:val="22"/>
          <w:szCs w:val="22"/>
        </w:rPr>
        <w:t xml:space="preserve">We divide the outcome's marks by the average marks per item, and round:</w:t>
      </w:r>
    </w:p>
    <w:p>
      <w:pPr>
        <w:shd w:fill="F2F6FA" w:color="auto" w:val="clear"/>
        <w:bidi w:val="false"/>
        <w:spacing w:after="160" w:before="80"/>
        <w:jc w:val="center"/>
      </w:pPr>
      <w:r>
        <w:rPr>
          <w:rFonts w:ascii="Cambria Math" w:cs="Calibri" w:hAnsi="Cambria Math"/>
          <w:i w:val="false"/>
          <w:iCs w:val="false"/>
          <w:sz w:val="24"/>
          <w:szCs w:val="24"/>
        </w:rPr>
        <w:t xml:space="preserve">suggested items = ROUND(outcome marks / average marks per item, 0)</w:t>
      </w:r>
    </w:p>
    <w:p>
      <w:pPr>
        <w:bidi w:val="false"/>
        <w:spacing w:after="120" w:line="300"/>
        <w:jc w:val="left"/>
      </w:pPr>
      <w:r>
        <w:rPr>
          <w:rFonts w:ascii="Calibri" w:cs="Calibri" w:eastAsia="Calibri" w:hAnsi="Calibri"/>
          <w:sz w:val="22"/>
          <w:szCs w:val="22"/>
        </w:rPr>
        <w:t xml:space="preserve">With an average of 1.5 marks per item, the blueprint suggests 5 items for O2 (8 ÷ 1.5 = 5.3), and 2 for O4 (3 ÷ 1.5 = 2). The total of suggested items is 21, even though 30 ÷ 1.5 = 20. This is the effect of rounding again, and it does no harm because the number is a suggestion that helps estimate the length and time of the test, not a constraint.</w:t>
      </w:r>
    </w:p>
    <w:p>
      <w:pPr>
        <w:pStyle w:val="Heading2"/>
        <w:bidi w:val="false"/>
        <w:spacing w:after="120" w:before="240"/>
        <w:jc w:val="left"/>
      </w:pPr>
      <w:r>
        <w:rPr>
          <w:rFonts w:ascii="Calibri" w:cs="Calibri" w:eastAsia="Calibri" w:hAnsi="Calibri"/>
          <w:b/>
          <w:bCs/>
          <w:color w:val="2E75B6"/>
          <w:sz w:val="25"/>
          <w:szCs w:val="25"/>
        </w:rPr>
        <w:t xml:space="preserve">8.2 Item type follows level</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4"/>
        <w:gridCol w:w="5914"/>
        <w:gridCol w:w="1940"/>
      </w:tblGrid>
      <w:tr>
        <w:trPr>
          <w:cantSplit/>
          <w:tblHeader/>
        </w:trPr>
        <w:tc>
          <w:tcPr>
            <w:tcW w:type="dxa" w:w="17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59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Usually suitable types</w:t>
            </w:r>
          </w:p>
        </w:tc>
        <w:tc>
          <w:tcPr>
            <w:tcW w:type="dxa" w:w="19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Usual marks per item</w:t>
            </w:r>
          </w:p>
        </w:tc>
      </w:tr>
      <w:tr>
        <w:trPr>
          <w:cantSplit/>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Multiple choice, matching, very short answer</w:t>
            </w:r>
          </w:p>
        </w:tc>
        <w:tc>
          <w:tcPr>
            <w:tcW w:type="dxa" w:w="1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r>
      <w:tr>
        <w:trPr>
          <w:cantSplit/>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Multiple choice with a situation or calculation, short answer</w:t>
            </w:r>
          </w:p>
        </w:tc>
        <w:tc>
          <w:tcPr>
            <w:tcW w:type="dxa" w:w="1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or 2</w:t>
            </w:r>
          </w:p>
        </w:tc>
      </w:tr>
      <w:tr>
        <w:trPr>
          <w:cantSplit/>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Reasoning</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 constructed response, written explanation, brief design</w:t>
            </w:r>
          </w:p>
        </w:tc>
        <w:tc>
          <w:tcPr>
            <w:tcW w:type="dxa" w:w="1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or 3</w:t>
            </w:r>
          </w:p>
        </w:tc>
      </w:tr>
    </w:tbl>
    <w:p>
      <w:pPr>
        <w:spacing w:after="120"/>
      </w:pPr>
    </w:p>
    <w:p>
      <w:pPr>
        <w:bidi w:val="false"/>
        <w:spacing w:after="120" w:line="300"/>
        <w:jc w:val="left"/>
      </w:pPr>
      <w:r>
        <w:rPr>
          <w:rFonts w:ascii="Calibri" w:cs="Calibri" w:eastAsia="Calibri" w:hAnsi="Calibri"/>
          <w:sz w:val="22"/>
          <w:szCs w:val="22"/>
        </w:rPr>
        <w:t xml:space="preserve">Take O2 as an example (8 marks): three multiple-choice items for Knowing at one mark each, a multiple-choice item and a two-mark short-answer item for Applying, and a two-mark written-explanation item for Reasoning. The total is six items, not five, because the types we chose determine the actual number. Reasoning items usually need more space and a higher mark, so the number of items falls as the weight of Reasoning rises.</w:t>
      </w:r>
    </w:p>
    <w:p>
      <w:pPr>
        <w:bidi w:val="false"/>
        <w:spacing w:after="120" w:line="300"/>
        <w:jc w:val="left"/>
      </w:pPr>
      <w:r>
        <w:rPr>
          <w:rFonts w:ascii="Calibri" w:cs="Calibri" w:eastAsia="Calibri" w:hAnsi="Calibri"/>
          <w:sz w:val="22"/>
          <w:szCs w:val="22"/>
        </w:rPr>
        <w:t xml:space="preserve">These guidelines are common classroom rules, not binding rules. A well-written multiple-choice item can measure reasoning, and this is what we will practise in Week 7.</w:t>
      </w:r>
    </w:p>
    <w:p>
      <w:pPr>
        <w:pStyle w:val="Heading1"/>
        <w:bidi w:val="false"/>
        <w:spacing w:after="160" w:before="360"/>
        <w:jc w:val="left"/>
      </w:pPr>
      <w:r>
        <w:rPr>
          <w:rFonts w:ascii="Calibri" w:cs="Calibri" w:eastAsia="Calibri" w:hAnsi="Calibri"/>
          <w:b/>
          <w:bCs/>
          <w:color w:val="1F4E79"/>
          <w:sz w:val="30"/>
          <w:szCs w:val="30"/>
        </w:rPr>
        <w:t xml:space="preserve">9. The test blueprint with Claude's help</w:t>
      </w:r>
    </w:p>
    <w:p>
      <w:pPr>
        <w:bidi w:val="false"/>
        <w:spacing w:after="120" w:line="300"/>
        <w:jc w:val="left"/>
      </w:pPr>
      <w:r>
        <w:rPr>
          <w:rFonts w:ascii="Calibri" w:cs="Calibri" w:eastAsia="Calibri" w:hAnsi="Calibri"/>
          <w:sz w:val="22"/>
          <w:szCs w:val="22"/>
        </w:rPr>
        <w:t xml:space="preserve">Anthropic's report on university educators' use of Claude (2025) shows that curriculum development was the largest area of use, at 57% of the conversations studied. Writing outcomes and building test blueprints lie at the heart of this area. So the teacher needs to know where Claude helps them, and where it usually goes wrong.</w:t>
      </w:r>
    </w:p>
    <w:p>
      <w:pPr>
        <w:bidi w:val="false"/>
        <w:spacing w:after="120" w:line="300"/>
        <w:jc w:val="left"/>
      </w:pPr>
      <w:r>
        <w:rPr>
          <w:rFonts w:ascii="Calibri" w:cs="Calibri" w:eastAsia="Calibri" w:hAnsi="Calibri"/>
          <w:b/>
          <w:bCs/>
          <w:sz w:val="22"/>
          <w:szCs w:val="22"/>
        </w:rPr>
        <w:t xml:space="preserve">What it does well:</w:t>
      </w:r>
    </w:p>
    <w:p>
      <w:pPr>
        <w:pStyle w:val="ListParagraph"/>
        <w:numPr>
          <w:ilvl w:val="0"/>
          <w:numId w:val="3"/>
        </w:numPr>
        <w:bidi w:val="false"/>
        <w:spacing w:after="80" w:line="300"/>
        <w:jc w:val="left"/>
      </w:pPr>
      <w:r>
        <w:rPr>
          <w:rFonts w:ascii="Calibri" w:cs="Calibri" w:eastAsia="Calibri" w:hAnsi="Calibri"/>
          <w:sz w:val="22"/>
          <w:szCs w:val="22"/>
        </w:rPr>
        <w:t xml:space="preserve">Drafting measurable outcomes from a unit description in minutes, and suggesting alternative verbs for "understands" and "knows".</w:t>
      </w:r>
    </w:p>
    <w:p>
      <w:pPr>
        <w:pStyle w:val="ListParagraph"/>
        <w:numPr>
          <w:ilvl w:val="0"/>
          <w:numId w:val="3"/>
        </w:numPr>
        <w:bidi w:val="false"/>
        <w:spacing w:after="80" w:line="300"/>
        <w:jc w:val="left"/>
      </w:pPr>
      <w:r>
        <w:rPr>
          <w:rFonts w:ascii="Calibri" w:cs="Calibri" w:eastAsia="Calibri" w:hAnsi="Calibri"/>
          <w:sz w:val="22"/>
          <w:szCs w:val="22"/>
        </w:rPr>
        <w:t xml:space="preserve">Suggesting the cognitive level of each outcome with a justification that can be discussed.</w:t>
      </w:r>
    </w:p>
    <w:p>
      <w:pPr>
        <w:pStyle w:val="ListParagraph"/>
        <w:numPr>
          <w:ilvl w:val="0"/>
          <w:numId w:val="3"/>
        </w:numPr>
        <w:bidi w:val="false"/>
        <w:spacing w:after="80" w:line="300"/>
        <w:jc w:val="left"/>
      </w:pPr>
      <w:r>
        <w:rPr>
          <w:rFonts w:ascii="Calibri" w:cs="Calibri" w:eastAsia="Calibri" w:hAnsi="Calibri"/>
          <w:sz w:val="22"/>
          <w:szCs w:val="22"/>
        </w:rPr>
        <w:t xml:space="preserve">Building a complete draft test blueprint, and suggesting item types for each cell.</w:t>
      </w:r>
    </w:p>
    <w:p>
      <w:pPr>
        <w:pStyle w:val="ListParagraph"/>
        <w:numPr>
          <w:ilvl w:val="0"/>
          <w:numId w:val="3"/>
        </w:numPr>
        <w:bidi w:val="false"/>
        <w:spacing w:after="80" w:line="300"/>
        <w:jc w:val="left"/>
      </w:pPr>
      <w:r>
        <w:rPr>
          <w:rFonts w:ascii="Calibri" w:cs="Calibri" w:eastAsia="Calibri" w:hAnsi="Calibri"/>
          <w:sz w:val="22"/>
          <w:szCs w:val="22"/>
        </w:rPr>
        <w:t xml:space="preserve">Explaining the effect of changing the level weights or the total marks.</w:t>
      </w:r>
    </w:p>
    <w:p>
      <w:pPr>
        <w:bidi w:val="false"/>
        <w:spacing w:after="120" w:line="300"/>
        <w:jc w:val="left"/>
      </w:pPr>
      <w:r>
        <w:rPr>
          <w:rFonts w:ascii="Calibri" w:cs="Calibri" w:eastAsia="Calibri" w:hAnsi="Calibri"/>
          <w:b/>
          <w:bCs/>
          <w:sz w:val="22"/>
          <w:szCs w:val="22"/>
        </w:rPr>
        <w:t xml:space="preserve">Recurrent errors you should expect:</w:t>
      </w:r>
      <w:r>
        <w:rPr>
          <w:rFonts w:ascii="Calibri" w:cs="Calibri" w:eastAsia="Calibri" w:hAnsi="Calibri"/>
          <w:sz w:val="22"/>
          <w:szCs w:val="22"/>
        </w:rPr>
        <w:t xml:space="preserve"> these are common patterns in language models generally, and they may not all appear in every conversation:</w:t>
      </w:r>
    </w:p>
    <w:p>
      <w:pPr>
        <w:pStyle w:val="ListParagraph"/>
        <w:numPr>
          <w:ilvl w:val="0"/>
          <w:numId w:val="3"/>
        </w:numPr>
        <w:bidi w:val="false"/>
        <w:spacing w:after="80" w:line="300"/>
        <w:jc w:val="left"/>
      </w:pPr>
      <w:r>
        <w:rPr>
          <w:rFonts w:ascii="Calibri" w:cs="Calibri" w:eastAsia="Calibri" w:hAnsi="Calibri"/>
          <w:b/>
          <w:bCs/>
          <w:sz w:val="22"/>
          <w:szCs w:val="22"/>
        </w:rPr>
        <w:t xml:space="preserve">Inflating higher-level verbs.</w:t>
      </w:r>
      <w:r>
        <w:rPr>
          <w:rFonts w:ascii="Calibri" w:cs="Calibri" w:eastAsia="Calibri" w:hAnsi="Calibri"/>
          <w:sz w:val="22"/>
          <w:szCs w:val="22"/>
        </w:rPr>
        <w:t xml:space="preserve"> It may write "analyses" and "evaluates" for outcomes that require no more than recall in your lessons, because these verbs seem more sophisticated. Go back to what was actually taught.</w:t>
      </w:r>
    </w:p>
    <w:p>
      <w:pPr>
        <w:pStyle w:val="ListParagraph"/>
        <w:numPr>
          <w:ilvl w:val="0"/>
          <w:numId w:val="3"/>
        </w:numPr>
        <w:bidi w:val="false"/>
        <w:spacing w:after="80" w:line="300"/>
        <w:jc w:val="left"/>
      </w:pPr>
      <w:r>
        <w:rPr>
          <w:rFonts w:ascii="Calibri" w:cs="Calibri" w:eastAsia="Calibri" w:hAnsi="Calibri"/>
          <w:b/>
          <w:bCs/>
          <w:sz w:val="22"/>
          <w:szCs w:val="22"/>
        </w:rPr>
        <w:t xml:space="preserve">Classifying the level by the verb alone.</w:t>
      </w:r>
      <w:r>
        <w:rPr>
          <w:rFonts w:ascii="Calibri" w:cs="Calibri" w:eastAsia="Calibri" w:hAnsi="Calibri"/>
          <w:sz w:val="22"/>
          <w:szCs w:val="22"/>
        </w:rPr>
        <w:t xml:space="preserve"> It may automatically place every outcome beginning with "explains" under Reasoning, and it may mix Bloom's levels and TIMSS domains in the same blueprint.</w:t>
      </w:r>
    </w:p>
    <w:p>
      <w:pPr>
        <w:pStyle w:val="ListParagraph"/>
        <w:numPr>
          <w:ilvl w:val="0"/>
          <w:numId w:val="3"/>
        </w:numPr>
        <w:bidi w:val="false"/>
        <w:spacing w:after="80" w:line="300"/>
        <w:jc w:val="left"/>
      </w:pPr>
      <w:r>
        <w:rPr>
          <w:rFonts w:ascii="Calibri" w:cs="Calibri" w:eastAsia="Calibri" w:hAnsi="Calibri"/>
          <w:b/>
          <w:bCs/>
          <w:sz w:val="22"/>
          <w:szCs w:val="22"/>
        </w:rPr>
        <w:t xml:space="preserve">Totals that do not match.</w:t>
      </w:r>
      <w:r>
        <w:rPr>
          <w:rFonts w:ascii="Calibri" w:cs="Calibri" w:eastAsia="Calibri" w:hAnsi="Calibri"/>
          <w:sz w:val="22"/>
          <w:szCs w:val="22"/>
        </w:rPr>
        <w:t xml:space="preserve"> The sum of an outcome's cells may not equal its stated marks, or the blueprint total may not equal the test mark, or the weights may add up to 99% or 102%, without it pointing this out.</w:t>
      </w:r>
    </w:p>
    <w:p>
      <w:pPr>
        <w:pStyle w:val="ListParagraph"/>
        <w:numPr>
          <w:ilvl w:val="0"/>
          <w:numId w:val="3"/>
        </w:numPr>
        <w:bidi w:val="false"/>
        <w:spacing w:after="80" w:line="300"/>
        <w:jc w:val="left"/>
      </w:pPr>
      <w:r>
        <w:rPr>
          <w:rFonts w:ascii="Calibri" w:cs="Calibri" w:eastAsia="Calibri" w:hAnsi="Calibri"/>
          <w:b/>
          <w:bCs/>
          <w:sz w:val="22"/>
          <w:szCs w:val="22"/>
        </w:rPr>
        <w:t xml:space="preserve">Silent rounding and a different rounding method.</w:t>
      </w:r>
      <w:r>
        <w:rPr>
          <w:rFonts w:ascii="Calibri" w:cs="Calibri" w:eastAsia="Calibri" w:hAnsi="Calibri"/>
          <w:sz w:val="22"/>
          <w:szCs w:val="22"/>
        </w:rPr>
        <w:t xml:space="preserve"> It may round without saying so, and it may adjust cells to match the total without telling you which ones it adjusted. And if it calculates with code, some programming languages round the value 2.5 to 2, whereas Excel rounds it to 3.</w:t>
      </w:r>
    </w:p>
    <w:p>
      <w:pPr>
        <w:pStyle w:val="ListParagraph"/>
        <w:numPr>
          <w:ilvl w:val="0"/>
          <w:numId w:val="3"/>
        </w:numPr>
        <w:bidi w:val="false"/>
        <w:spacing w:after="80" w:line="300"/>
        <w:jc w:val="left"/>
      </w:pPr>
      <w:r>
        <w:rPr>
          <w:rFonts w:ascii="Calibri" w:cs="Calibri" w:eastAsia="Calibri" w:hAnsi="Calibri"/>
          <w:b/>
          <w:bCs/>
          <w:sz w:val="22"/>
          <w:szCs w:val="22"/>
        </w:rPr>
        <w:t xml:space="preserve">Decisions that are not its to make.</w:t>
      </w:r>
      <w:r>
        <w:rPr>
          <w:rFonts w:ascii="Calibri" w:cs="Calibri" w:eastAsia="Calibri" w:hAnsi="Calibri"/>
          <w:sz w:val="22"/>
          <w:szCs w:val="22"/>
        </w:rPr>
        <w:t xml:space="preserve"> It may propose the importance of outcomes or their number of periods on its own. This is information that only you and your curriculum document know.</w:t>
      </w:r>
    </w:p>
    <w:p>
      <w:pPr>
        <w:bidi w:val="false"/>
        <w:spacing w:after="120" w:line="300"/>
        <w:jc w:val="left"/>
      </w:pPr>
      <w:r>
        <w:rPr>
          <w:rFonts w:ascii="Calibri" w:cs="Calibri" w:eastAsia="Calibri" w:hAnsi="Calibri"/>
          <w:b/>
          <w:bCs/>
          <w:sz w:val="22"/>
          <w:szCs w:val="22"/>
        </w:rPr>
        <w:t xml:space="preserve">The rule:</w:t>
      </w:r>
      <w:r>
        <w:rPr>
          <w:rFonts w:ascii="Calibri" w:cs="Calibri" w:eastAsia="Calibri" w:hAnsi="Calibri"/>
          <w:sz w:val="22"/>
          <w:szCs w:val="22"/>
        </w:rPr>
        <w:t xml:space="preserve"> Claude writes the draft, Excel calculates, and you decide. Recalculate every blueprint Claude suggests in the Excel template, and document every difference and its reason.</w:t>
      </w:r>
    </w:p>
    <w:p>
      <w:pPr>
        <w:bidi w:val="false"/>
        <w:spacing w:after="120" w:line="300"/>
        <w:jc w:val="left"/>
      </w:pPr>
      <w:r>
        <w:rPr>
          <w:rFonts w:ascii="Calibri" w:cs="Calibri" w:eastAsia="Calibri" w:hAnsi="Calibri"/>
          <w:b/>
          <w:bCs/>
          <w:sz w:val="22"/>
          <w:szCs w:val="22"/>
        </w:rPr>
        <w:t xml:space="preserve">Privacy:</w:t>
      </w:r>
      <w:r>
        <w:rPr>
          <w:rFonts w:ascii="Calibri" w:cs="Calibri" w:eastAsia="Calibri" w:hAnsi="Calibri"/>
          <w:sz w:val="22"/>
          <w:szCs w:val="22"/>
        </w:rPr>
        <w:t xml:space="preserve"> what you upload this week is a unit description and curriculum outcomes, and includes no student data. Keep up this habit.</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Reword the outcome "The student knows the importance of density" to make it measurable, and identify its verb, content and condition.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The outcome "Explains why ice floats on water". When is it Knowing, and when is it Reasoning? Write an item for each case.</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Why do we not rely on the number of periods alone as the basis for weights? Give an example from your subject of an outcome with few periods but great importance.</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 40-mark test with the same blueprint gave 37 marks after rounding. Propose how you would distribute the three missing marks, and justify the choice of each cell.</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Compare two decisions for addressing the loss of Knowing in the worked example: the move within O1, and the move from O2 to O5. What does each decision gain and what does it lose? And when is the second justified?</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Claude gave you a test blueprint with a total of 31 marks, in which it classified the outcome "States the properties of metals" as Reasoning. What are your steps before adopting the blueprint?</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Anderson, L. W., &amp; Krathwohl, D. R. (Eds.) (2001). A Taxonomy for Learning, Teaching, and Assessing: A Revision of Bloom's Taxonomy of Educational Objectives. Longman.</w:t>
      </w:r>
    </w:p>
    <w:p>
      <w:pPr>
        <w:bidi w:val="false"/>
        <w:spacing w:after="120" w:line="300"/>
        <w:jc w:val="left"/>
      </w:pPr>
      <w:r>
        <w:rPr>
          <w:rFonts w:ascii="Calibri" w:cs="Calibri" w:eastAsia="Calibri" w:hAnsi="Calibri"/>
          <w:sz w:val="22"/>
          <w:szCs w:val="22"/>
        </w:rPr>
        <w:t xml:space="preserve">The chapters presenting the cognitive process dimension and the taxonomy table with its examples.</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Mullis, I. V. S., Martin, M. O., &amp; von Davier, M. (Eds.) (2021). TIMSS 2023 Assessment Frameworks. TIMSS &amp; PIRLS International Study Center, Boston College.</w:t>
      </w:r>
    </w:p>
    <w:p>
      <w:pPr>
        <w:bidi w:val="false"/>
        <w:spacing w:after="120" w:line="300"/>
        <w:jc w:val="left"/>
      </w:pPr>
      <w:r>
        <w:rPr>
          <w:rFonts w:ascii="Calibri" w:cs="Calibri" w:eastAsia="Calibri" w:hAnsi="Calibri"/>
          <w:sz w:val="22"/>
          <w:szCs w:val="22"/>
        </w:rPr>
        <w:t xml:space="preserve">The science framework, and the section on the three cognitive domains and their weights.</w:t>
      </w:r>
    </w:p>
    <w:p>
      <w:pPr>
        <w:bidi w:val="false"/>
        <w:spacing w:after="120" w:line="300"/>
        <w:jc w:val="left"/>
      </w:pPr>
      <w:r>
        <w:rPr>
          <w:rFonts w:ascii="Calibri" w:cs="Calibri" w:eastAsia="Calibri" w:hAnsi="Calibri"/>
          <w:sz w:val="22"/>
          <w:szCs w:val="22"/>
        </w:rPr>
        <w:t xml:space="preserve">Brookhart, S. M., &amp; Nitko, A. J. (2019). Educational Assessment of Students (8th ed.). Pearson.</w:t>
      </w:r>
    </w:p>
    <w:p>
      <w:pPr>
        <w:bidi w:val="false"/>
        <w:spacing w:after="120" w:line="300"/>
        <w:jc w:val="left"/>
      </w:pPr>
      <w:r>
        <w:rPr>
          <w:rFonts w:ascii="Calibri" w:cs="Calibri" w:eastAsia="Calibri" w:hAnsi="Calibri"/>
          <w:sz w:val="22"/>
          <w:szCs w:val="22"/>
        </w:rPr>
        <w:t xml:space="preserve">McMillan, J. H. (2024). Classroom Assessment: Principles and Practice that Enhance Student Learning and Motivation (8th ed.). Pearson.</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bidi w:val="false"/>
        <w:spacing w:after="120" w:line="300"/>
        <w:jc w:val="left"/>
      </w:pPr>
      <w:r>
        <w:rPr>
          <w:rFonts w:ascii="Calibri" w:cs="Calibri" w:eastAsia="Calibri" w:hAnsi="Calibri"/>
          <w:sz w:val="22"/>
          <w:szCs w:val="22"/>
        </w:rPr>
        <w:t xml:space="preserve">Webb, N. L. (1997). Criteria for alignment of expectations and assessments in mathematics and science education (Research Monograph No. 6). National Institute for Science Education.</w:t>
      </w:r>
    </w:p>
    <w:p>
      <w:pPr>
        <w:pStyle w:val="Heading2"/>
        <w:bidi w:val="false"/>
        <w:spacing w:after="120" w:before="240"/>
        <w:jc w:val="left"/>
      </w:pPr>
      <w:r>
        <w:rPr>
          <w:rFonts w:ascii="Calibri" w:cs="Calibri" w:eastAsia="Calibri" w:hAnsi="Calibri"/>
          <w:b/>
          <w:bCs/>
          <w:color w:val="2E75B6"/>
          <w:sz w:val="25"/>
          <w:szCs w:val="25"/>
        </w:rPr>
        <w:t xml:space="preserve">Critical reading (related to artificial intelligence)</w:t>
      </w:r>
    </w:p>
    <w:p>
      <w:pPr>
        <w:bidi w:val="false"/>
        <w:spacing w:after="120" w:line="300"/>
        <w:jc w:val="left"/>
      </w:pPr>
      <w:r>
        <w:rPr>
          <w:rFonts w:ascii="Calibri" w:cs="Calibri" w:eastAsia="Calibri" w:hAnsi="Calibri"/>
          <w:sz w:val="22"/>
          <w:szCs w:val="22"/>
        </w:rPr>
        <w:t xml:space="preserve">Anthropic (2025, August). Anthropic Education Report: How educators use Claude.</w:t>
      </w:r>
    </w:p>
    <w:p>
      <w:pPr>
        <w:bidi w:val="false"/>
        <w:spacing w:after="120" w:line="300"/>
        <w:jc w:val="left"/>
      </w:pPr>
      <w:r>
        <w:rPr>
          <w:rFonts w:ascii="Calibri" w:cs="Calibri" w:eastAsia="Calibri" w:hAnsi="Calibri"/>
          <w:sz w:val="22"/>
          <w:szCs w:val="22"/>
        </w:rPr>
        <w:t xml:space="preserve">It shows that curriculum development is teachers' most common use of Claude, which is an additional reason for systematically verifying everything it suggests.</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8"/>
        <w:gridCol w:w="5670"/>
      </w:tblGrid>
      <w:tr>
        <w:trPr>
          <w:cantSplit/>
          <w:tblHeader/>
        </w:trPr>
        <w:tc>
          <w:tcPr>
            <w:tcW w:type="dxa" w:w="39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in this course</w:t>
            </w:r>
          </w:p>
        </w:tc>
        <w:tc>
          <w:tcPr>
            <w:tcW w:type="dxa" w:w="56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English term</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Learning outcome</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Learning outcome</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Measurable outcome</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Measurable learning outcome</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Observable verb</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Observable verb</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Condition of performance</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Condition</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Performance criterion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Criterion</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Revised Bloom's taxonomy</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Revised Bloom's taxonomy</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Cognitive process dimension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Cognitive process dimension</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Knowledge dimension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Knowledge dimension</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Cognitive domains</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Cognitive domains</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 Applying, Reasoning</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 Applying, Reasoning</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 blueprint</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 blueprint (table of specifications)</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Outcome weight</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Outcome weight</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Relative importance</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Relative importance</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Rounding error</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Rounding error</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 evidence</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Evidence based on test content</w:t>
            </w:r>
          </w:p>
        </w:tc>
      </w:tr>
      <w:tr>
        <w:trPr>
          <w:cantSplit/>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Alignment</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Alignment</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6: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Lecture Notes</dc:title>
  <dc:creator>Emad Adel Fraij</dc:creator>
  <cp:lastModifiedBy>Un-named</cp:lastModifiedBy>
  <cp:revision>1</cp:revision>
  <dcterms:created xsi:type="dcterms:W3CDTF">2026-10-15T04:06:07.136Z</dcterms:created>
  <dcterms:modified xsi:type="dcterms:W3CDTF">2026-10-15T04:06:07.136Z</dcterms:modified>
</cp:coreProperties>
</file>

<file path=docProps/custom.xml><?xml version="1.0" encoding="utf-8"?>
<Properties xmlns="http://schemas.openxmlformats.org/officeDocument/2006/custom-properties" xmlns:vt="http://schemas.openxmlformats.org/officeDocument/2006/docPropsVTypes"/>
</file>