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val="false"/>
        <w:spacing w:after="160"/>
        <w:jc w:val="center"/>
      </w:pPr>
      <w:r>
        <w:rPr>
          <w:rFonts w:ascii="Calibri" w:cs="Calibri" w:eastAsia="Calibri" w:hAnsi="Calibri"/>
          <w:b/>
          <w:bCs/>
          <w:color w:val="1F4E79"/>
          <w:sz w:val="36"/>
          <w:szCs w:val="36"/>
        </w:rPr>
        <w:t xml:space="preserve">Week 8 — Constructed-Response Items, Rubrics and Rater Calibration</w:t>
      </w:r>
    </w:p>
    <w:p>
      <w:pPr>
        <w:pBdr>
          <w:bottom w:val="single" w:color="1F4E79" w:sz="8" w:space="8"/>
        </w:pBdr>
        <w:bidi w:val="false"/>
        <w:spacing w:after="360"/>
        <w:jc w:val="center"/>
      </w:pPr>
      <w:r>
        <w:rPr>
          <w:rFonts w:ascii="Calibri" w:cs="Calibri" w:eastAsia="Calibri" w:hAnsi="Calibri"/>
          <w:color w:val="595959"/>
          <w:sz w:val="22"/>
          <w:szCs w:val="22"/>
        </w:rPr>
        <w:t xml:space="preserve">Lecture notes · Educational Measurement and Evaluation · Postgraduate Professional Diploma in Teaching</w:t>
      </w:r>
    </w:p>
    <w:p>
      <w:pPr>
        <w:pStyle w:val="Heading1"/>
        <w:bidi w:val="false"/>
        <w:spacing w:after="160" w:before="360"/>
        <w:jc w:val="left"/>
      </w:pPr>
      <w:r>
        <w:rPr>
          <w:rFonts w:ascii="Calibri" w:cs="Calibri" w:eastAsia="Calibri" w:hAnsi="Calibri"/>
          <w:b/>
          <w:bCs/>
          <w:color w:val="1F4E79"/>
          <w:sz w:val="30"/>
          <w:szCs w:val="30"/>
        </w:rPr>
        <w:t xml:space="preserve">Learning outcomes for this week</w:t>
      </w:r>
    </w:p>
    <w:p>
      <w:pPr>
        <w:bidi w:val="false"/>
        <w:spacing w:after="120" w:line="300"/>
        <w:jc w:val="left"/>
      </w:pPr>
      <w:r>
        <w:rPr>
          <w:rFonts w:ascii="Calibri" w:cs="Calibri" w:eastAsia="Calibri" w:hAnsi="Calibri"/>
          <w:sz w:val="22"/>
          <w:szCs w:val="22"/>
        </w:rPr>
        <w:t xml:space="preserve">By the end of this week, the student will be able to:</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Distinguish between short-answer items and extended-response items, and determine when they are needed instead of selected-response items.</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Write a clear constructed-response task that explicitly tells the student what is expected of them.</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Choose between an analytic and a holistic rubric, and between a general and a task-specific rubric, according to the purpose of the assessment.</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Write observable, distinct level descriptors, and detect vague or overlapping descriptors.</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Calculate exact and adjacent agreement and the mean difference between a scorer and benchmark scores, and interpret them in terms of severity and leniency.</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Score written responses with Claude's help, treating it as a new scorer who needs calibration, while remaining the decision-maker.</w:t>
      </w:r>
    </w:p>
    <w:p>
      <w:pPr>
        <w:bidi w:val="false"/>
        <w:spacing w:after="120" w:line="300"/>
        <w:jc w:val="left"/>
      </w:pPr>
      <w:r>
        <w:rPr>
          <w:rFonts w:ascii="Calibri" w:cs="Calibri" w:eastAsia="Calibri" w:hAnsi="Calibri"/>
          <w:sz w:val="22"/>
          <w:szCs w:val="22"/>
        </w:rPr>
        <w:t xml:space="preserve">This week serves Course Learning Outcomes 3 and 4, and its product is a calibrated rubric that feeds into Phase 2 of the integrated test project.</w:t>
      </w:r>
    </w:p>
    <w:p>
      <w:pPr>
        <w:pStyle w:val="Heading1"/>
        <w:bidi w:val="false"/>
        <w:spacing w:after="160" w:before="360"/>
        <w:jc w:val="left"/>
      </w:pPr>
      <w:r>
        <w:rPr>
          <w:rFonts w:ascii="Calibri" w:cs="Calibri" w:eastAsia="Calibri" w:hAnsi="Calibri"/>
          <w:b/>
          <w:bCs/>
          <w:color w:val="1F4E79"/>
          <w:sz w:val="30"/>
          <w:szCs w:val="30"/>
        </w:rPr>
        <w:t xml:space="preserve">1. Why do we need constructed-response items?</w:t>
      </w:r>
    </w:p>
    <w:p>
      <w:pPr>
        <w:bidi w:val="false"/>
        <w:spacing w:after="120" w:line="300"/>
        <w:jc w:val="left"/>
      </w:pPr>
      <w:r>
        <w:rPr>
          <w:rFonts w:ascii="Calibri" w:cs="Calibri" w:eastAsia="Calibri" w:hAnsi="Calibri"/>
          <w:sz w:val="22"/>
          <w:szCs w:val="22"/>
        </w:rPr>
        <w:t xml:space="preserve">In Week 7 we wrote multiple-choice items and reviewed them with a 10-rule checklist. These items are economical: they are scored quickly and without disagreement, and they cover a broad part of the content in a short time. But some outcomes only show when the student </w:t>
      </w:r>
      <w:r>
        <w:rPr>
          <w:rFonts w:ascii="Calibri" w:cs="Calibri" w:eastAsia="Calibri" w:hAnsi="Calibri"/>
          <w:b/>
          <w:bCs/>
          <w:sz w:val="22"/>
          <w:szCs w:val="22"/>
        </w:rPr>
        <w:t xml:space="preserve">produces</w:t>
      </w:r>
      <w:r>
        <w:rPr>
          <w:rFonts w:ascii="Calibri" w:cs="Calibri" w:eastAsia="Calibri" w:hAnsi="Calibri"/>
          <w:sz w:val="22"/>
          <w:szCs w:val="22"/>
        </w:rPr>
        <w:t xml:space="preserve"> the answer themselves: designing an experiment, explaining a phenomenon in their own words, justifying a solution, or writing an argument. Here we need </w:t>
      </w:r>
      <w:r>
        <w:rPr>
          <w:rFonts w:ascii="Calibri" w:cs="Calibri" w:eastAsia="Calibri" w:hAnsi="Calibri"/>
          <w:b/>
          <w:bCs/>
          <w:sz w:val="22"/>
          <w:szCs w:val="22"/>
        </w:rPr>
        <w:t xml:space="preserve">constructed-response items</w:t>
      </w:r>
      <w:r>
        <w:rPr>
          <w:rFonts w:ascii="Calibri" w:cs="Calibri" w:eastAsia="Calibri" w:hAnsi="Calibri"/>
          <w:sz w:val="22"/>
          <w:szCs w:val="22"/>
        </w:rPr>
        <w:t xml:space="preserve">: items in which the student builds their answer rather than choosing it from options.</w:t>
      </w:r>
    </w:p>
    <w:p>
      <w:pPr>
        <w:bidi w:val="false"/>
        <w:spacing w:after="120" w:line="300"/>
        <w:jc w:val="left"/>
      </w:pPr>
      <w:r>
        <w:rPr>
          <w:rFonts w:ascii="Calibri" w:cs="Calibri" w:eastAsia="Calibri" w:hAnsi="Calibri"/>
          <w:sz w:val="22"/>
          <w:szCs w:val="22"/>
        </w:rPr>
        <w:t xml:space="preserve">Constructed-response items fall into two main types: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1"/>
        <w:gridCol w:w="2460"/>
        <w:gridCol w:w="3588"/>
        <w:gridCol w:w="2719"/>
      </w:tblGrid>
      <w:tr>
        <w:trPr>
          <w:cantSplit/>
          <w:tblHeader/>
        </w:trPr>
        <w:tc>
          <w:tcPr>
            <w:tcW w:type="dxa" w:w="87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Type</w:t>
            </w:r>
          </w:p>
        </w:tc>
        <w:tc>
          <w:tcPr>
            <w:tcW w:type="dxa" w:w="24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What is asked of the student</w:t>
            </w:r>
          </w:p>
        </w:tc>
        <w:tc>
          <w:tcPr>
            <w:tcW w:type="dxa" w:w="358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Science example</w:t>
            </w:r>
          </w:p>
        </w:tc>
        <w:tc>
          <w:tcPr>
            <w:tcW w:type="dxa" w:w="27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Scoring</w:t>
            </w:r>
          </w:p>
        </w:tc>
      </w:tr>
      <w:tr>
        <w:trPr>
          <w:cantSplit/>
        </w:trPr>
        <w:tc>
          <w:tcPr>
            <w:tcW w:type="dxa" w:w="8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Short answer</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word, a number, or one or two sentences</w:t>
            </w:r>
          </w:p>
        </w:tc>
        <w:tc>
          <w:tcPr>
            <w:tcW w:type="dxa" w:w="35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Name the dependent variable in this experiment</w:t>
            </w:r>
          </w:p>
        </w:tc>
        <w:tc>
          <w:tcPr>
            <w:tcW w:type="dxa" w:w="27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key of acceptable answers, usually one or two marks</w:t>
            </w:r>
          </w:p>
        </w:tc>
      </w:tr>
      <w:tr>
        <w:trPr>
          <w:cantSplit/>
        </w:trPr>
        <w:tc>
          <w:tcPr>
            <w:tcW w:type="dxa" w:w="8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Extended response</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One or more paragraphs showing steps of thinking</w:t>
            </w:r>
          </w:p>
        </w:tc>
        <w:tc>
          <w:tcPr>
            <w:tcW w:type="dxa" w:w="35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Design an experiment that tests this statement and explain its expected result</w:t>
            </w:r>
          </w:p>
        </w:tc>
        <w:tc>
          <w:tcPr>
            <w:tcW w:type="dxa" w:w="27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rubric with criteria and levels</w:t>
            </w:r>
          </w:p>
        </w:tc>
      </w:tr>
    </w:tbl>
    <w:p>
      <w:pPr>
        <w:spacing w:after="120"/>
      </w:pPr>
    </w:p>
    <w:p>
      <w:pPr>
        <w:bidi w:val="false"/>
        <w:spacing w:after="120" w:line="300"/>
        <w:jc w:val="left"/>
      </w:pPr>
      <w:r>
        <w:rPr>
          <w:rFonts w:ascii="Calibri" w:cs="Calibri" w:eastAsia="Calibri" w:hAnsi="Calibri"/>
          <w:b/>
          <w:bCs/>
          <w:sz w:val="22"/>
          <w:szCs w:val="22"/>
        </w:rPr>
        <w:t xml:space="preserve">When do we use them?</w:t>
      </w:r>
      <w:r>
        <w:rPr>
          <w:rFonts w:ascii="Calibri" w:cs="Calibri" w:eastAsia="Calibri" w:hAnsi="Calibri"/>
          <w:sz w:val="22"/>
          <w:szCs w:val="22"/>
        </w:rPr>
        <w:t xml:space="preserve"> When the outcome requires production rather than recognition, when we want to see the line of thinking and not only the final result, and when the options in a multiple-choice item would give the answer away. In the test blueprint you built in Week 6, look especially for outcomes at the Reasoning level: they are the first candidates for constructed-response items.</w:t>
      </w:r>
    </w:p>
    <w:p>
      <w:pPr>
        <w:bidi w:val="false"/>
        <w:spacing w:after="120" w:line="300"/>
        <w:jc w:val="left"/>
      </w:pPr>
      <w:r>
        <w:rPr>
          <w:rFonts w:ascii="Calibri" w:cs="Calibri" w:eastAsia="Calibri" w:hAnsi="Calibri"/>
          <w:b/>
          <w:bCs/>
          <w:sz w:val="22"/>
          <w:szCs w:val="22"/>
        </w:rPr>
        <w:t xml:space="preserve">What do they cost?</w:t>
      </w:r>
      <w:r>
        <w:rPr>
          <w:rFonts w:ascii="Calibri" w:cs="Calibri" w:eastAsia="Calibri" w:hAnsi="Calibri"/>
          <w:sz w:val="22"/>
          <w:szCs w:val="22"/>
        </w:rPr>
        <w:t xml:space="preserve"> Three costs the teacher should know before deciding:</w:t>
      </w:r>
    </w:p>
    <w:p>
      <w:pPr>
        <w:pStyle w:val="ListParagraph"/>
        <w:numPr>
          <w:ilvl w:val="0"/>
          <w:numId w:val="3"/>
        </w:numPr>
        <w:bidi w:val="false"/>
        <w:spacing w:after="80" w:line="300"/>
        <w:jc w:val="left"/>
      </w:pPr>
      <w:r>
        <w:rPr>
          <w:rFonts w:ascii="Calibri" w:cs="Calibri" w:eastAsia="Calibri" w:hAnsi="Calibri"/>
          <w:b/>
          <w:bCs/>
          <w:sz w:val="22"/>
          <w:szCs w:val="22"/>
        </w:rPr>
        <w:t xml:space="preserve">A narrower sample of content:</w:t>
      </w:r>
      <w:r>
        <w:rPr>
          <w:rFonts w:ascii="Calibri" w:cs="Calibri" w:eastAsia="Calibri" w:hAnsi="Calibri"/>
          <w:sz w:val="22"/>
          <w:szCs w:val="22"/>
        </w:rPr>
        <w:t xml:space="preserve"> one extended question takes the time of ten selected-response items, so it covers a smaller part of the domain.</w:t>
      </w:r>
    </w:p>
    <w:p>
      <w:pPr>
        <w:pStyle w:val="ListParagraph"/>
        <w:numPr>
          <w:ilvl w:val="0"/>
          <w:numId w:val="3"/>
        </w:numPr>
        <w:bidi w:val="false"/>
        <w:spacing w:after="80" w:line="300"/>
        <w:jc w:val="left"/>
      </w:pPr>
      <w:r>
        <w:rPr>
          <w:rFonts w:ascii="Calibri" w:cs="Calibri" w:eastAsia="Calibri" w:hAnsi="Calibri"/>
          <w:b/>
          <w:bCs/>
          <w:sz w:val="22"/>
          <w:szCs w:val="22"/>
        </w:rPr>
        <w:t xml:space="preserve">Scoring time:</w:t>
      </w:r>
      <w:r>
        <w:rPr>
          <w:rFonts w:ascii="Calibri" w:cs="Calibri" w:eastAsia="Calibri" w:hAnsi="Calibri"/>
          <w:sz w:val="22"/>
          <w:szCs w:val="22"/>
        </w:rPr>
        <w:t xml:space="preserve"> reading 30 extended responses carefully takes hours.</w:t>
      </w:r>
    </w:p>
    <w:p>
      <w:pPr>
        <w:pStyle w:val="ListParagraph"/>
        <w:numPr>
          <w:ilvl w:val="0"/>
          <w:numId w:val="3"/>
        </w:numPr>
        <w:bidi w:val="false"/>
        <w:spacing w:after="80" w:line="300"/>
        <w:jc w:val="left"/>
      </w:pPr>
      <w:r>
        <w:rPr>
          <w:rFonts w:ascii="Calibri" w:cs="Calibri" w:eastAsia="Calibri" w:hAnsi="Calibri"/>
          <w:b/>
          <w:bCs/>
          <w:sz w:val="22"/>
          <w:szCs w:val="22"/>
        </w:rPr>
        <w:t xml:space="preserve">Scoring reliability:</w:t>
      </w:r>
      <w:r>
        <w:rPr>
          <w:rFonts w:ascii="Calibri" w:cs="Calibri" w:eastAsia="Calibri" w:hAnsi="Calibri"/>
          <w:sz w:val="22"/>
          <w:szCs w:val="22"/>
        </w:rPr>
        <w:t xml:space="preserve"> the score depends on the scorer's judgement, so two scorers may give two different scores to the same response. This is what we saw in Week 4, when inter-rater agreement (kappa 0.41) needed calibration.</w:t>
      </w:r>
    </w:p>
    <w:p>
      <w:pPr>
        <w:bidi w:val="false"/>
        <w:spacing w:after="120" w:line="300"/>
        <w:jc w:val="left"/>
      </w:pPr>
      <w:r>
        <w:rPr>
          <w:rFonts w:ascii="Calibri" w:cs="Calibri" w:eastAsia="Calibri" w:hAnsi="Calibri"/>
          <w:sz w:val="22"/>
          <w:szCs w:val="22"/>
        </w:rPr>
        <w:t xml:space="preserve">So constructed-response items do not replace selected-response items; they complement them. A good test usually combines both types according to the test blueprint (Popham, 2025; McMillan, 2024).</w:t>
      </w:r>
    </w:p>
    <w:p>
      <w:pPr>
        <w:pStyle w:val="Heading1"/>
        <w:bidi w:val="false"/>
        <w:spacing w:after="160" w:before="360"/>
        <w:jc w:val="left"/>
      </w:pPr>
      <w:r>
        <w:rPr>
          <w:rFonts w:ascii="Calibri" w:cs="Calibri" w:eastAsia="Calibri" w:hAnsi="Calibri"/>
          <w:b/>
          <w:bCs/>
          <w:color w:val="1F4E79"/>
          <w:sz w:val="30"/>
          <w:szCs w:val="30"/>
        </w:rPr>
        <w:t xml:space="preserve">2. Writing a clear constructed-response task</w:t>
      </w:r>
    </w:p>
    <w:p>
      <w:pPr>
        <w:bidi w:val="false"/>
        <w:spacing w:after="120" w:line="300"/>
        <w:jc w:val="left"/>
      </w:pPr>
      <w:r>
        <w:rPr>
          <w:rFonts w:ascii="Calibri" w:cs="Calibri" w:eastAsia="Calibri" w:hAnsi="Calibri"/>
          <w:sz w:val="22"/>
          <w:szCs w:val="22"/>
        </w:rPr>
        <w:t xml:space="preserve">Most scoring problems begin with the wording of the task, not with the scorer. If the student does not know what is required, they write whatever comes to mind, and the scorer then finds themselves comparing responses that do not answer the same question.</w:t>
      </w:r>
    </w:p>
    <w:p>
      <w:pPr>
        <w:bidi w:val="false"/>
        <w:spacing w:after="120" w:line="300"/>
        <w:jc w:val="left"/>
      </w:pPr>
      <w:r>
        <w:rPr>
          <w:rFonts w:ascii="Calibri" w:cs="Calibri" w:eastAsia="Calibri" w:hAnsi="Calibri"/>
          <w:sz w:val="22"/>
          <w:szCs w:val="22"/>
        </w:rPr>
        <w:t xml:space="preserve">Compare two wordings of the same task:</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87"/>
        <w:gridCol w:w="5151"/>
      </w:tblGrid>
      <w:tr>
        <w:trPr>
          <w:cantSplit/>
          <w:tblHeader/>
        </w:trPr>
        <w:tc>
          <w:tcPr>
            <w:tcW w:type="dxa" w:w="448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Vague wording</w:t>
            </w:r>
          </w:p>
        </w:tc>
        <w:tc>
          <w:tcPr>
            <w:tcW w:type="dxa" w:w="515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Clear wording (the workshop task)</w:t>
            </w:r>
          </w:p>
        </w:tc>
      </w:tr>
      <w:tr>
        <w:trPr>
          <w:cantSplit/>
        </w:trPr>
        <w:tc>
          <w:tcPr>
            <w:tcW w:type="dxa" w:w="44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Write what you know about the rusting of iron and salt water.</w:t>
            </w:r>
          </w:p>
        </w:tc>
        <w:tc>
          <w:tcPr>
            <w:tcW w:type="dxa" w:w="51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student says: "An iron nail rusts faster in salt water than in distilled water." Design an experiment to test this statement, identify the variables, then explain the result you expect.</w:t>
            </w:r>
          </w:p>
        </w:tc>
      </w:tr>
    </w:tbl>
    <w:p>
      <w:pPr>
        <w:spacing w:after="120"/>
      </w:pPr>
    </w:p>
    <w:p>
      <w:pPr>
        <w:bidi w:val="false"/>
        <w:spacing w:after="120" w:line="300"/>
        <w:jc w:val="left"/>
      </w:pPr>
      <w:r>
        <w:rPr>
          <w:rFonts w:ascii="Calibri" w:cs="Calibri" w:eastAsia="Calibri" w:hAnsi="Calibri"/>
          <w:sz w:val="22"/>
          <w:szCs w:val="22"/>
        </w:rPr>
        <w:t xml:space="preserve">The second wording states three explicit verbs: </w:t>
      </w:r>
      <w:r>
        <w:rPr>
          <w:rFonts w:ascii="Calibri" w:cs="Calibri" w:eastAsia="Calibri" w:hAnsi="Calibri"/>
          <w:b/>
          <w:bCs/>
          <w:sz w:val="22"/>
          <w:szCs w:val="22"/>
        </w:rPr>
        <w:t xml:space="preserve">design, identify, explain</w:t>
      </w:r>
      <w:r>
        <w:rPr>
          <w:rFonts w:ascii="Calibri" w:cs="Calibri" w:eastAsia="Calibri" w:hAnsi="Calibri"/>
          <w:sz w:val="22"/>
          <w:szCs w:val="22"/>
        </w:rPr>
        <w:t xml:space="preserve">. Each of these verbs corresponds to a criterion in the rubric. This is the explicit expectation: the student knows from the question text what will be assessed.</w:t>
      </w:r>
    </w:p>
    <w:p>
      <w:pPr>
        <w:bidi w:val="false"/>
        <w:spacing w:after="120" w:line="300"/>
        <w:jc w:val="left"/>
      </w:pPr>
      <w:r>
        <w:rPr>
          <w:rFonts w:ascii="Calibri" w:cs="Calibri" w:eastAsia="Calibri" w:hAnsi="Calibri"/>
          <w:b/>
          <w:bCs/>
          <w:sz w:val="22"/>
          <w:szCs w:val="22"/>
        </w:rPr>
        <w:t xml:space="preserve">A short checklist for writing a constructed-response task:</w:t>
      </w:r>
    </w:p>
    <w:p>
      <w:pPr>
        <w:pStyle w:val="ListParagraph"/>
        <w:keepNext/>
        <w:numPr>
          <w:ilvl w:val="0"/>
          <w:numId w:val="4"/>
        </w:numPr>
        <w:bidi w:val="false"/>
        <w:spacing w:after="60" w:before="80" w:line="300"/>
        <w:jc w:val="left"/>
      </w:pPr>
      <w:r>
        <w:rPr>
          <w:rFonts w:ascii="Calibri" w:cs="Calibri" w:eastAsia="Calibri" w:hAnsi="Calibri"/>
          <w:sz w:val="22"/>
          <w:szCs w:val="22"/>
        </w:rPr>
        <w:t xml:space="preserve">Start from a specific learning outcome in the test blueprint, and a specific cognitive level.</w:t>
      </w:r>
    </w:p>
    <w:p>
      <w:pPr>
        <w:pStyle w:val="ListParagraph"/>
        <w:keepNext/>
        <w:numPr>
          <w:ilvl w:val="0"/>
          <w:numId w:val="4"/>
        </w:numPr>
        <w:bidi w:val="false"/>
        <w:spacing w:after="60" w:before="80" w:line="300"/>
        <w:jc w:val="left"/>
      </w:pPr>
      <w:r>
        <w:rPr>
          <w:rFonts w:ascii="Calibri" w:cs="Calibri" w:eastAsia="Calibri" w:hAnsi="Calibri"/>
          <w:sz w:val="22"/>
          <w:szCs w:val="22"/>
        </w:rPr>
        <w:t xml:space="preserve">Use observable verbs (design, explain, compare, justify), not general verbs (write about, discuss).</w:t>
      </w:r>
    </w:p>
    <w:p>
      <w:pPr>
        <w:pStyle w:val="ListParagraph"/>
        <w:keepNext/>
        <w:numPr>
          <w:ilvl w:val="0"/>
          <w:numId w:val="4"/>
        </w:numPr>
        <w:bidi w:val="false"/>
        <w:spacing w:after="60" w:before="80" w:line="300"/>
        <w:jc w:val="left"/>
      </w:pPr>
      <w:r>
        <w:rPr>
          <w:rFonts w:ascii="Calibri" w:cs="Calibri" w:eastAsia="Calibri" w:hAnsi="Calibri"/>
          <w:sz w:val="22"/>
          <w:szCs w:val="22"/>
        </w:rPr>
        <w:t xml:space="preserve">State the required components of the answer if there are several.</w:t>
      </w:r>
    </w:p>
    <w:p>
      <w:pPr>
        <w:pStyle w:val="ListParagraph"/>
        <w:keepNext/>
        <w:numPr>
          <w:ilvl w:val="0"/>
          <w:numId w:val="4"/>
        </w:numPr>
        <w:bidi w:val="false"/>
        <w:spacing w:after="60" w:before="80" w:line="300"/>
        <w:jc w:val="left"/>
      </w:pPr>
      <w:r>
        <w:rPr>
          <w:rFonts w:ascii="Calibri" w:cs="Calibri" w:eastAsia="Calibri" w:hAnsi="Calibri"/>
          <w:sz w:val="22"/>
          <w:szCs w:val="22"/>
        </w:rPr>
        <w:t xml:space="preserve">Specify the expected approximate length or time.</w:t>
      </w:r>
    </w:p>
    <w:p>
      <w:pPr>
        <w:pStyle w:val="ListParagraph"/>
        <w:keepNext/>
        <w:numPr>
          <w:ilvl w:val="0"/>
          <w:numId w:val="4"/>
        </w:numPr>
        <w:bidi w:val="false"/>
        <w:spacing w:after="60" w:before="80" w:line="300"/>
        <w:jc w:val="left"/>
      </w:pPr>
      <w:r>
        <w:rPr>
          <w:rFonts w:ascii="Calibri" w:cs="Calibri" w:eastAsia="Calibri" w:hAnsi="Calibri"/>
          <w:sz w:val="22"/>
          <w:szCs w:val="22"/>
        </w:rPr>
        <w:t xml:space="preserve">Write the rubric together with the task, not after reading the responses, and announce its criteria to the students before the test.</w:t>
      </w:r>
    </w:p>
    <w:p>
      <w:pPr>
        <w:pStyle w:val="ListParagraph"/>
        <w:keepNext/>
        <w:numPr>
          <w:ilvl w:val="0"/>
          <w:numId w:val="4"/>
        </w:numPr>
        <w:bidi w:val="false"/>
        <w:spacing w:after="60" w:before="80" w:line="300"/>
        <w:jc w:val="left"/>
      </w:pPr>
      <w:r>
        <w:rPr>
          <w:rFonts w:ascii="Calibri" w:cs="Calibri" w:eastAsia="Calibri" w:hAnsi="Calibri"/>
          <w:sz w:val="22"/>
          <w:szCs w:val="22"/>
        </w:rPr>
        <w:t xml:space="preserve">Try the task on yourself or on a colleague: is it understood as you intended?</w:t>
      </w:r>
    </w:p>
    <w:p>
      <w:pPr>
        <w:bidi w:val="false"/>
        <w:spacing w:after="120" w:line="300"/>
        <w:jc w:val="left"/>
      </w:pPr>
      <w:r>
        <w:rPr>
          <w:rFonts w:ascii="Calibri" w:cs="Calibri" w:eastAsia="Calibri" w:hAnsi="Calibri"/>
          <w:sz w:val="22"/>
          <w:szCs w:val="22"/>
        </w:rPr>
        <w:t xml:space="preserve">The fifth rule is the most important: a rubric written after reading the responses tends to reward what the students actually wrote rather than what they were supposed to write.</w:t>
      </w:r>
    </w:p>
    <w:p>
      <w:pPr>
        <w:pStyle w:val="Heading1"/>
        <w:bidi w:val="false"/>
        <w:spacing w:after="160" w:before="360"/>
        <w:jc w:val="left"/>
      </w:pPr>
      <w:r>
        <w:rPr>
          <w:rFonts w:ascii="Calibri" w:cs="Calibri" w:eastAsia="Calibri" w:hAnsi="Calibri"/>
          <w:b/>
          <w:bCs/>
          <w:color w:val="1F4E79"/>
          <w:sz w:val="30"/>
          <w:szCs w:val="30"/>
        </w:rPr>
        <w:t xml:space="preserve">3. Types of rubrics</w:t>
      </w:r>
    </w:p>
    <w:p>
      <w:pPr>
        <w:bidi w:val="false"/>
        <w:spacing w:after="120" w:line="300"/>
        <w:jc w:val="left"/>
      </w:pPr>
      <w:r>
        <w:rPr>
          <w:rFonts w:ascii="Calibri" w:cs="Calibri" w:eastAsia="Calibri" w:hAnsi="Calibri"/>
          <w:sz w:val="22"/>
          <w:szCs w:val="22"/>
        </w:rPr>
        <w:t xml:space="preserve">A </w:t>
      </w:r>
      <w:r>
        <w:rPr>
          <w:rFonts w:ascii="Calibri" w:cs="Calibri" w:eastAsia="Calibri" w:hAnsi="Calibri"/>
          <w:b/>
          <w:bCs/>
          <w:sz w:val="22"/>
          <w:szCs w:val="22"/>
        </w:rPr>
        <w:t xml:space="preserve">rubric</w:t>
      </w:r>
      <w:r>
        <w:rPr>
          <w:rFonts w:ascii="Calibri" w:cs="Calibri" w:eastAsia="Calibri" w:hAnsi="Calibri"/>
          <w:sz w:val="22"/>
          <w:szCs w:val="22"/>
        </w:rPr>
        <w:t xml:space="preserve"> is a coherent set of criteria, with a description of performance levels for each criterion (Brookhart, 2013). It has two components without which it is incomplete: </w:t>
      </w:r>
      <w:r>
        <w:rPr>
          <w:rFonts w:ascii="Calibri" w:cs="Calibri" w:eastAsia="Calibri" w:hAnsi="Calibri"/>
          <w:b/>
          <w:bCs/>
          <w:sz w:val="22"/>
          <w:szCs w:val="22"/>
        </w:rPr>
        <w:t xml:space="preserve">the criteria</w:t>
      </w:r>
      <w:r>
        <w:rPr>
          <w:rFonts w:ascii="Calibri" w:cs="Calibri" w:eastAsia="Calibri" w:hAnsi="Calibri"/>
          <w:sz w:val="22"/>
          <w:szCs w:val="22"/>
        </w:rPr>
        <w:t xml:space="preserve"> (what are we assessing?) and </w:t>
      </w:r>
      <w:r>
        <w:rPr>
          <w:rFonts w:ascii="Calibri" w:cs="Calibri" w:eastAsia="Calibri" w:hAnsi="Calibri"/>
          <w:b/>
          <w:bCs/>
          <w:sz w:val="22"/>
          <w:szCs w:val="22"/>
        </w:rPr>
        <w:t xml:space="preserve">the level descriptors</w:t>
      </w:r>
      <w:r>
        <w:rPr>
          <w:rFonts w:ascii="Calibri" w:cs="Calibri" w:eastAsia="Calibri" w:hAnsi="Calibri"/>
          <w:sz w:val="22"/>
          <w:szCs w:val="22"/>
        </w:rPr>
        <w:t xml:space="preserve"> (what does performance look like at each level?). A list of criteria without descriptors is not a rubric but a checklist.</w:t>
      </w:r>
    </w:p>
    <w:p>
      <w:pPr>
        <w:pStyle w:val="Heading2"/>
        <w:bidi w:val="false"/>
        <w:spacing w:after="120" w:before="240"/>
        <w:jc w:val="left"/>
      </w:pPr>
      <w:r>
        <w:rPr>
          <w:rFonts w:ascii="Calibri" w:cs="Calibri" w:eastAsia="Calibri" w:hAnsi="Calibri"/>
          <w:b/>
          <w:bCs/>
          <w:color w:val="2E75B6"/>
          <w:sz w:val="25"/>
          <w:szCs w:val="25"/>
        </w:rPr>
        <w:t xml:space="preserve">3.1 Analytic or holistic?</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9"/>
        <w:gridCol w:w="3855"/>
        <w:gridCol w:w="4654"/>
      </w:tblGrid>
      <w:tr>
        <w:trPr>
          <w:cantSplit/>
          <w:tblHeader/>
        </w:trPr>
        <w:tc>
          <w:tcPr>
            <w:tcW w:type="dxa" w:w="112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Aspect</w:t>
            </w:r>
          </w:p>
        </w:tc>
        <w:tc>
          <w:tcPr>
            <w:tcW w:type="dxa" w:w="385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Analytic rubric</w:t>
            </w:r>
          </w:p>
        </w:tc>
        <w:tc>
          <w:tcPr>
            <w:tcW w:type="dxa" w:w="46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Holistic rubric</w:t>
            </w:r>
          </w:p>
        </w:tc>
      </w:tr>
      <w:tr>
        <w:trPr>
          <w:cantSplit/>
        </w:trPr>
        <w:tc>
          <w:tcPr>
            <w:tcW w:type="dxa" w:w="11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Method of scoring</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separate score for each criterion, then the total</w:t>
            </w:r>
          </w:p>
        </w:tc>
        <w:tc>
          <w:tcPr>
            <w:tcW w:type="dxa" w:w="4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single score for the whole response</w:t>
            </w:r>
          </w:p>
        </w:tc>
      </w:tr>
      <w:tr>
        <w:trPr>
          <w:cantSplit/>
        </w:trPr>
        <w:tc>
          <w:tcPr>
            <w:tcW w:type="dxa" w:w="11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Feedback</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Shows the student where their strengths and weaknesses lie</w:t>
            </w:r>
          </w:p>
        </w:tc>
        <w:tc>
          <w:tcPr>
            <w:tcW w:type="dxa" w:w="4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General, and does not locate the weakness</w:t>
            </w:r>
          </w:p>
        </w:tc>
      </w:tr>
      <w:tr>
        <w:trPr>
          <w:cantSplit/>
        </w:trPr>
        <w:tc>
          <w:tcPr>
            <w:tcW w:type="dxa" w:w="11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Speed</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Slower</w:t>
            </w:r>
          </w:p>
        </w:tc>
        <w:tc>
          <w:tcPr>
            <w:tcW w:type="dxa" w:w="4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Faster</w:t>
            </w:r>
          </w:p>
        </w:tc>
      </w:tr>
      <w:tr>
        <w:trPr>
          <w:cantSplit/>
        </w:trPr>
        <w:tc>
          <w:tcPr>
            <w:tcW w:type="dxa" w:w="11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Most suitable use</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Formative assessment, and multi-component tasks</w:t>
            </w:r>
          </w:p>
        </w:tc>
        <w:tc>
          <w:tcPr>
            <w:tcW w:type="dxa" w:w="4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Quick overall judgements, and tasks whose components are hard to separate</w:t>
            </w:r>
          </w:p>
        </w:tc>
      </w:tr>
      <w:tr>
        <w:trPr>
          <w:cantSplit/>
        </w:trPr>
        <w:tc>
          <w:tcPr>
            <w:tcW w:type="dxa" w:w="11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Its risk</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Turning into counting elements</w:t>
            </w:r>
          </w:p>
        </w:tc>
        <w:tc>
          <w:tcPr>
            <w:tcW w:type="dxa" w:w="4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Criteria get mixed, so the weakness is lost inside a general impression</w:t>
            </w:r>
          </w:p>
        </w:tc>
      </w:tr>
    </w:tbl>
    <w:p>
      <w:pPr>
        <w:spacing w:after="120"/>
      </w:pPr>
    </w:p>
    <w:p>
      <w:pPr>
        <w:bidi w:val="false"/>
        <w:spacing w:after="120" w:line="300"/>
        <w:jc w:val="left"/>
      </w:pPr>
      <w:r>
        <w:rPr>
          <w:rFonts w:ascii="Calibri" w:cs="Calibri" w:eastAsia="Calibri" w:hAnsi="Calibri"/>
          <w:sz w:val="22"/>
          <w:szCs w:val="22"/>
        </w:rPr>
        <w:t xml:space="preserve">This week's workshop rubric is </w:t>
      </w:r>
      <w:r>
        <w:rPr>
          <w:rFonts w:ascii="Calibri" w:cs="Calibri" w:eastAsia="Calibri" w:hAnsi="Calibri"/>
          <w:b/>
          <w:bCs/>
          <w:sz w:val="22"/>
          <w:szCs w:val="22"/>
        </w:rPr>
        <w:t xml:space="preserve">analytic</w:t>
      </w:r>
      <w:r>
        <w:rPr>
          <w:rFonts w:ascii="Calibri" w:cs="Calibri" w:eastAsia="Calibri" w:hAnsi="Calibri"/>
          <w:sz w:val="22"/>
          <w:szCs w:val="22"/>
        </w:rPr>
        <w:t xml:space="preserve">: three criteria, each with four levels from 0 to 3, so the total is out of 9. We chose an analytic rubric because a single response may be strong in design and weak in explanation, and we want that to show in the score.</w:t>
      </w:r>
    </w:p>
    <w:p>
      <w:pPr>
        <w:pStyle w:val="Heading2"/>
        <w:bidi w:val="false"/>
        <w:spacing w:after="120" w:before="240"/>
        <w:jc w:val="left"/>
      </w:pPr>
      <w:r>
        <w:rPr>
          <w:rFonts w:ascii="Calibri" w:cs="Calibri" w:eastAsia="Calibri" w:hAnsi="Calibri"/>
          <w:b/>
          <w:bCs/>
          <w:color w:val="2E75B6"/>
          <w:sz w:val="25"/>
          <w:szCs w:val="25"/>
        </w:rPr>
        <w:t xml:space="preserve">3.2 General or task-specific?</w:t>
      </w:r>
    </w:p>
    <w:p>
      <w:pPr>
        <w:pStyle w:val="ListParagraph"/>
        <w:numPr>
          <w:ilvl w:val="0"/>
          <w:numId w:val="3"/>
        </w:numPr>
        <w:bidi w:val="false"/>
        <w:spacing w:after="80" w:line="300"/>
        <w:jc w:val="left"/>
      </w:pPr>
      <w:r>
        <w:rPr>
          <w:rFonts w:ascii="Calibri" w:cs="Calibri" w:eastAsia="Calibri" w:hAnsi="Calibri"/>
          <w:b/>
          <w:bCs/>
          <w:sz w:val="22"/>
          <w:szCs w:val="22"/>
        </w:rPr>
        <w:t xml:space="preserve">A general rubric</w:t>
      </w:r>
      <w:r>
        <w:rPr>
          <w:rFonts w:ascii="Calibri" w:cs="Calibri" w:eastAsia="Calibri" w:hAnsi="Calibri"/>
          <w:sz w:val="22"/>
          <w:szCs w:val="22"/>
        </w:rPr>
        <w:t xml:space="preserve"> suits a family of tasks, such as "writing a scientific explanation" on any topic. Its advantage is that it is announced to students before the task without revealing the answer, and it is used again and again so students learn its criteria. Brookhart (2013) therefore prefers it in formative assessment.</w:t>
      </w:r>
    </w:p>
    <w:p>
      <w:pPr>
        <w:pStyle w:val="ListParagraph"/>
        <w:numPr>
          <w:ilvl w:val="0"/>
          <w:numId w:val="3"/>
        </w:numPr>
        <w:bidi w:val="false"/>
        <w:spacing w:after="80" w:line="300"/>
        <w:jc w:val="left"/>
      </w:pPr>
      <w:r>
        <w:rPr>
          <w:rFonts w:ascii="Calibri" w:cs="Calibri" w:eastAsia="Calibri" w:hAnsi="Calibri"/>
          <w:b/>
          <w:bCs/>
          <w:sz w:val="22"/>
          <w:szCs w:val="22"/>
        </w:rPr>
        <w:t xml:space="preserve">A task-specific rubric</w:t>
      </w:r>
      <w:r>
        <w:rPr>
          <w:rFonts w:ascii="Calibri" w:cs="Calibri" w:eastAsia="Calibri" w:hAnsi="Calibri"/>
          <w:sz w:val="22"/>
          <w:szCs w:val="22"/>
        </w:rPr>
        <w:t xml:space="preserve"> names the expected content itself, such as "links rusting to the reaction of iron with oxygen and water". Its advantage is that it raises inter-rater agreement because it specifies what is acceptable; its drawback is that it is not announced to students before the test because it reveals the answer.</w:t>
      </w:r>
    </w:p>
    <w:p>
      <w:pPr>
        <w:bidi w:val="false"/>
        <w:spacing w:after="120" w:line="300"/>
        <w:jc w:val="left"/>
      </w:pPr>
      <w:r>
        <w:rPr>
          <w:rFonts w:ascii="Calibri" w:cs="Calibri" w:eastAsia="Calibri" w:hAnsi="Calibri"/>
          <w:sz w:val="22"/>
          <w:szCs w:val="22"/>
        </w:rPr>
        <w:t xml:space="preserve">The workshop rubric combines both types: the first and second criteria are almost general and suit any experiment, and the third criterion is task-specific because it names the rusting mechanism specifically.</w:t>
      </w:r>
    </w:p>
    <w:p>
      <w:pPr>
        <w:pStyle w:val="Heading1"/>
        <w:bidi w:val="false"/>
        <w:spacing w:after="160" w:before="360"/>
        <w:jc w:val="left"/>
      </w:pPr>
      <w:r>
        <w:rPr>
          <w:rFonts w:ascii="Calibri" w:cs="Calibri" w:eastAsia="Calibri" w:hAnsi="Calibri"/>
          <w:b/>
          <w:bCs/>
          <w:color w:val="1F4E79"/>
          <w:sz w:val="30"/>
          <w:szCs w:val="30"/>
        </w:rPr>
        <w:t xml:space="preserve">4. Writing level descriptors</w:t>
      </w:r>
    </w:p>
    <w:p>
      <w:pPr>
        <w:bidi w:val="false"/>
        <w:spacing w:after="120" w:line="300"/>
        <w:jc w:val="left"/>
      </w:pPr>
      <w:r>
        <w:rPr>
          <w:rFonts w:ascii="Calibri" w:cs="Calibri" w:eastAsia="Calibri" w:hAnsi="Calibri"/>
          <w:sz w:val="22"/>
          <w:szCs w:val="22"/>
        </w:rPr>
        <w:t xml:space="preserve">Here is the full workshop rubric. Read it before continuing, because you will use it in scoring:</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1"/>
        <w:gridCol w:w="2121"/>
        <w:gridCol w:w="2121"/>
        <w:gridCol w:w="2121"/>
        <w:gridCol w:w="2124"/>
      </w:tblGrid>
      <w:tr>
        <w:trPr>
          <w:cantSplit/>
          <w:tblHeader/>
        </w:trPr>
        <w:tc>
          <w:tcPr>
            <w:tcW w:type="dxa" w:w="115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Criterion</w:t>
            </w:r>
          </w:p>
        </w:tc>
        <w:tc>
          <w:tcPr>
            <w:tcW w:type="dxa" w:w="212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0</w:t>
            </w:r>
          </w:p>
        </w:tc>
        <w:tc>
          <w:tcPr>
            <w:tcW w:type="dxa" w:w="212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1</w:t>
            </w:r>
          </w:p>
        </w:tc>
        <w:tc>
          <w:tcPr>
            <w:tcW w:type="dxa" w:w="212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2</w:t>
            </w:r>
          </w:p>
        </w:tc>
        <w:tc>
          <w:tcPr>
            <w:tcW w:type="dxa" w:w="212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3</w:t>
            </w:r>
          </w:p>
        </w:tc>
      </w:tr>
      <w:tr>
        <w:trPr>
          <w:cantSplit/>
        </w:trPr>
        <w:tc>
          <w:tcPr>
            <w:tcW w:type="dxa" w:w="11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Variables and control</w:t>
            </w:r>
          </w:p>
        </w:tc>
        <w:tc>
          <w:tcPr>
            <w:tcW w:type="dxa" w:w="2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Does not identify any variable</w:t>
            </w:r>
          </w:p>
        </w:tc>
        <w:tc>
          <w:tcPr>
            <w:tcW w:type="dxa" w:w="2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Mentions one variable or confuses the variables</w:t>
            </w:r>
          </w:p>
        </w:tc>
        <w:tc>
          <w:tcPr>
            <w:tcW w:type="dxa" w:w="2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Identifies the independent and dependent variables, and controls at least one constant</w:t>
            </w:r>
          </w:p>
        </w:tc>
        <w:tc>
          <w:tcPr>
            <w:tcW w:type="dxa" w:w="21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Identifies the independent and dependent variables precisely, and controls two or more constants</w:t>
            </w:r>
          </w:p>
        </w:tc>
      </w:tr>
      <w:tr>
        <w:trPr>
          <w:cantSplit/>
        </w:trPr>
        <w:tc>
          <w:tcPr>
            <w:tcW w:type="dxa" w:w="11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Experimental steps and data collection</w:t>
            </w:r>
          </w:p>
        </w:tc>
        <w:tc>
          <w:tcPr>
            <w:tcW w:type="dxa" w:w="2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No steps, or steps that do not test the statement</w:t>
            </w:r>
          </w:p>
        </w:tc>
        <w:tc>
          <w:tcPr>
            <w:tcW w:type="dxa" w:w="2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Incomplete steps that cannot be repeated</w:t>
            </w:r>
          </w:p>
        </w:tc>
        <w:tc>
          <w:tcPr>
            <w:tcW w:type="dxa" w:w="2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Workable steps with a way of observing the rust</w:t>
            </w:r>
          </w:p>
        </w:tc>
        <w:tc>
          <w:tcPr>
            <w:tcW w:type="dxa" w:w="21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Repeatable steps, a specified duration, and a clear way of measuring or comparing the rust</w:t>
            </w:r>
          </w:p>
        </w:tc>
      </w:tr>
      <w:tr>
        <w:trPr>
          <w:cantSplit/>
        </w:trPr>
        <w:tc>
          <w:tcPr>
            <w:tcW w:type="dxa" w:w="11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Scientific explanation</w:t>
            </w:r>
          </w:p>
        </w:tc>
        <w:tc>
          <w:tcPr>
            <w:tcW w:type="dxa" w:w="2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No explanation, or an explanation that does not address the effect of salt, or a wrong explanation</w:t>
            </w:r>
          </w:p>
        </w:tc>
        <w:tc>
          <w:tcPr>
            <w:tcW w:type="dxa" w:w="2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Predicts that salt increases rusting without a scientific explanation of the reaction</w:t>
            </w:r>
          </w:p>
        </w:tc>
        <w:tc>
          <w:tcPr>
            <w:tcW w:type="dxa" w:w="21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Links rusting to the reaction of iron with oxygen and water and states that salt speeds it up</w:t>
            </w:r>
          </w:p>
        </w:tc>
        <w:tc>
          <w:tcPr>
            <w:tcW w:type="dxa" w:w="21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precise explanation linking the faster rusting to the effect of salt and suggesting how the results would confirm or refute it</w:t>
            </w:r>
          </w:p>
        </w:tc>
      </w:tr>
    </w:tbl>
    <w:p>
      <w:pPr>
        <w:spacing w:after="120"/>
      </w:pPr>
    </w:p>
    <w:p>
      <w:pPr>
        <w:bidi w:val="false"/>
        <w:spacing w:after="120" w:line="300"/>
        <w:jc w:val="left"/>
      </w:pPr>
      <w:r>
        <w:rPr>
          <w:rFonts w:ascii="Calibri" w:cs="Calibri" w:eastAsia="Calibri" w:hAnsi="Calibri"/>
          <w:sz w:val="22"/>
          <w:szCs w:val="22"/>
        </w:rPr>
        <w:t xml:space="preserve">Brookhart (2013) offers practical principles for writing good descriptors, which we summarise in four:</w:t>
      </w:r>
    </w:p>
    <w:p>
      <w:pPr>
        <w:pStyle w:val="ListParagraph"/>
        <w:keepNext/>
        <w:numPr>
          <w:ilvl w:val="0"/>
          <w:numId w:val="5"/>
        </w:numPr>
        <w:bidi w:val="false"/>
        <w:spacing w:after="60" w:before="80" w:line="300"/>
        <w:jc w:val="left"/>
      </w:pPr>
      <w:r>
        <w:rPr>
          <w:rFonts w:ascii="Calibri" w:cs="Calibri" w:eastAsia="Calibri" w:hAnsi="Calibri"/>
          <w:b/>
          <w:bCs/>
          <w:sz w:val="22"/>
          <w:szCs w:val="22"/>
        </w:rPr>
        <w:t xml:space="preserve">Observable:</w:t>
      </w:r>
      <w:r>
        <w:rPr>
          <w:rFonts w:ascii="Calibri" w:cs="Calibri" w:eastAsia="Calibri" w:hAnsi="Calibri"/>
          <w:sz w:val="22"/>
          <w:szCs w:val="22"/>
        </w:rPr>
        <w:t xml:space="preserve"> they describe what appears in the response, not the scorer's impression. "Identifies the independent and dependent variables" is observable; "good understanding of variables" is not.</w:t>
      </w:r>
    </w:p>
    <w:p>
      <w:pPr>
        <w:pStyle w:val="ListParagraph"/>
        <w:keepNext/>
        <w:numPr>
          <w:ilvl w:val="0"/>
          <w:numId w:val="5"/>
        </w:numPr>
        <w:bidi w:val="false"/>
        <w:spacing w:after="60" w:before="80" w:line="300"/>
        <w:jc w:val="left"/>
      </w:pPr>
      <w:r>
        <w:rPr>
          <w:rFonts w:ascii="Calibri" w:cs="Calibri" w:eastAsia="Calibri" w:hAnsi="Calibri"/>
          <w:b/>
          <w:bCs/>
          <w:sz w:val="22"/>
          <w:szCs w:val="22"/>
        </w:rPr>
        <w:t xml:space="preserve">Descriptive, not evaluative:</w:t>
      </w:r>
      <w:r>
        <w:rPr>
          <w:rFonts w:ascii="Calibri" w:cs="Calibri" w:eastAsia="Calibri" w:hAnsi="Calibri"/>
          <w:sz w:val="22"/>
          <w:szCs w:val="22"/>
        </w:rPr>
        <w:t xml:space="preserve"> words such as "excellent", "good" and "weak" repeat the level number without explaining it. The descriptor says </w:t>
      </w:r>
      <w:r>
        <w:rPr>
          <w:rFonts w:ascii="Calibri" w:cs="Calibri" w:eastAsia="Calibri" w:hAnsi="Calibri"/>
          <w:b/>
          <w:bCs/>
          <w:sz w:val="22"/>
          <w:szCs w:val="22"/>
        </w:rPr>
        <w:t xml:space="preserve">what</w:t>
      </w:r>
      <w:r>
        <w:rPr>
          <w:rFonts w:ascii="Calibri" w:cs="Calibri" w:eastAsia="Calibri" w:hAnsi="Calibri"/>
          <w:sz w:val="22"/>
          <w:szCs w:val="22"/>
        </w:rPr>
        <w:t xml:space="preserve"> places the performance at this level.</w:t>
      </w:r>
    </w:p>
    <w:p>
      <w:pPr>
        <w:pStyle w:val="ListParagraph"/>
        <w:keepNext/>
        <w:numPr>
          <w:ilvl w:val="0"/>
          <w:numId w:val="5"/>
        </w:numPr>
        <w:bidi w:val="false"/>
        <w:spacing w:after="60" w:before="80" w:line="300"/>
        <w:jc w:val="left"/>
      </w:pPr>
      <w:r>
        <w:rPr>
          <w:rFonts w:ascii="Calibri" w:cs="Calibri" w:eastAsia="Calibri" w:hAnsi="Calibri"/>
          <w:b/>
          <w:bCs/>
          <w:sz w:val="22"/>
          <w:szCs w:val="22"/>
        </w:rPr>
        <w:t xml:space="preserve">Distinct:</w:t>
      </w:r>
      <w:r>
        <w:rPr>
          <w:rFonts w:ascii="Calibri" w:cs="Calibri" w:eastAsia="Calibri" w:hAnsi="Calibri"/>
          <w:sz w:val="22"/>
          <w:szCs w:val="22"/>
        </w:rPr>
        <w:t xml:space="preserve"> each level differs from its neighbour by a difference the scorer can point to in the response. If two scorers cannot agree on the difference between levels 1 and 2, the two descriptors overlap.</w:t>
      </w:r>
    </w:p>
    <w:p>
      <w:pPr>
        <w:pStyle w:val="ListParagraph"/>
        <w:keepNext/>
        <w:numPr>
          <w:ilvl w:val="0"/>
          <w:numId w:val="5"/>
        </w:numPr>
        <w:bidi w:val="false"/>
        <w:spacing w:after="60" w:before="80" w:line="300"/>
        <w:jc w:val="left"/>
      </w:pPr>
      <w:r>
        <w:rPr>
          <w:rFonts w:ascii="Calibri" w:cs="Calibri" w:eastAsia="Calibri" w:hAnsi="Calibri"/>
          <w:b/>
          <w:bCs/>
          <w:sz w:val="22"/>
          <w:szCs w:val="22"/>
        </w:rPr>
        <w:t xml:space="preserve">Describe the quality of learning, not the number of words:</w:t>
      </w:r>
      <w:r>
        <w:rPr>
          <w:rFonts w:ascii="Calibri" w:cs="Calibri" w:eastAsia="Calibri" w:hAnsi="Calibri"/>
          <w:sz w:val="22"/>
          <w:szCs w:val="22"/>
        </w:rPr>
        <w:t xml:space="preserve"> "writes three sentences" rewards length, not understanding. Counting is acceptable when it is part of the outcome itself, such as "controls two or more constants".</w:t>
      </w:r>
    </w:p>
    <w:p>
      <w:pPr>
        <w:bidi w:val="false"/>
        <w:spacing w:after="120" w:line="300"/>
        <w:jc w:val="left"/>
      </w:pPr>
      <w:r>
        <w:rPr>
          <w:rFonts w:ascii="Calibri" w:cs="Calibri" w:eastAsia="Calibri" w:hAnsi="Calibri"/>
          <w:b/>
          <w:bCs/>
          <w:sz w:val="22"/>
          <w:szCs w:val="22"/>
        </w:rPr>
        <w:t xml:space="preserve">Quick exercise:</w:t>
      </w:r>
      <w:r>
        <w:rPr>
          <w:rFonts w:ascii="Calibri" w:cs="Calibri" w:eastAsia="Calibri" w:hAnsi="Calibri"/>
          <w:sz w:val="22"/>
          <w:szCs w:val="22"/>
        </w:rPr>
        <w:t xml:space="preserve"> in the workshop rubric, the descriptor "incomplete steps that cannot be repeated" is at level 1, and the descriptor "workable steps with a way of observing the rust" is at level 2. Where do you place a response that says "I put them in and watch"? You will return to this question in the workshop, because disagreement over it is expected.</w:t>
      </w:r>
    </w:p>
    <w:p>
      <w:pPr>
        <w:pStyle w:val="Heading1"/>
        <w:bidi w:val="false"/>
        <w:spacing w:after="160" w:before="360"/>
        <w:jc w:val="left"/>
      </w:pPr>
      <w:r>
        <w:rPr>
          <w:rFonts w:ascii="Calibri" w:cs="Calibri" w:eastAsia="Calibri" w:hAnsi="Calibri"/>
          <w:b/>
          <w:bCs/>
          <w:color w:val="1F4E79"/>
          <w:sz w:val="30"/>
          <w:szCs w:val="30"/>
        </w:rPr>
        <w:t xml:space="preserve">5. Rubric quality: reliability and consequences</w:t>
      </w:r>
    </w:p>
    <w:p>
      <w:pPr>
        <w:bidi w:val="false"/>
        <w:spacing w:after="120" w:line="300"/>
        <w:jc w:val="left"/>
      </w:pPr>
      <w:r>
        <w:rPr>
          <w:rFonts w:ascii="Calibri" w:cs="Calibri" w:eastAsia="Calibri" w:hAnsi="Calibri"/>
          <w:sz w:val="22"/>
          <w:szCs w:val="22"/>
        </w:rPr>
        <w:t xml:space="preserve">Jonsson and Svingby (2007) reviewed published studies on the use of rubrics, and reached three conclusions that matter to the teacher:</w:t>
      </w:r>
    </w:p>
    <w:p>
      <w:pPr>
        <w:pStyle w:val="ListParagraph"/>
        <w:numPr>
          <w:ilvl w:val="0"/>
          <w:numId w:val="3"/>
        </w:numPr>
        <w:bidi w:val="false"/>
        <w:spacing w:after="80" w:line="300"/>
        <w:jc w:val="left"/>
      </w:pPr>
      <w:r>
        <w:rPr>
          <w:rFonts w:ascii="Calibri" w:cs="Calibri" w:eastAsia="Calibri" w:hAnsi="Calibri"/>
          <w:b/>
          <w:bCs/>
          <w:sz w:val="22"/>
          <w:szCs w:val="22"/>
        </w:rPr>
        <w:t xml:space="preserve">A rubric raises inter-rater agreement, but under conditions.</w:t>
      </w:r>
      <w:r>
        <w:rPr>
          <w:rFonts w:ascii="Calibri" w:cs="Calibri" w:eastAsia="Calibri" w:hAnsi="Calibri"/>
          <w:sz w:val="22"/>
          <w:szCs w:val="22"/>
        </w:rPr>
        <w:t xml:space="preserve"> Agreement rises more when the rubric is analytic and task-specific, when it is accompanied by examples of anchor responses, and when the scorers are trained on it. The rubric alone, without examples and without training, does not guarantee agreement.</w:t>
      </w:r>
    </w:p>
    <w:p>
      <w:pPr>
        <w:pStyle w:val="ListParagraph"/>
        <w:numPr>
          <w:ilvl w:val="0"/>
          <w:numId w:val="3"/>
        </w:numPr>
        <w:bidi w:val="false"/>
        <w:spacing w:after="80" w:line="300"/>
        <w:jc w:val="left"/>
      </w:pPr>
      <w:r>
        <w:rPr>
          <w:rFonts w:ascii="Calibri" w:cs="Calibri" w:eastAsia="Calibri" w:hAnsi="Calibri"/>
          <w:b/>
          <w:bCs/>
          <w:sz w:val="22"/>
          <w:szCs w:val="22"/>
        </w:rPr>
        <w:t xml:space="preserve">A rubric does not guarantee validity in itself.</w:t>
      </w:r>
      <w:r>
        <w:rPr>
          <w:rFonts w:ascii="Calibri" w:cs="Calibri" w:eastAsia="Calibri" w:hAnsi="Calibri"/>
          <w:sz w:val="22"/>
          <w:szCs w:val="22"/>
        </w:rPr>
        <w:t xml:space="preserve"> A reliable rubric may measure things unrelated to the outcome, such as length, neat handwriting or correct language in a science test. We therefore review the rubric's criteria against the outcome, just as we reviewed the items against the test blueprint in Week 3.</w:t>
      </w:r>
    </w:p>
    <w:p>
      <w:pPr>
        <w:pStyle w:val="ListParagraph"/>
        <w:numPr>
          <w:ilvl w:val="0"/>
          <w:numId w:val="3"/>
        </w:numPr>
        <w:bidi w:val="false"/>
        <w:spacing w:after="80" w:line="300"/>
        <w:jc w:val="left"/>
      </w:pPr>
      <w:r>
        <w:rPr>
          <w:rFonts w:ascii="Calibri" w:cs="Calibri" w:eastAsia="Calibri" w:hAnsi="Calibri"/>
          <w:b/>
          <w:bCs/>
          <w:sz w:val="22"/>
          <w:szCs w:val="22"/>
        </w:rPr>
        <w:t xml:space="preserve">A rubric has educational consequences.</w:t>
      </w:r>
      <w:r>
        <w:rPr>
          <w:rFonts w:ascii="Calibri" w:cs="Calibri" w:eastAsia="Calibri" w:hAnsi="Calibri"/>
          <w:sz w:val="22"/>
          <w:szCs w:val="22"/>
        </w:rPr>
        <w:t xml:space="preserve"> Announcing the criteria before the task clarifies expectations for students, and supports their self-assessment and peer assessment. This links to the strategy "clarifying learning intentions and success criteria" from Wiliam's (2017) five strategies of formative assessment.</w:t>
      </w:r>
    </w:p>
    <w:p>
      <w:pPr>
        <w:bidi w:val="false"/>
        <w:spacing w:after="120" w:line="300"/>
        <w:jc w:val="left"/>
      </w:pPr>
      <w:r>
        <w:rPr>
          <w:rFonts w:ascii="Calibri" w:cs="Calibri" w:eastAsia="Calibri" w:hAnsi="Calibri"/>
          <w:b/>
          <w:bCs/>
          <w:sz w:val="22"/>
          <w:szCs w:val="22"/>
        </w:rPr>
        <w:t xml:space="preserve">Link to international standards:</w:t>
      </w:r>
      <w:r>
        <w:rPr>
          <w:rFonts w:ascii="Calibri" w:cs="Calibri" w:eastAsia="Calibri" w:hAnsi="Calibri"/>
          <w:sz w:val="22"/>
          <w:szCs w:val="22"/>
        </w:rPr>
        <w:t xml:space="preserve"> consequences are one of the five sources of validity evidence in the Standards for Educational and Psychological Testing (2014). A rubric that rewards length, for example, may teach students to write a lot rather than think well. This is a negative effect counted against the rubric, not the student.</w:t>
      </w:r>
    </w:p>
    <w:p>
      <w:pPr>
        <w:pStyle w:val="Heading1"/>
        <w:bidi w:val="false"/>
        <w:spacing w:after="160" w:before="360"/>
        <w:jc w:val="left"/>
      </w:pPr>
      <w:r>
        <w:rPr>
          <w:rFonts w:ascii="Calibri" w:cs="Calibri" w:eastAsia="Calibri" w:hAnsi="Calibri"/>
          <w:b/>
          <w:bCs/>
          <w:color w:val="1F4E79"/>
          <w:sz w:val="30"/>
          <w:szCs w:val="30"/>
        </w:rPr>
        <w:t xml:space="preserve">6. Rater calibration</w:t>
      </w:r>
    </w:p>
    <w:p>
      <w:pPr>
        <w:bidi w:val="false"/>
        <w:spacing w:after="120" w:line="300"/>
        <w:jc w:val="left"/>
      </w:pPr>
      <w:r>
        <w:rPr>
          <w:rFonts w:ascii="Calibri" w:cs="Calibri" w:eastAsia="Calibri" w:hAnsi="Calibri"/>
          <w:b/>
          <w:bCs/>
          <w:sz w:val="22"/>
          <w:szCs w:val="22"/>
        </w:rPr>
        <w:t xml:space="preserve">Calibration</w:t>
      </w:r>
      <w:r>
        <w:rPr>
          <w:rFonts w:ascii="Calibri" w:cs="Calibri" w:eastAsia="Calibri" w:hAnsi="Calibri"/>
          <w:sz w:val="22"/>
          <w:szCs w:val="22"/>
        </w:rPr>
        <w:t xml:space="preserve"> is the process of bringing scorers' judgements closer to a shared understanding of the rubric before the actual scoring. We do not assume that two scorers who read the same rubric will apply it in the same way; we check this with numbers.</w:t>
      </w:r>
    </w:p>
    <w:p>
      <w:pPr>
        <w:pStyle w:val="Heading2"/>
        <w:bidi w:val="false"/>
        <w:spacing w:after="120" w:before="240"/>
        <w:jc w:val="left"/>
      </w:pPr>
      <w:r>
        <w:rPr>
          <w:rFonts w:ascii="Calibri" w:cs="Calibri" w:eastAsia="Calibri" w:hAnsi="Calibri"/>
          <w:b/>
          <w:bCs/>
          <w:color w:val="2E75B6"/>
          <w:sz w:val="25"/>
          <w:szCs w:val="25"/>
        </w:rPr>
        <w:t xml:space="preserve">6.1 Anchor responses</w:t>
      </w:r>
    </w:p>
    <w:p>
      <w:pPr>
        <w:bidi w:val="false"/>
        <w:spacing w:after="120" w:line="300"/>
        <w:jc w:val="left"/>
      </w:pPr>
      <w:r>
        <w:rPr>
          <w:rFonts w:ascii="Calibri" w:cs="Calibri" w:eastAsia="Calibri" w:hAnsi="Calibri"/>
          <w:sz w:val="22"/>
          <w:szCs w:val="22"/>
        </w:rPr>
        <w:t xml:space="preserve">An </w:t>
      </w:r>
      <w:r>
        <w:rPr>
          <w:rFonts w:ascii="Calibri" w:cs="Calibri" w:eastAsia="Calibri" w:hAnsi="Calibri"/>
          <w:b/>
          <w:bCs/>
          <w:sz w:val="22"/>
          <w:szCs w:val="22"/>
        </w:rPr>
        <w:t xml:space="preserve">anchor response</w:t>
      </w:r>
      <w:r>
        <w:rPr>
          <w:rFonts w:ascii="Calibri" w:cs="Calibri" w:eastAsia="Calibri" w:hAnsi="Calibri"/>
          <w:sz w:val="22"/>
          <w:szCs w:val="22"/>
        </w:rPr>
        <w:t xml:space="preserve"> is a response whose score has been agreed, used as an example of a given level. In calibration we choose a small set of responses covering all levels, which a team agrees on before scoring; then every new scorer scores them without seeing the benchmark scores, and we compare.</w:t>
      </w:r>
    </w:p>
    <w:p>
      <w:pPr>
        <w:bidi w:val="false"/>
        <w:spacing w:after="120" w:line="300"/>
        <w:jc w:val="left"/>
      </w:pPr>
      <w:r>
        <w:rPr>
          <w:rFonts w:ascii="Calibri" w:cs="Calibri" w:eastAsia="Calibri" w:hAnsi="Calibri"/>
          <w:sz w:val="22"/>
          <w:szCs w:val="22"/>
        </w:rPr>
        <w:t xml:space="preserve">This week's workshop has eight responses (R1 to R8) </w:t>
      </w:r>
      <w:r>
        <w:rPr>
          <w:rFonts w:ascii="Calibri" w:cs="Calibri" w:eastAsia="Calibri" w:hAnsi="Calibri"/>
          <w:b/>
          <w:bCs/>
          <w:sz w:val="22"/>
          <w:szCs w:val="22"/>
        </w:rPr>
        <w:t xml:space="preserve">written for the course</w:t>
      </w:r>
      <w:r>
        <w:rPr>
          <w:rFonts w:ascii="Calibri" w:cs="Calibri" w:eastAsia="Calibri" w:hAnsi="Calibri"/>
          <w:sz w:val="22"/>
          <w:szCs w:val="22"/>
        </w:rPr>
        <w:t xml:space="preserve"> as a training sample; they are not real students' responses. With them come benchmark scores prepared by the course for training. These scores are not a final judgement beyond discussion: justified disagreement, with reference to the response text and the descriptor text, is part of calibration, and may end with amending the descriptor rather than your score.</w:t>
      </w:r>
    </w:p>
    <w:p>
      <w:pPr>
        <w:pStyle w:val="Heading2"/>
        <w:bidi w:val="false"/>
        <w:spacing w:after="120" w:before="240"/>
        <w:jc w:val="left"/>
      </w:pPr>
      <w:r>
        <w:rPr>
          <w:rFonts w:ascii="Calibri" w:cs="Calibri" w:eastAsia="Calibri" w:hAnsi="Calibri"/>
          <w:b/>
          <w:bCs/>
          <w:color w:val="2E75B6"/>
          <w:sz w:val="25"/>
          <w:szCs w:val="25"/>
        </w:rPr>
        <w:t xml:space="preserve">6.2 Three indices</w:t>
      </w:r>
    </w:p>
    <w:p>
      <w:pPr>
        <w:bidi w:val="false"/>
        <w:spacing w:after="120" w:line="300"/>
        <w:jc w:val="left"/>
      </w:pPr>
      <w:r>
        <w:rPr>
          <w:rFonts w:ascii="Calibri" w:cs="Calibri" w:eastAsia="Calibri" w:hAnsi="Calibri"/>
          <w:sz w:val="22"/>
          <w:szCs w:val="22"/>
        </w:rPr>
        <w:t xml:space="preserve">We compare the scorer with the benchmark scores at the level of each </w:t>
      </w:r>
      <w:r>
        <w:rPr>
          <w:rFonts w:ascii="Calibri" w:cs="Calibri" w:eastAsia="Calibri" w:hAnsi="Calibri"/>
          <w:b/>
          <w:bCs/>
          <w:sz w:val="22"/>
          <w:szCs w:val="22"/>
        </w:rPr>
        <w:t xml:space="preserve">sub-score</w:t>
      </w:r>
      <w:r>
        <w:rPr>
          <w:rFonts w:ascii="Calibri" w:cs="Calibri" w:eastAsia="Calibri" w:hAnsi="Calibri"/>
          <w:sz w:val="22"/>
          <w:szCs w:val="22"/>
        </w:rPr>
        <w:t xml:space="preserve">, that is, each criterion in each response. In the workshop: 8 responses × 3 criteria = 24 sub-scores.</w:t>
      </w:r>
    </w:p>
    <w:p>
      <w:pPr>
        <w:bidi w:val="false"/>
        <w:spacing w:after="120" w:line="300"/>
        <w:jc w:val="left"/>
      </w:pPr>
      <w:r>
        <w:rPr>
          <w:rFonts w:ascii="Calibri" w:cs="Calibri" w:eastAsia="Calibri" w:hAnsi="Calibri"/>
          <w:b/>
          <w:bCs/>
          <w:sz w:val="22"/>
          <w:szCs w:val="22"/>
        </w:rPr>
        <w:t xml:space="preserve">Exact agreement:</w:t>
      </w:r>
      <w:r>
        <w:rPr>
          <w:rFonts w:ascii="Calibri" w:cs="Calibri" w:eastAsia="Calibri" w:hAnsi="Calibri"/>
          <w:sz w:val="22"/>
          <w:szCs w:val="22"/>
        </w:rPr>
        <w:t xml:space="preserve"> the proportion of sub-scores that matched exactly:</w:t>
      </w:r>
    </w:p>
    <w:p>
      <w:pPr>
        <w:shd w:fill="F2F6FA" w:color="auto" w:val="clear"/>
        <w:bidi w:val="false"/>
        <w:spacing w:after="160" w:before="80"/>
        <w:jc w:val="center"/>
      </w:pPr>
      <w:r>
        <w:rPr>
          <w:rFonts w:ascii="Cambria Math" w:cs="Calibri" w:hAnsi="Cambria Math"/>
          <w:i w:val="false"/>
          <w:iCs w:val="false"/>
          <w:sz w:val="24"/>
          <w:szCs w:val="24"/>
        </w:rPr>
        <w:t xml:space="preserve">Exact agreement = (number of identical sub-scores) / 24</w:t>
      </w:r>
    </w:p>
    <w:p>
      <w:pPr>
        <w:bidi w:val="false"/>
        <w:spacing w:after="120" w:line="300"/>
        <w:jc w:val="left"/>
      </w:pPr>
      <w:r>
        <w:rPr>
          <w:rFonts w:ascii="Calibri" w:cs="Calibri" w:eastAsia="Calibri" w:hAnsi="Calibri"/>
          <w:b/>
          <w:bCs/>
          <w:sz w:val="22"/>
          <w:szCs w:val="22"/>
        </w:rPr>
        <w:t xml:space="preserve">Exact or adjacent agreement:</w:t>
      </w:r>
      <w:r>
        <w:rPr>
          <w:rFonts w:ascii="Calibri" w:cs="Calibri" w:eastAsia="Calibri" w:hAnsi="Calibri"/>
          <w:sz w:val="22"/>
          <w:szCs w:val="22"/>
        </w:rPr>
        <w:t xml:space="preserve"> the proportion of sub-scores in which the difference does not exceed one point:</w:t>
      </w:r>
    </w:p>
    <w:p>
      <w:pPr>
        <w:shd w:fill="F2F6FA" w:color="auto" w:val="clear"/>
        <w:bidi w:val="false"/>
        <w:spacing w:after="160" w:before="80"/>
        <w:jc w:val="center"/>
      </w:pPr>
      <w:r>
        <w:rPr>
          <w:rFonts w:ascii="Cambria Math" w:cs="Calibri" w:hAnsi="Cambria Math"/>
          <w:i w:val="false"/>
          <w:iCs w:val="false"/>
          <w:sz w:val="24"/>
          <w:szCs w:val="24"/>
        </w:rPr>
        <w:t xml:space="preserve">Adjacent agreement = (number of sub-scores with |difference| ≤ 1) / 24</w:t>
      </w:r>
    </w:p>
    <w:p>
      <w:pPr>
        <w:bidi w:val="false"/>
        <w:spacing w:after="120" w:line="300"/>
        <w:jc w:val="left"/>
      </w:pPr>
      <w:r>
        <w:rPr>
          <w:rFonts w:ascii="Calibri" w:cs="Calibri" w:eastAsia="Calibri" w:hAnsi="Calibri"/>
          <w:b/>
          <w:bCs/>
          <w:sz w:val="22"/>
          <w:szCs w:val="22"/>
        </w:rPr>
        <w:t xml:space="preserve">Mean difference (severity and leniency):</w:t>
      </w:r>
      <w:r>
        <w:rPr>
          <w:rFonts w:ascii="Calibri" w:cs="Calibri" w:eastAsia="Calibri" w:hAnsi="Calibri"/>
          <w:sz w:val="22"/>
          <w:szCs w:val="22"/>
        </w:rPr>
        <w:t xml:space="preserve"> for each criterion, we subtract the benchmark score from the scorer's score and take the mean over the eight responses:</w:t>
      </w:r>
    </w:p>
    <w:p>
      <w:pPr>
        <w:shd w:fill="F2F6FA" w:color="auto" w:val="clear"/>
        <w:bidi w:val="false"/>
        <w:spacing w:after="160" w:before="80"/>
        <w:jc w:val="center"/>
      </w:pPr>
      <w:r>
        <w:rPr>
          <w:rFonts w:ascii="Cambria Math" w:cs="Calibri" w:hAnsi="Cambria Math"/>
          <w:i w:val="false"/>
          <w:iCs w:val="false"/>
          <w:sz w:val="24"/>
          <w:szCs w:val="24"/>
        </w:rPr>
        <w:t xml:space="preserve">Mean difference = Σ (scorer − reference) / 8</w:t>
      </w:r>
    </w:p>
    <w:p>
      <w:pPr>
        <w:bidi w:val="false"/>
        <w:spacing w:after="120" w:line="300"/>
        <w:jc w:val="left"/>
      </w:pPr>
      <w:r>
        <w:rPr>
          <w:rFonts w:ascii="Calibri" w:cs="Calibri" w:eastAsia="Calibri" w:hAnsi="Calibri"/>
          <w:sz w:val="22"/>
          <w:szCs w:val="22"/>
        </w:rPr>
        <w:t xml:space="preserve">A </w:t>
      </w:r>
      <w:r>
        <w:rPr>
          <w:rFonts w:ascii="Calibri" w:cs="Calibri" w:eastAsia="Calibri" w:hAnsi="Calibri"/>
          <w:b/>
          <w:bCs/>
          <w:sz w:val="22"/>
          <w:szCs w:val="22"/>
        </w:rPr>
        <w:t xml:space="preserve">positive</w:t>
      </w:r>
      <w:r>
        <w:rPr>
          <w:rFonts w:ascii="Calibri" w:cs="Calibri" w:eastAsia="Calibri" w:hAnsi="Calibri"/>
          <w:sz w:val="22"/>
          <w:szCs w:val="22"/>
        </w:rPr>
        <w:t xml:space="preserve"> value means the scorer is </w:t>
      </w:r>
      <w:r>
        <w:rPr>
          <w:rFonts w:ascii="Calibri" w:cs="Calibri" w:eastAsia="Calibri" w:hAnsi="Calibri"/>
          <w:b/>
          <w:bCs/>
          <w:sz w:val="22"/>
          <w:szCs w:val="22"/>
        </w:rPr>
        <w:t xml:space="preserve">lenient</w:t>
      </w:r>
      <w:r>
        <w:rPr>
          <w:rFonts w:ascii="Calibri" w:cs="Calibri" w:eastAsia="Calibri" w:hAnsi="Calibri"/>
          <w:sz w:val="22"/>
          <w:szCs w:val="22"/>
        </w:rPr>
        <w:t xml:space="preserve"> on this criterion (gives more than the benchmark), and a </w:t>
      </w:r>
      <w:r>
        <w:rPr>
          <w:rFonts w:ascii="Calibri" w:cs="Calibri" w:eastAsia="Calibri" w:hAnsi="Calibri"/>
          <w:b/>
          <w:bCs/>
          <w:sz w:val="22"/>
          <w:szCs w:val="22"/>
        </w:rPr>
        <w:t xml:space="preserve">negative</w:t>
      </w:r>
      <w:r>
        <w:rPr>
          <w:rFonts w:ascii="Calibri" w:cs="Calibri" w:eastAsia="Calibri" w:hAnsi="Calibri"/>
          <w:sz w:val="22"/>
          <w:szCs w:val="22"/>
        </w:rPr>
        <w:t xml:space="preserve"> value means they are </w:t>
      </w:r>
      <w:r>
        <w:rPr>
          <w:rFonts w:ascii="Calibri" w:cs="Calibri" w:eastAsia="Calibri" w:hAnsi="Calibri"/>
          <w:b/>
          <w:bCs/>
          <w:sz w:val="22"/>
          <w:szCs w:val="22"/>
        </w:rPr>
        <w:t xml:space="preserve">severe</w:t>
      </w:r>
      <w:r>
        <w:rPr>
          <w:rFonts w:ascii="Calibri" w:cs="Calibri" w:eastAsia="Calibri" w:hAnsi="Calibri"/>
          <w:sz w:val="22"/>
          <w:szCs w:val="22"/>
        </w:rPr>
        <w:t xml:space="preserve">. And a value close to zero does not necessarily mean agreement: the scorer may be lenient on one response and severe on another, so that one difference cancels out the other. We therefore read the mean difference together with the exact agreement rate, not on its own.</w:t>
      </w:r>
    </w:p>
    <w:p>
      <w:pPr>
        <w:bidi w:val="false"/>
        <w:spacing w:after="120" w:line="300"/>
        <w:jc w:val="left"/>
      </w:pPr>
      <w:r>
        <w:rPr>
          <w:rFonts w:ascii="Calibri" w:cs="Calibri" w:eastAsia="Calibri" w:hAnsi="Calibri"/>
          <w:b/>
          <w:bCs/>
          <w:sz w:val="22"/>
          <w:szCs w:val="22"/>
        </w:rPr>
        <w:t xml:space="preserve">A fourth index at the response level:</w:t>
      </w:r>
      <w:r>
        <w:rPr>
          <w:rFonts w:ascii="Calibri" w:cs="Calibri" w:eastAsia="Calibri" w:hAnsi="Calibri"/>
          <w:sz w:val="22"/>
          <w:szCs w:val="22"/>
        </w:rPr>
        <w:t xml:space="preserve"> the number of responses in which the scorer's total differs from the benchmark total by two or more points. This matters because the student receives the total, not the sub-scores.</w:t>
      </w:r>
    </w:p>
    <w:p>
      <w:pPr>
        <w:bidi w:val="false"/>
        <w:spacing w:after="120" w:line="300"/>
        <w:jc w:val="left"/>
      </w:pPr>
      <w:r>
        <w:rPr>
          <w:rFonts w:ascii="Calibri" w:cs="Calibri" w:eastAsia="Calibri" w:hAnsi="Calibri"/>
          <w:sz w:val="22"/>
          <w:szCs w:val="22"/>
        </w:rPr>
        <w:t xml:space="preserve">The "Comparison" sheet in the Excel file calculates the three indices for any pair: your scoring against the benchmark, Claude's scoring against the benchmark, and your scoring against Claude's. It also calculates the number of responses in which your total differs from the benchmark by two or more points.</w:t>
      </w:r>
    </w:p>
    <w:p>
      <w:pPr>
        <w:pStyle w:val="Heading2"/>
        <w:bidi w:val="false"/>
        <w:spacing w:after="120" w:before="240"/>
        <w:jc w:val="left"/>
      </w:pPr>
      <w:r>
        <w:rPr>
          <w:rFonts w:ascii="Calibri" w:cs="Calibri" w:eastAsia="Calibri" w:hAnsi="Calibri"/>
          <w:b/>
          <w:bCs/>
          <w:color w:val="2E75B6"/>
          <w:sz w:val="25"/>
          <w:szCs w:val="25"/>
        </w:rPr>
        <w:t xml:space="preserve">6.3 Worked example</w:t>
      </w:r>
    </w:p>
    <w:p>
      <w:pPr>
        <w:bidi w:val="false"/>
        <w:spacing w:after="120" w:line="300"/>
        <w:jc w:val="left"/>
      </w:pPr>
      <w:r>
        <w:rPr>
          <w:rFonts w:ascii="Calibri" w:cs="Calibri" w:eastAsia="Calibri" w:hAnsi="Calibri"/>
          <w:sz w:val="22"/>
          <w:szCs w:val="22"/>
        </w:rPr>
        <w:t xml:space="preserve">A hypothetical scorer scored eight hypothetical responses (H1 to H8) with a three-criterion rubric, and differed from the benchmark scores on six sub-scores, all by one point downwards: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4"/>
        <w:gridCol w:w="4423"/>
        <w:gridCol w:w="2911"/>
      </w:tblGrid>
      <w:tr>
        <w:trPr>
          <w:cantSplit/>
          <w:tblHeader/>
        </w:trPr>
        <w:tc>
          <w:tcPr>
            <w:tcW w:type="dxa" w:w="230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Response</w:t>
            </w:r>
          </w:p>
        </w:tc>
        <w:tc>
          <w:tcPr>
            <w:tcW w:type="dxa" w:w="442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Criterion</w:t>
            </w:r>
          </w:p>
        </w:tc>
        <w:tc>
          <w:tcPr>
            <w:tcW w:type="dxa" w:w="291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Difference from benchmark</w:t>
            </w:r>
          </w:p>
        </w:tc>
      </w:tr>
      <w:tr>
        <w:trPr>
          <w:cantSplit/>
        </w:trPr>
        <w:tc>
          <w:tcPr>
            <w:tcW w:type="dxa" w:w="2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H2</w:t>
            </w:r>
          </w:p>
        </w:tc>
        <w:tc>
          <w:tcPr>
            <w:tcW w:type="dxa" w:w="44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Scientific explanation</w:t>
            </w:r>
          </w:p>
        </w:tc>
        <w:tc>
          <w:tcPr>
            <w:tcW w:type="dxa" w:w="29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w:t>
            </w:r>
          </w:p>
        </w:tc>
      </w:tr>
      <w:tr>
        <w:trPr>
          <w:cantSplit/>
        </w:trPr>
        <w:tc>
          <w:tcPr>
            <w:tcW w:type="dxa" w:w="2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H3</w:t>
            </w:r>
          </w:p>
        </w:tc>
        <w:tc>
          <w:tcPr>
            <w:tcW w:type="dxa" w:w="44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Experimental steps and data collection</w:t>
            </w:r>
          </w:p>
        </w:tc>
        <w:tc>
          <w:tcPr>
            <w:tcW w:type="dxa" w:w="29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w:t>
            </w:r>
          </w:p>
        </w:tc>
      </w:tr>
      <w:tr>
        <w:trPr>
          <w:cantSplit/>
        </w:trPr>
        <w:tc>
          <w:tcPr>
            <w:tcW w:type="dxa" w:w="2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H3</w:t>
            </w:r>
          </w:p>
        </w:tc>
        <w:tc>
          <w:tcPr>
            <w:tcW w:type="dxa" w:w="44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Scientific explanation</w:t>
            </w:r>
          </w:p>
        </w:tc>
        <w:tc>
          <w:tcPr>
            <w:tcW w:type="dxa" w:w="29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w:t>
            </w:r>
          </w:p>
        </w:tc>
      </w:tr>
      <w:tr>
        <w:trPr>
          <w:cantSplit/>
        </w:trPr>
        <w:tc>
          <w:tcPr>
            <w:tcW w:type="dxa" w:w="2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H5</w:t>
            </w:r>
          </w:p>
        </w:tc>
        <w:tc>
          <w:tcPr>
            <w:tcW w:type="dxa" w:w="44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Experimental steps and data collection</w:t>
            </w:r>
          </w:p>
        </w:tc>
        <w:tc>
          <w:tcPr>
            <w:tcW w:type="dxa" w:w="29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w:t>
            </w:r>
          </w:p>
        </w:tc>
      </w:tr>
      <w:tr>
        <w:trPr>
          <w:cantSplit/>
        </w:trPr>
        <w:tc>
          <w:tcPr>
            <w:tcW w:type="dxa" w:w="2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H6</w:t>
            </w:r>
          </w:p>
        </w:tc>
        <w:tc>
          <w:tcPr>
            <w:tcW w:type="dxa" w:w="44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Scientific explanation</w:t>
            </w:r>
          </w:p>
        </w:tc>
        <w:tc>
          <w:tcPr>
            <w:tcW w:type="dxa" w:w="29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w:t>
            </w:r>
          </w:p>
        </w:tc>
      </w:tr>
      <w:tr>
        <w:trPr>
          <w:cantSplit/>
        </w:trPr>
        <w:tc>
          <w:tcPr>
            <w:tcW w:type="dxa" w:w="2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H8</w:t>
            </w:r>
          </w:p>
        </w:tc>
        <w:tc>
          <w:tcPr>
            <w:tcW w:type="dxa" w:w="44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Variables and control</w:t>
            </w:r>
          </w:p>
        </w:tc>
        <w:tc>
          <w:tcPr>
            <w:tcW w:type="dxa" w:w="29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w:t>
            </w:r>
          </w:p>
        </w:tc>
      </w:tr>
    </w:tbl>
    <w:p>
      <w:pPr>
        <w:spacing w:after="120"/>
      </w:pPr>
    </w:p>
    <w:p>
      <w:pPr>
        <w:bidi w:val="false"/>
        <w:spacing w:after="120" w:line="300"/>
        <w:jc w:val="left"/>
      </w:pPr>
      <w:r>
        <w:rPr>
          <w:rFonts w:ascii="Calibri" w:cs="Calibri" w:eastAsia="Calibri" w:hAnsi="Calibri"/>
          <w:b/>
          <w:bCs/>
          <w:sz w:val="22"/>
          <w:szCs w:val="22"/>
        </w:rPr>
        <w:t xml:space="preserve">The calculation:</w:t>
      </w:r>
    </w:p>
    <w:p>
      <w:pPr>
        <w:pStyle w:val="ListParagraph"/>
        <w:numPr>
          <w:ilvl w:val="0"/>
          <w:numId w:val="3"/>
        </w:numPr>
        <w:bidi w:val="false"/>
        <w:spacing w:after="80" w:line="300"/>
        <w:jc w:val="left"/>
      </w:pPr>
      <w:r>
        <w:rPr>
          <w:rFonts w:ascii="Calibri" w:cs="Calibri" w:eastAsia="Calibri" w:hAnsi="Calibri"/>
          <w:sz w:val="22"/>
          <w:szCs w:val="22"/>
        </w:rPr>
        <w:t xml:space="preserve">Exact agreement: 18 out of 24, that is, 75%.</w:t>
      </w:r>
    </w:p>
    <w:p>
      <w:pPr>
        <w:pStyle w:val="ListParagraph"/>
        <w:numPr>
          <w:ilvl w:val="0"/>
          <w:numId w:val="3"/>
        </w:numPr>
        <w:bidi w:val="false"/>
        <w:spacing w:after="80" w:line="300"/>
        <w:jc w:val="left"/>
      </w:pPr>
      <w:r>
        <w:rPr>
          <w:rFonts w:ascii="Calibri" w:cs="Calibri" w:eastAsia="Calibri" w:hAnsi="Calibri"/>
          <w:sz w:val="22"/>
          <w:szCs w:val="22"/>
        </w:rPr>
        <w:t xml:space="preserve">Exact or adjacent agreement: 24 out of 24, that is, 100%, because all differences are of one point.</w:t>
      </w:r>
    </w:p>
    <w:p>
      <w:pPr>
        <w:pStyle w:val="ListParagraph"/>
        <w:numPr>
          <w:ilvl w:val="0"/>
          <w:numId w:val="3"/>
        </w:numPr>
        <w:bidi w:val="false"/>
        <w:spacing w:after="80" w:line="300"/>
        <w:jc w:val="left"/>
      </w:pPr>
      <w:r>
        <w:rPr>
          <w:rFonts w:ascii="Calibri" w:cs="Calibri" w:eastAsia="Calibri" w:hAnsi="Calibri"/>
          <w:sz w:val="22"/>
          <w:szCs w:val="22"/>
        </w:rPr>
        <w:t xml:space="preserve">Mean difference on variables and control: one difference of ‎−1 divided by 8, that is, about ‎−0.13.</w:t>
      </w:r>
    </w:p>
    <w:p>
      <w:pPr>
        <w:pStyle w:val="ListParagraph"/>
        <w:numPr>
          <w:ilvl w:val="0"/>
          <w:numId w:val="3"/>
        </w:numPr>
        <w:bidi w:val="false"/>
        <w:spacing w:after="80" w:line="300"/>
        <w:jc w:val="left"/>
      </w:pPr>
      <w:r>
        <w:rPr>
          <w:rFonts w:ascii="Calibri" w:cs="Calibri" w:eastAsia="Calibri" w:hAnsi="Calibri"/>
          <w:sz w:val="22"/>
          <w:szCs w:val="22"/>
        </w:rPr>
        <w:t xml:space="preserve">Mean difference on experimental steps: two differences totalling ‎−2 divided by 8, that is, ‎−0.25.</w:t>
      </w:r>
    </w:p>
    <w:p>
      <w:pPr>
        <w:pStyle w:val="ListParagraph"/>
        <w:numPr>
          <w:ilvl w:val="0"/>
          <w:numId w:val="3"/>
        </w:numPr>
        <w:bidi w:val="false"/>
        <w:spacing w:after="80" w:line="300"/>
        <w:jc w:val="left"/>
      </w:pPr>
      <w:r>
        <w:rPr>
          <w:rFonts w:ascii="Calibri" w:cs="Calibri" w:eastAsia="Calibri" w:hAnsi="Calibri"/>
          <w:sz w:val="22"/>
          <w:szCs w:val="22"/>
        </w:rPr>
        <w:t xml:space="preserve">Mean difference on scientific explanation: three differences totalling ‎−3 divided by 8, that is, about ‎−0.38.</w:t>
      </w:r>
    </w:p>
    <w:p>
      <w:pPr>
        <w:pStyle w:val="ListParagraph"/>
        <w:numPr>
          <w:ilvl w:val="0"/>
          <w:numId w:val="3"/>
        </w:numPr>
        <w:bidi w:val="false"/>
        <w:spacing w:after="80" w:line="300"/>
        <w:jc w:val="left"/>
      </w:pPr>
      <w:r>
        <w:rPr>
          <w:rFonts w:ascii="Calibri" w:cs="Calibri" w:eastAsia="Calibri" w:hAnsi="Calibri"/>
          <w:sz w:val="22"/>
          <w:szCs w:val="22"/>
        </w:rPr>
        <w:t xml:space="preserve">Responses whose total differs by two or more points: one response whose total fell by two points (H3).</w:t>
      </w:r>
    </w:p>
    <w:p>
      <w:pPr>
        <w:bidi w:val="false"/>
        <w:spacing w:after="120" w:line="300"/>
        <w:jc w:val="left"/>
      </w:pPr>
      <w:r>
        <w:rPr>
          <w:rFonts w:ascii="Calibri" w:cs="Calibri" w:eastAsia="Calibri" w:hAnsi="Calibri"/>
          <w:b/>
          <w:bCs/>
          <w:sz w:val="22"/>
          <w:szCs w:val="22"/>
        </w:rPr>
        <w:t xml:space="preserve">Interpretation:</w:t>
      </w:r>
      <w:r>
        <w:rPr>
          <w:rFonts w:ascii="Calibri" w:cs="Calibri" w:eastAsia="Calibri" w:hAnsi="Calibri"/>
          <w:sz w:val="22"/>
          <w:szCs w:val="22"/>
        </w:rPr>
        <w:t xml:space="preserve"> this scorer is slightly severe on all three criteria, and most severe on scientific explanation. They were not lenient on any score. Full adjacent agreement is reassuring, but it is not enough: on a four-level rubric, one point equals a third of the range, and two differences came together in H3 so its total fell by two points. The suggested action: the scorer returns to the descriptors of levels 2 and 3 in scientific explanation, compares them with responses H2 and H6, and asks themselves: what made me demand more than the descriptor demands?</w:t>
      </w:r>
    </w:p>
    <w:p>
      <w:pPr>
        <w:bidi w:val="false"/>
        <w:spacing w:after="120" w:line="300"/>
        <w:jc w:val="left"/>
      </w:pPr>
      <w:r>
        <w:rPr>
          <w:rFonts w:ascii="Calibri" w:cs="Calibri" w:eastAsia="Calibri" w:hAnsi="Calibri"/>
          <w:b/>
          <w:bCs/>
          <w:sz w:val="22"/>
          <w:szCs w:val="22"/>
        </w:rPr>
        <w:t xml:space="preserve">A guiding rule:</w:t>
      </w:r>
      <w:r>
        <w:rPr>
          <w:rFonts w:ascii="Calibri" w:cs="Calibri" w:eastAsia="Calibri" w:hAnsi="Calibri"/>
          <w:sz w:val="22"/>
          <w:szCs w:val="22"/>
        </w:rPr>
        <w:t xml:space="preserve"> scoring teams in large-scale tests use minimum agreement thresholds before allowing a scorer to do live scoring. There is no single agreed threshold, and thresholds vary between programmes and with the number of levels. What matters in the classroom is that you know where you stand and identify the cause of disagreement, not that you reach a particular number.</w:t>
      </w:r>
    </w:p>
    <w:p>
      <w:pPr>
        <w:pStyle w:val="Heading2"/>
        <w:bidi w:val="false"/>
        <w:spacing w:after="120" w:before="240"/>
        <w:jc w:val="left"/>
      </w:pPr>
      <w:r>
        <w:rPr>
          <w:rFonts w:ascii="Calibri" w:cs="Calibri" w:eastAsia="Calibri" w:hAnsi="Calibri"/>
          <w:b/>
          <w:bCs/>
          <w:color w:val="2E75B6"/>
          <w:sz w:val="25"/>
          <w:szCs w:val="25"/>
        </w:rPr>
        <w:t xml:space="preserve">6.4 Where does kappa fit in all this?</w:t>
      </w:r>
    </w:p>
    <w:p>
      <w:pPr>
        <w:bidi w:val="false"/>
        <w:spacing w:after="120" w:line="300"/>
        <w:jc w:val="left"/>
      </w:pPr>
      <w:r>
        <w:rPr>
          <w:rFonts w:ascii="Calibri" w:cs="Calibri" w:eastAsia="Calibri" w:hAnsi="Calibri"/>
          <w:sz w:val="22"/>
          <w:szCs w:val="22"/>
        </w:rPr>
        <w:t xml:space="preserve">In Week 4 we calculated Cohen's (1960) kappa coefficient, which subtracts the agreement expected by chance from the observed agreement. The lesson there was that 100% adjacent agreement may hide modest exact agreement and a kappa of 0.41.</w:t>
      </w:r>
    </w:p>
    <w:p>
      <w:pPr>
        <w:bidi w:val="false"/>
        <w:spacing w:after="120" w:line="300"/>
        <w:jc w:val="left"/>
      </w:pPr>
      <w:r>
        <w:rPr>
          <w:rFonts w:ascii="Calibri" w:cs="Calibri" w:eastAsia="Calibri" w:hAnsi="Calibri"/>
          <w:sz w:val="22"/>
          <w:szCs w:val="22"/>
        </w:rPr>
        <w:t xml:space="preserve">We do not recalculate kappa this week for two reasons: the number is small (24 sub-scores spread over three criteria), so the coefficient would be unstable; and our purpose here is diagnostic: we want to know </w:t>
      </w:r>
      <w:r>
        <w:rPr>
          <w:rFonts w:ascii="Calibri" w:cs="Calibri" w:eastAsia="Calibri" w:hAnsi="Calibri"/>
          <w:b/>
          <w:bCs/>
          <w:sz w:val="22"/>
          <w:szCs w:val="22"/>
        </w:rPr>
        <w:t xml:space="preserve">where</w:t>
      </w:r>
      <w:r>
        <w:rPr>
          <w:rFonts w:ascii="Calibri" w:cs="Calibri" w:eastAsia="Calibri" w:hAnsi="Calibri"/>
          <w:sz w:val="22"/>
          <w:szCs w:val="22"/>
        </w:rPr>
        <w:t xml:space="preserve"> the scorer differs and </w:t>
      </w:r>
      <w:r>
        <w:rPr>
          <w:rFonts w:ascii="Calibri" w:cs="Calibri" w:eastAsia="Calibri" w:hAnsi="Calibri"/>
          <w:b/>
          <w:bCs/>
          <w:sz w:val="22"/>
          <w:szCs w:val="22"/>
        </w:rPr>
        <w:t xml:space="preserve">in which direction</w:t>
      </w:r>
      <w:r>
        <w:rPr>
          <w:rFonts w:ascii="Calibri" w:cs="Calibri" w:eastAsia="Calibri" w:hAnsi="Calibri"/>
          <w:sz w:val="22"/>
          <w:szCs w:val="22"/>
        </w:rPr>
        <w:t xml:space="preserve">, which is what the mean difference gives and kappa does not. In a final report on inter-rater agreement over a large number of responses, it is preferable to report the agreement rate and the kappa coefficient together.</w:t>
      </w:r>
    </w:p>
    <w:p>
      <w:pPr>
        <w:pStyle w:val="Heading1"/>
        <w:bidi w:val="false"/>
        <w:spacing w:after="160" w:before="360"/>
        <w:jc w:val="left"/>
      </w:pPr>
      <w:r>
        <w:rPr>
          <w:rFonts w:ascii="Calibri" w:cs="Calibri" w:eastAsia="Calibri" w:hAnsi="Calibri"/>
          <w:b/>
          <w:bCs/>
          <w:color w:val="1F4E79"/>
          <w:sz w:val="30"/>
          <w:szCs w:val="30"/>
        </w:rPr>
        <w:t xml:space="preserve">7. Four traps in the workshop responses</w:t>
      </w:r>
    </w:p>
    <w:p>
      <w:pPr>
        <w:bidi w:val="false"/>
        <w:spacing w:after="120" w:line="300"/>
        <w:jc w:val="left"/>
      </w:pPr>
      <w:r>
        <w:rPr>
          <w:rFonts w:ascii="Calibri" w:cs="Calibri" w:eastAsia="Calibri" w:hAnsi="Calibri"/>
          <w:sz w:val="22"/>
          <w:szCs w:val="22"/>
        </w:rPr>
        <w:t xml:space="preserve">The eight responses are not random. Four of them were designed to test well-known scoring errors: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94"/>
        <w:gridCol w:w="4221"/>
        <w:gridCol w:w="4223"/>
      </w:tblGrid>
      <w:tr>
        <w:trPr>
          <w:cantSplit/>
          <w:tblHeader/>
        </w:trPr>
        <w:tc>
          <w:tcPr>
            <w:tcW w:type="dxa" w:w="119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Response</w:t>
            </w:r>
          </w:p>
        </w:tc>
        <w:tc>
          <w:tcPr>
            <w:tcW w:type="dxa" w:w="422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What it contains</w:t>
            </w:r>
          </w:p>
        </w:tc>
        <w:tc>
          <w:tcPr>
            <w:tcW w:type="dxa" w:w="422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The error it tests</w:t>
            </w:r>
          </w:p>
        </w:tc>
      </w:tr>
      <w:tr>
        <w:trPr>
          <w:cantSplit/>
        </w:trPr>
        <w:tc>
          <w:tcPr>
            <w:tcW w:type="dxa" w:w="11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R5</w:t>
            </w:r>
          </w:p>
        </w:tc>
        <w:tc>
          <w:tcPr>
            <w:tcW w:type="dxa" w:w="4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Correct statements about rust and ships, without any experiment</w:t>
            </w:r>
          </w:p>
        </w:tc>
        <w:tc>
          <w:tcPr>
            <w:tcW w:type="dxa" w:w="42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Scoring off-task: do you reward correct information that does not answer the question?</w:t>
            </w:r>
          </w:p>
        </w:tc>
      </w:tr>
      <w:tr>
        <w:trPr>
          <w:cantSplit/>
        </w:trPr>
        <w:tc>
          <w:tcPr>
            <w:tcW w:type="dxa" w:w="11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R6</w:t>
            </w:r>
          </w:p>
        </w:tc>
        <w:tc>
          <w:tcPr>
            <w:tcW w:type="dxa" w:w="4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Excellent steps (specified volumes, duration, weighing before and after) and a weak explanation</w:t>
            </w:r>
          </w:p>
        </w:tc>
        <w:tc>
          <w:tcPr>
            <w:tcW w:type="dxa" w:w="42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b/>
                <w:bCs/>
                <w:sz w:val="20"/>
                <w:szCs w:val="20"/>
              </w:rPr>
              <w:t xml:space="preserve">Halo effect:</w:t>
            </w:r>
            <w:r>
              <w:rPr>
                <w:rFonts w:ascii="Calibri" w:cs="Calibri" w:eastAsia="Calibri" w:hAnsi="Calibri"/>
                <w:sz w:val="20"/>
                <w:szCs w:val="20"/>
              </w:rPr>
              <w:t xml:space="preserve"> the good impression from one criterion carrying over to the other criteria</w:t>
            </w:r>
          </w:p>
        </w:tc>
      </w:tr>
      <w:tr>
        <w:trPr>
          <w:cantSplit/>
        </w:trPr>
        <w:tc>
          <w:tcPr>
            <w:tcW w:type="dxa" w:w="11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R7</w:t>
            </w:r>
          </w:p>
        </w:tc>
        <w:tc>
          <w:tcPr>
            <w:tcW w:type="dxa" w:w="4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correct scientific explanation in sound language, without any experiment</w:t>
            </w:r>
          </w:p>
        </w:tc>
        <w:tc>
          <w:tcPr>
            <w:tcW w:type="dxa" w:w="42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b/>
                <w:bCs/>
                <w:sz w:val="20"/>
                <w:szCs w:val="20"/>
              </w:rPr>
              <w:t xml:space="preserve">Rewarding fluency:</w:t>
            </w:r>
            <w:r>
              <w:rPr>
                <w:rFonts w:ascii="Calibri" w:cs="Calibri" w:eastAsia="Calibri" w:hAnsi="Calibri"/>
                <w:sz w:val="20"/>
                <w:szCs w:val="20"/>
              </w:rPr>
              <w:t xml:space="preserve"> giving smooth text marks on criteria it did not meet</w:t>
            </w:r>
          </w:p>
        </w:tc>
      </w:tr>
      <w:tr>
        <w:trPr>
          <w:cantSplit/>
        </w:trPr>
        <w:tc>
          <w:tcPr>
            <w:tcW w:type="dxa" w:w="11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R8</w:t>
            </w:r>
          </w:p>
        </w:tc>
        <w:tc>
          <w:tcPr>
            <w:tcW w:type="dxa" w:w="4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Strong variables and explanation, and vague steps ("I put them in and watch")</w:t>
            </w:r>
          </w:p>
        </w:tc>
        <w:tc>
          <w:tcPr>
            <w:tcW w:type="dxa" w:w="42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Independence of criteria in the opposite direction, and the descriptor boundary between levels 1 and 2</w:t>
            </w:r>
          </w:p>
        </w:tc>
      </w:tr>
    </w:tbl>
    <w:p>
      <w:pPr>
        <w:spacing w:after="120"/>
      </w:pPr>
    </w:p>
    <w:p>
      <w:pPr>
        <w:bidi w:val="false"/>
        <w:spacing w:after="120" w:line="300"/>
        <w:jc w:val="left"/>
      </w:pPr>
      <w:r>
        <w:rPr>
          <w:rFonts w:ascii="Calibri" w:cs="Calibri" w:eastAsia="Calibri" w:hAnsi="Calibri"/>
          <w:sz w:val="22"/>
          <w:szCs w:val="22"/>
        </w:rPr>
        <w:t xml:space="preserve">The </w:t>
      </w:r>
      <w:r>
        <w:rPr>
          <w:rFonts w:ascii="Calibri" w:cs="Calibri" w:eastAsia="Calibri" w:hAnsi="Calibri"/>
          <w:b/>
          <w:bCs/>
          <w:sz w:val="22"/>
          <w:szCs w:val="22"/>
        </w:rPr>
        <w:t xml:space="preserve">halo effect</w:t>
      </w:r>
      <w:r>
        <w:rPr>
          <w:rFonts w:ascii="Calibri" w:cs="Calibri" w:eastAsia="Calibri" w:hAnsi="Calibri"/>
          <w:sz w:val="22"/>
          <w:szCs w:val="22"/>
        </w:rPr>
        <w:t xml:space="preserve"> is the scorer's tendency to give a response similar scores on all criteria based on their general impression. R6 is strong in steps and weak in explanation, and whoever gives R6 a high score in explanation because they liked its steps has fallen into the halo.</w:t>
      </w:r>
    </w:p>
    <w:p>
      <w:pPr>
        <w:bidi w:val="false"/>
        <w:spacing w:after="120" w:line="300"/>
        <w:jc w:val="left"/>
      </w:pPr>
      <w:r>
        <w:rPr>
          <w:rFonts w:ascii="Calibri" w:cs="Calibri" w:eastAsia="Calibri" w:hAnsi="Calibri"/>
          <w:b/>
          <w:bCs/>
          <w:sz w:val="22"/>
          <w:szCs w:val="22"/>
        </w:rPr>
        <w:t xml:space="preserve">Rewarding fluency</w:t>
      </w:r>
      <w:r>
        <w:rPr>
          <w:rFonts w:ascii="Calibri" w:cs="Calibri" w:eastAsia="Calibri" w:hAnsi="Calibri"/>
          <w:sz w:val="22"/>
          <w:szCs w:val="22"/>
        </w:rPr>
        <w:t xml:space="preserve"> is more dangerous in science assessment. R7's explanation is indeed good, but it did not design an experiment, so it should not receive marks on criteria it did not meet. The analytic rubric protects against this error if the scorer reads each criterion on its own and asks: where is the evidence in the text for this particular criterion? This same question is what we will ask of Claude in the workshop.</w:t>
      </w:r>
    </w:p>
    <w:p>
      <w:pPr>
        <w:pStyle w:val="Heading1"/>
        <w:bidi w:val="false"/>
        <w:spacing w:after="160" w:before="360"/>
        <w:jc w:val="left"/>
      </w:pPr>
      <w:r>
        <w:rPr>
          <w:rFonts w:ascii="Calibri" w:cs="Calibri" w:eastAsia="Calibri" w:hAnsi="Calibri"/>
          <w:b/>
          <w:bCs/>
          <w:color w:val="1F4E79"/>
          <w:sz w:val="30"/>
          <w:szCs w:val="30"/>
        </w:rPr>
        <w:t xml:space="preserve">8. Scoring with Claude's help</w:t>
      </w:r>
    </w:p>
    <w:p>
      <w:pPr>
        <w:bidi w:val="false"/>
        <w:spacing w:after="120" w:line="300"/>
        <w:jc w:val="left"/>
      </w:pPr>
      <w:r>
        <w:rPr>
          <w:rFonts w:ascii="Calibri" w:cs="Calibri" w:eastAsia="Calibri" w:hAnsi="Calibri"/>
          <w:sz w:val="22"/>
          <w:szCs w:val="22"/>
        </w:rPr>
        <w:t xml:space="preserve">Claude can score eight responses with an analytic rubric in a minute, and write a justification for each score. This is tempting for a teacher with a hundred papers. But speed is not accuracy.</w:t>
      </w:r>
    </w:p>
    <w:p>
      <w:pPr>
        <w:bidi w:val="false"/>
        <w:spacing w:after="120" w:line="300"/>
        <w:jc w:val="left"/>
      </w:pPr>
      <w:r>
        <w:rPr>
          <w:rFonts w:ascii="Calibri" w:cs="Calibri" w:eastAsia="Calibri" w:hAnsi="Calibri"/>
          <w:b/>
          <w:bCs/>
          <w:sz w:val="22"/>
          <w:szCs w:val="22"/>
        </w:rPr>
        <w:t xml:space="preserve">What do the data say about teachers?</w:t>
      </w:r>
      <w:r>
        <w:rPr>
          <w:rFonts w:ascii="Calibri" w:cs="Calibri" w:eastAsia="Calibri" w:hAnsi="Calibri"/>
          <w:sz w:val="22"/>
          <w:szCs w:val="22"/>
        </w:rPr>
        <w:t xml:space="preserve"> In Anthropic's report on how academics use Claude (August 2025), which analysed about 74,000 conversations, assessing student performance made up about 7% of use. Faculty members rated grading as the task AI performs least effectively, and yet 48.9% of grading conversations were automation-oriented, that is, grading was handed over to the tool instead of collaborating with it. This gap between what teachers say and what they do is the subject of this section.</w:t>
      </w:r>
    </w:p>
    <w:p>
      <w:pPr>
        <w:bidi w:val="false"/>
        <w:spacing w:after="120" w:line="300"/>
        <w:jc w:val="left"/>
      </w:pPr>
      <w:r>
        <w:rPr>
          <w:rFonts w:ascii="Calibri" w:cs="Calibri" w:eastAsia="Calibri" w:hAnsi="Calibri"/>
          <w:b/>
          <w:bCs/>
          <w:sz w:val="22"/>
          <w:szCs w:val="22"/>
        </w:rPr>
        <w:t xml:space="preserve">What Claude does well:</w:t>
      </w:r>
    </w:p>
    <w:p>
      <w:pPr>
        <w:pStyle w:val="ListParagraph"/>
        <w:numPr>
          <w:ilvl w:val="0"/>
          <w:numId w:val="3"/>
        </w:numPr>
        <w:bidi w:val="false"/>
        <w:spacing w:after="80" w:line="300"/>
        <w:jc w:val="left"/>
      </w:pPr>
      <w:r>
        <w:rPr>
          <w:rFonts w:ascii="Calibri" w:cs="Calibri" w:eastAsia="Calibri" w:hAnsi="Calibri"/>
          <w:sz w:val="22"/>
          <w:szCs w:val="22"/>
        </w:rPr>
        <w:t xml:space="preserve">Applying the rubric to a large number of responses quickly, and quoting the sentence on which it based each score.</w:t>
      </w:r>
    </w:p>
    <w:p>
      <w:pPr>
        <w:pStyle w:val="ListParagraph"/>
        <w:numPr>
          <w:ilvl w:val="0"/>
          <w:numId w:val="3"/>
        </w:numPr>
        <w:bidi w:val="false"/>
        <w:spacing w:after="80" w:line="300"/>
        <w:jc w:val="left"/>
      </w:pPr>
      <w:r>
        <w:rPr>
          <w:rFonts w:ascii="Calibri" w:cs="Calibri" w:eastAsia="Calibri" w:hAnsi="Calibri"/>
          <w:sz w:val="22"/>
          <w:szCs w:val="22"/>
        </w:rPr>
        <w:t xml:space="preserve">Suggesting written feedback for each student based on the criteria.</w:t>
      </w:r>
    </w:p>
    <w:p>
      <w:pPr>
        <w:pStyle w:val="ListParagraph"/>
        <w:numPr>
          <w:ilvl w:val="0"/>
          <w:numId w:val="3"/>
        </w:numPr>
        <w:bidi w:val="false"/>
        <w:spacing w:after="80" w:line="300"/>
        <w:jc w:val="left"/>
      </w:pPr>
      <w:r>
        <w:rPr>
          <w:rFonts w:ascii="Calibri" w:cs="Calibri" w:eastAsia="Calibri" w:hAnsi="Calibri"/>
          <w:sz w:val="22"/>
          <w:szCs w:val="22"/>
        </w:rPr>
        <w:t xml:space="preserve">Detecting vague descriptors: if you ask it to state where it hesitated between two levels, it points you to the descriptor that needs amending.</w:t>
      </w:r>
    </w:p>
    <w:p>
      <w:pPr>
        <w:bidi w:val="false"/>
        <w:spacing w:after="120" w:line="300"/>
        <w:jc w:val="left"/>
      </w:pPr>
      <w:r>
        <w:rPr>
          <w:rFonts w:ascii="Calibri" w:cs="Calibri" w:eastAsia="Calibri" w:hAnsi="Calibri"/>
          <w:b/>
          <w:bCs/>
          <w:sz w:val="22"/>
          <w:szCs w:val="22"/>
        </w:rPr>
        <w:t xml:space="preserve">What you must verify yourself:</w:t>
      </w:r>
    </w:p>
    <w:p>
      <w:pPr>
        <w:pStyle w:val="ListParagraph"/>
        <w:numPr>
          <w:ilvl w:val="0"/>
          <w:numId w:val="3"/>
        </w:numPr>
        <w:bidi w:val="false"/>
        <w:spacing w:after="80" w:line="300"/>
        <w:jc w:val="left"/>
      </w:pPr>
      <w:r>
        <w:rPr>
          <w:rFonts w:ascii="Calibri" w:cs="Calibri" w:eastAsia="Calibri" w:hAnsi="Calibri"/>
          <w:b/>
          <w:bCs/>
          <w:sz w:val="22"/>
          <w:szCs w:val="22"/>
        </w:rPr>
        <w:t xml:space="preserve">Drift:</w:t>
      </w:r>
      <w:r>
        <w:rPr>
          <w:rFonts w:ascii="Calibri" w:cs="Calibri" w:eastAsia="Calibri" w:hAnsi="Calibri"/>
          <w:sz w:val="22"/>
          <w:szCs w:val="22"/>
        </w:rPr>
        <w:t xml:space="preserve"> Claude may give the same response two different scores in two conversations, or its standard may shift between the first responses and the last. Test this by rescoring some responses in a new conversation.</w:t>
      </w:r>
    </w:p>
    <w:p>
      <w:pPr>
        <w:pStyle w:val="ListParagraph"/>
        <w:numPr>
          <w:ilvl w:val="0"/>
          <w:numId w:val="3"/>
        </w:numPr>
        <w:bidi w:val="false"/>
        <w:spacing w:after="80" w:line="300"/>
        <w:jc w:val="left"/>
      </w:pPr>
      <w:r>
        <w:rPr>
          <w:rFonts w:ascii="Calibri" w:cs="Calibri" w:eastAsia="Calibri" w:hAnsi="Calibri"/>
          <w:b/>
          <w:bCs/>
          <w:sz w:val="22"/>
          <w:szCs w:val="22"/>
        </w:rPr>
        <w:t xml:space="preserve">Leniency towards length and fluency:</w:t>
      </w:r>
      <w:r>
        <w:rPr>
          <w:rFonts w:ascii="Calibri" w:cs="Calibri" w:eastAsia="Calibri" w:hAnsi="Calibri"/>
          <w:sz w:val="22"/>
          <w:szCs w:val="22"/>
        </w:rPr>
        <w:t xml:space="preserve"> long, smooth text may get more than it deserves, as in R7. Always ask it to quote the evidence from the response text for each criterion, and reject any score whose evidence does not match the descriptor.</w:t>
      </w:r>
    </w:p>
    <w:p>
      <w:pPr>
        <w:pStyle w:val="ListParagraph"/>
        <w:numPr>
          <w:ilvl w:val="0"/>
          <w:numId w:val="3"/>
        </w:numPr>
        <w:bidi w:val="false"/>
        <w:spacing w:after="80" w:line="300"/>
        <w:jc w:val="left"/>
      </w:pPr>
      <w:r>
        <w:rPr>
          <w:rFonts w:ascii="Calibri" w:cs="Calibri" w:eastAsia="Calibri" w:hAnsi="Calibri"/>
          <w:b/>
          <w:bCs/>
          <w:sz w:val="22"/>
          <w:szCs w:val="22"/>
        </w:rPr>
        <w:t xml:space="preserve">Missing scientific errors:</w:t>
      </w:r>
      <w:r>
        <w:rPr>
          <w:rFonts w:ascii="Calibri" w:cs="Calibri" w:eastAsia="Calibri" w:hAnsi="Calibri"/>
          <w:sz w:val="22"/>
          <w:szCs w:val="22"/>
        </w:rPr>
        <w:t xml:space="preserve"> it may pass over a misconception if the wording is confident. You are the content expert, not it.</w:t>
      </w:r>
    </w:p>
    <w:p>
      <w:pPr>
        <w:pStyle w:val="ListParagraph"/>
        <w:numPr>
          <w:ilvl w:val="0"/>
          <w:numId w:val="3"/>
        </w:numPr>
        <w:bidi w:val="false"/>
        <w:spacing w:after="80" w:line="300"/>
        <w:jc w:val="left"/>
      </w:pPr>
      <w:r>
        <w:rPr>
          <w:rFonts w:ascii="Calibri" w:cs="Calibri" w:eastAsia="Calibri" w:hAnsi="Calibri"/>
          <w:b/>
          <w:bCs/>
          <w:sz w:val="22"/>
          <w:szCs w:val="22"/>
        </w:rPr>
        <w:t xml:space="preserve">The information it sees:</w:t>
      </w:r>
      <w:r>
        <w:rPr>
          <w:rFonts w:ascii="Calibri" w:cs="Calibri" w:eastAsia="Calibri" w:hAnsi="Calibri"/>
          <w:sz w:val="22"/>
          <w:szCs w:val="22"/>
        </w:rPr>
        <w:t xml:space="preserve"> if you upload a file containing the benchmark scores, it may be influenced by them. Upload only the rubric and the responses.</w:t>
      </w:r>
    </w:p>
    <w:p>
      <w:pPr>
        <w:pStyle w:val="ListParagraph"/>
        <w:numPr>
          <w:ilvl w:val="0"/>
          <w:numId w:val="3"/>
        </w:numPr>
        <w:bidi w:val="false"/>
        <w:spacing w:after="80" w:line="300"/>
        <w:jc w:val="left"/>
      </w:pPr>
      <w:r>
        <w:rPr>
          <w:rFonts w:ascii="Calibri" w:cs="Calibri" w:eastAsia="Calibri" w:hAnsi="Calibri"/>
          <w:b/>
          <w:bCs/>
          <w:sz w:val="22"/>
          <w:szCs w:val="22"/>
        </w:rPr>
        <w:t xml:space="preserve">Privacy:</w:t>
      </w:r>
      <w:r>
        <w:rPr>
          <w:rFonts w:ascii="Calibri" w:cs="Calibri" w:eastAsia="Calibri" w:hAnsi="Calibri"/>
          <w:sz w:val="22"/>
          <w:szCs w:val="22"/>
        </w:rPr>
        <w:t xml:space="preserve"> do not upload real students' responses with their names. Replace names with codes.</w:t>
      </w:r>
    </w:p>
    <w:p>
      <w:pPr>
        <w:bidi w:val="false"/>
        <w:spacing w:after="120" w:line="300"/>
        <w:jc w:val="left"/>
      </w:pPr>
      <w:r>
        <w:rPr>
          <w:rFonts w:ascii="Calibri" w:cs="Calibri" w:eastAsia="Calibri" w:hAnsi="Calibri"/>
          <w:b/>
          <w:bCs/>
          <w:sz w:val="22"/>
          <w:szCs w:val="22"/>
        </w:rPr>
        <w:t xml:space="preserve">The rule:</w:t>
      </w:r>
      <w:r>
        <w:rPr>
          <w:rFonts w:ascii="Calibri" w:cs="Calibri" w:eastAsia="Calibri" w:hAnsi="Calibri"/>
          <w:sz w:val="22"/>
          <w:szCs w:val="22"/>
        </w:rPr>
        <w:t xml:space="preserve"> the human remains the decision-maker on the score. And Claude is calibrated as any new scorer is calibrated: it scores the anchor responses first, its agreement and severity or leniency indices are calculated, and it is not relied on in any role before that. Even after calibration, its role remains that of a second scorer whose scores are reviewed, not a sole scorer whose scores are adopted. This is consistent with UNESCO's guidance (2023), which stresses keeping pedagogical judgement in human hands, and with AI use level 2 (Documented collaboration) in Phase 2 of the project.</w:t>
      </w:r>
    </w:p>
    <w:p>
      <w:pPr>
        <w:pStyle w:val="Heading1"/>
        <w:bidi w:val="false"/>
        <w:spacing w:after="160" w:before="360"/>
        <w:jc w:val="left"/>
      </w:pPr>
      <w:r>
        <w:rPr>
          <w:rFonts w:ascii="Calibri" w:cs="Calibri" w:eastAsia="Calibri" w:hAnsi="Calibri"/>
          <w:b/>
          <w:bCs/>
          <w:color w:val="1F4E79"/>
          <w:sz w:val="30"/>
          <w:szCs w:val="30"/>
        </w:rPr>
        <w:t xml:space="preserve">9. From the workshop to Phase 2 of the project</w:t>
      </w:r>
    </w:p>
    <w:p>
      <w:pPr>
        <w:bidi w:val="false"/>
        <w:spacing w:after="120" w:line="300"/>
        <w:jc w:val="left"/>
      </w:pPr>
      <w:r>
        <w:rPr>
          <w:rFonts w:ascii="Calibri" w:cs="Calibri" w:eastAsia="Calibri" w:hAnsi="Calibri"/>
          <w:sz w:val="22"/>
          <w:szCs w:val="22"/>
        </w:rPr>
        <w:t xml:space="preserve">Phase 2 asks you to write at least one constructed-response item for your test, with an analytic rubric, then calibrate the rubric on at least five responses with a colleague or with Claude. The steps are the same as the workshop steps:</w:t>
      </w:r>
    </w:p>
    <w:p>
      <w:pPr>
        <w:pStyle w:val="ListParagraph"/>
        <w:keepNext/>
        <w:numPr>
          <w:ilvl w:val="0"/>
          <w:numId w:val="6"/>
        </w:numPr>
        <w:bidi w:val="false"/>
        <w:spacing w:after="60" w:before="80" w:line="300"/>
        <w:jc w:val="left"/>
      </w:pPr>
      <w:r>
        <w:rPr>
          <w:rFonts w:ascii="Calibri" w:cs="Calibri" w:eastAsia="Calibri" w:hAnsi="Calibri"/>
          <w:sz w:val="22"/>
          <w:szCs w:val="22"/>
        </w:rPr>
        <w:t xml:space="preserve">Write the task and the rubric together, and review the descriptors with the four principles in section 4.</w:t>
      </w:r>
    </w:p>
    <w:p>
      <w:pPr>
        <w:pStyle w:val="ListParagraph"/>
        <w:keepNext/>
        <w:numPr>
          <w:ilvl w:val="0"/>
          <w:numId w:val="6"/>
        </w:numPr>
        <w:bidi w:val="false"/>
        <w:spacing w:after="60" w:before="80" w:line="300"/>
        <w:jc w:val="left"/>
      </w:pPr>
      <w:r>
        <w:rPr>
          <w:rFonts w:ascii="Calibri" w:cs="Calibri" w:eastAsia="Calibri" w:hAnsi="Calibri"/>
          <w:sz w:val="22"/>
          <w:szCs w:val="22"/>
        </w:rPr>
        <w:t xml:space="preserve">Score the responses alone first, then ask your colleague or Claude to score them without seeing your scores.</w:t>
      </w:r>
    </w:p>
    <w:p>
      <w:pPr>
        <w:pStyle w:val="ListParagraph"/>
        <w:keepNext/>
        <w:numPr>
          <w:ilvl w:val="0"/>
          <w:numId w:val="6"/>
        </w:numPr>
        <w:bidi w:val="false"/>
        <w:spacing w:after="60" w:before="80" w:line="300"/>
        <w:jc w:val="left"/>
      </w:pPr>
      <w:r>
        <w:rPr>
          <w:rFonts w:ascii="Calibri" w:cs="Calibri" w:eastAsia="Calibri" w:hAnsi="Calibri"/>
          <w:sz w:val="22"/>
          <w:szCs w:val="22"/>
        </w:rPr>
        <w:t xml:space="preserve">Calculate exact and adjacent agreement and the mean difference for each criterion.</w:t>
      </w:r>
    </w:p>
    <w:p>
      <w:pPr>
        <w:pStyle w:val="ListParagraph"/>
        <w:keepNext/>
        <w:numPr>
          <w:ilvl w:val="0"/>
          <w:numId w:val="6"/>
        </w:numPr>
        <w:bidi w:val="false"/>
        <w:spacing w:after="60" w:before="80" w:line="300"/>
        <w:jc w:val="left"/>
      </w:pPr>
      <w:r>
        <w:rPr>
          <w:rFonts w:ascii="Calibri" w:cs="Calibri" w:eastAsia="Calibri" w:hAnsi="Calibri"/>
          <w:sz w:val="22"/>
          <w:szCs w:val="22"/>
        </w:rPr>
        <w:t xml:space="preserve">Discuss every sub-score on which you differed by two or more points, and every criterion whose mean difference is far from zero.</w:t>
      </w:r>
    </w:p>
    <w:p>
      <w:pPr>
        <w:pStyle w:val="ListParagraph"/>
        <w:keepNext/>
        <w:numPr>
          <w:ilvl w:val="0"/>
          <w:numId w:val="6"/>
        </w:numPr>
        <w:bidi w:val="false"/>
        <w:spacing w:after="60" w:before="80" w:line="300"/>
        <w:jc w:val="left"/>
      </w:pPr>
      <w:r>
        <w:rPr>
          <w:rFonts w:ascii="Calibri" w:cs="Calibri" w:eastAsia="Calibri" w:hAnsi="Calibri"/>
          <w:sz w:val="22"/>
          <w:szCs w:val="22"/>
        </w:rPr>
        <w:t xml:space="preserve">Amend the descriptor that caused the disagreement, and document the amendment and its reason.</w:t>
      </w:r>
    </w:p>
    <w:p>
      <w:pPr>
        <w:pStyle w:val="Heading1"/>
        <w:bidi w:val="false"/>
        <w:spacing w:after="160" w:before="360"/>
        <w:jc w:val="left"/>
      </w:pPr>
      <w:r>
        <w:rPr>
          <w:rFonts w:ascii="Calibri" w:cs="Calibri" w:eastAsia="Calibri" w:hAnsi="Calibri"/>
          <w:b/>
          <w:bCs/>
          <w:color w:val="1F4E79"/>
          <w:sz w:val="30"/>
          <w:szCs w:val="30"/>
        </w:rPr>
        <w:t xml:space="preserve">10. Questions for review and discussion</w:t>
      </w:r>
    </w:p>
    <w:p>
      <w:pPr>
        <w:pStyle w:val="ListParagraph"/>
        <w:keepNext/>
        <w:numPr>
          <w:ilvl w:val="0"/>
          <w:numId w:val="7"/>
        </w:numPr>
        <w:bidi w:val="false"/>
        <w:spacing w:after="60" w:before="80" w:line="300"/>
        <w:jc w:val="left"/>
      </w:pPr>
      <w:r>
        <w:rPr>
          <w:rFonts w:ascii="Calibri" w:cs="Calibri" w:eastAsia="Calibri" w:hAnsi="Calibri"/>
          <w:sz w:val="22"/>
          <w:szCs w:val="22"/>
        </w:rPr>
        <w:t xml:space="preserve">A learning outcome says: "The student designs an experiment to test a hypothesis." Why is a multiple-choice item not enough to measure it? And what price do you pay when you use an extended-response item?</w:t>
      </w:r>
    </w:p>
    <w:p>
      <w:pPr>
        <w:pStyle w:val="ListParagraph"/>
        <w:keepNext/>
        <w:numPr>
          <w:ilvl w:val="0"/>
          <w:numId w:val="7"/>
        </w:numPr>
        <w:bidi w:val="false"/>
        <w:spacing w:after="60" w:before="80" w:line="300"/>
        <w:jc w:val="left"/>
      </w:pPr>
      <w:r>
        <w:rPr>
          <w:rFonts w:ascii="Calibri" w:cs="Calibri" w:eastAsia="Calibri" w:hAnsi="Calibri"/>
          <w:sz w:val="22"/>
          <w:szCs w:val="22"/>
        </w:rPr>
        <w:t xml:space="preserve">Rewrite the descriptor "a good and convincing explanation" to make it observable, for a task of your choice.</w:t>
      </w:r>
    </w:p>
    <w:p>
      <w:pPr>
        <w:pStyle w:val="ListParagraph"/>
        <w:keepNext/>
        <w:numPr>
          <w:ilvl w:val="0"/>
          <w:numId w:val="7"/>
        </w:numPr>
        <w:bidi w:val="false"/>
        <w:spacing w:after="60" w:before="80" w:line="300"/>
        <w:jc w:val="left"/>
      </w:pPr>
      <w:r>
        <w:rPr>
          <w:rFonts w:ascii="Calibri" w:cs="Calibri" w:eastAsia="Calibri" w:hAnsi="Calibri"/>
          <w:sz w:val="22"/>
          <w:szCs w:val="22"/>
        </w:rPr>
        <w:t xml:space="preserve">A scorer's adjacent agreement with the benchmark is 100% and their exact agreement is 50%. Do you allow them to do the final scoring? What do you ask of them before that?</w:t>
      </w:r>
    </w:p>
    <w:p>
      <w:pPr>
        <w:pStyle w:val="ListParagraph"/>
        <w:keepNext/>
        <w:numPr>
          <w:ilvl w:val="0"/>
          <w:numId w:val="7"/>
        </w:numPr>
        <w:bidi w:val="false"/>
        <w:spacing w:after="60" w:before="80" w:line="300"/>
        <w:jc w:val="left"/>
      </w:pPr>
      <w:r>
        <w:rPr>
          <w:rFonts w:ascii="Calibri" w:cs="Calibri" w:eastAsia="Calibri" w:hAnsi="Calibri"/>
          <w:sz w:val="22"/>
          <w:szCs w:val="22"/>
        </w:rPr>
        <w:t xml:space="preserve">A scorer's mean difference on a criterion equals zero, and yet they differed from the benchmark on four responses. How does this happen?</w:t>
      </w:r>
    </w:p>
    <w:p>
      <w:pPr>
        <w:pStyle w:val="ListParagraph"/>
        <w:keepNext/>
        <w:numPr>
          <w:ilvl w:val="0"/>
          <w:numId w:val="7"/>
        </w:numPr>
        <w:bidi w:val="false"/>
        <w:spacing w:after="60" w:before="80" w:line="300"/>
        <w:jc w:val="left"/>
      </w:pPr>
      <w:r>
        <w:rPr>
          <w:rFonts w:ascii="Calibri" w:cs="Calibri" w:eastAsia="Calibri" w:hAnsi="Calibri"/>
          <w:sz w:val="22"/>
          <w:szCs w:val="22"/>
        </w:rPr>
        <w:t xml:space="preserve">A hypothetical response explains the dissolving of sugar correctly and does not describe any experiment. Claude gave it a 2 on the experimental steps criterion, and quoted as evidence: "The sugar particles spread out between the water particles." What is wrong with this evidence? And what do you do?</w:t>
      </w:r>
    </w:p>
    <w:p>
      <w:pPr>
        <w:pStyle w:val="ListParagraph"/>
        <w:keepNext/>
        <w:numPr>
          <w:ilvl w:val="0"/>
          <w:numId w:val="7"/>
        </w:numPr>
        <w:bidi w:val="false"/>
        <w:spacing w:after="60" w:before="80" w:line="300"/>
        <w:jc w:val="left"/>
      </w:pPr>
      <w:r>
        <w:rPr>
          <w:rFonts w:ascii="Calibri" w:cs="Calibri" w:eastAsia="Calibri" w:hAnsi="Calibri"/>
          <w:sz w:val="22"/>
          <w:szCs w:val="22"/>
        </w:rPr>
        <w:t xml:space="preserve">Your colleague says: "I will score my class's papers with Claude and review only the last ten." Discuss his suggestion in light of what you have learnt about drift.</w:t>
      </w:r>
    </w:p>
    <w:p>
      <w:pPr>
        <w:pStyle w:val="Heading1"/>
        <w:bidi w:val="false"/>
        <w:spacing w:after="160" w:before="360"/>
        <w:jc w:val="left"/>
      </w:pPr>
      <w:r>
        <w:rPr>
          <w:rFonts w:ascii="Calibri" w:cs="Calibri" w:eastAsia="Calibri" w:hAnsi="Calibri"/>
          <w:b/>
          <w:bCs/>
          <w:color w:val="1F4E79"/>
          <w:sz w:val="30"/>
          <w:szCs w:val="30"/>
        </w:rPr>
        <w:t xml:space="preserve">11. Readings for the week</w:t>
      </w:r>
    </w:p>
    <w:p>
      <w:pPr>
        <w:pStyle w:val="Heading2"/>
        <w:bidi w:val="false"/>
        <w:spacing w:after="120" w:before="240"/>
        <w:jc w:val="left"/>
      </w:pPr>
      <w:r>
        <w:rPr>
          <w:rFonts w:ascii="Calibri" w:cs="Calibri" w:eastAsia="Calibri" w:hAnsi="Calibri"/>
          <w:b/>
          <w:bCs/>
          <w:color w:val="2E75B6"/>
          <w:sz w:val="25"/>
          <w:szCs w:val="25"/>
        </w:rPr>
        <w:t xml:space="preserve">Core reading</w:t>
      </w:r>
    </w:p>
    <w:p>
      <w:pPr>
        <w:bidi w:val="false"/>
        <w:spacing w:after="120" w:line="300"/>
        <w:jc w:val="left"/>
      </w:pPr>
      <w:r>
        <w:rPr>
          <w:rFonts w:ascii="Calibri" w:cs="Calibri" w:eastAsia="Calibri" w:hAnsi="Calibri"/>
          <w:sz w:val="22"/>
          <w:szCs w:val="22"/>
        </w:rPr>
        <w:t xml:space="preserve">Brookhart, S. M. (2013). How to Create and Use Rubrics for Formative Assessment and Grading. ASCD.</w:t>
      </w:r>
    </w:p>
    <w:p>
      <w:pPr>
        <w:bidi w:val="false"/>
        <w:spacing w:after="120" w:line="300"/>
        <w:jc w:val="left"/>
      </w:pPr>
      <w:r>
        <w:rPr>
          <w:rFonts w:ascii="Calibri" w:cs="Calibri" w:eastAsia="Calibri" w:hAnsi="Calibri"/>
          <w:sz w:val="22"/>
          <w:szCs w:val="22"/>
        </w:rPr>
        <w:t xml:space="preserve">The chapters on types of rubrics and writing level descriptors.</w:t>
      </w:r>
    </w:p>
    <w:p>
      <w:pPr>
        <w:pStyle w:val="Heading2"/>
        <w:bidi w:val="false"/>
        <w:spacing w:after="120" w:before="240"/>
        <w:jc w:val="left"/>
      </w:pPr>
      <w:r>
        <w:rPr>
          <w:rFonts w:ascii="Calibri" w:cs="Calibri" w:eastAsia="Calibri" w:hAnsi="Calibri"/>
          <w:b/>
          <w:bCs/>
          <w:color w:val="2E75B6"/>
          <w:sz w:val="25"/>
          <w:szCs w:val="25"/>
        </w:rPr>
        <w:t xml:space="preserve">Supporting readings</w:t>
      </w:r>
    </w:p>
    <w:p>
      <w:pPr>
        <w:bidi w:val="false"/>
        <w:spacing w:after="120" w:line="300"/>
        <w:jc w:val="left"/>
      </w:pPr>
      <w:r>
        <w:rPr>
          <w:rFonts w:ascii="Calibri" w:cs="Calibri" w:eastAsia="Calibri" w:hAnsi="Calibri"/>
          <w:sz w:val="22"/>
          <w:szCs w:val="22"/>
        </w:rPr>
        <w:t xml:space="preserve">Jonsson, A., &amp; Svingby, G. (2007). The use of scoring rubrics: Reliability, validity and educational consequences. Educational Research Review, 2(2), 130–144.</w:t>
      </w:r>
    </w:p>
    <w:p>
      <w:pPr>
        <w:bidi w:val="false"/>
        <w:spacing w:after="120" w:line="300"/>
        <w:jc w:val="left"/>
      </w:pPr>
      <w:r>
        <w:rPr>
          <w:rFonts w:ascii="Calibri" w:cs="Calibri" w:eastAsia="Calibri" w:hAnsi="Calibri"/>
          <w:sz w:val="22"/>
          <w:szCs w:val="22"/>
        </w:rPr>
        <w:t xml:space="preserve">Brookhart, S. M., &amp; Nitko, A. J. (2019). Educational Assessment of Students (8th ed.). Pearson.</w:t>
      </w:r>
    </w:p>
    <w:p>
      <w:pPr>
        <w:bidi w:val="false"/>
        <w:spacing w:after="120" w:line="300"/>
        <w:jc w:val="left"/>
      </w:pPr>
      <w:r>
        <w:rPr>
          <w:rFonts w:ascii="Calibri" w:cs="Calibri" w:eastAsia="Calibri" w:hAnsi="Calibri"/>
          <w:sz w:val="22"/>
          <w:szCs w:val="22"/>
        </w:rPr>
        <w:t xml:space="preserve">McMillan, J. H. (2024). Classroom Assessment: Principles and Practice that Enhance Student Learning and Motivation (8th ed.). Pearson.</w:t>
      </w:r>
    </w:p>
    <w:p>
      <w:pPr>
        <w:bidi w:val="false"/>
        <w:spacing w:after="120" w:line="300"/>
        <w:jc w:val="left"/>
      </w:pPr>
      <w:r>
        <w:rPr>
          <w:rFonts w:ascii="Calibri" w:cs="Calibri" w:eastAsia="Calibri" w:hAnsi="Calibri"/>
          <w:sz w:val="22"/>
          <w:szCs w:val="22"/>
        </w:rPr>
        <w:t xml:space="preserve">Popham, W. J. (2025). Classroom Assessment: What Teachers Need to Know (10th ed.). Pearson.</w:t>
      </w:r>
    </w:p>
    <w:p>
      <w:pPr>
        <w:bidi w:val="false"/>
        <w:spacing w:after="120" w:line="300"/>
        <w:jc w:val="left"/>
      </w:pPr>
      <w:r>
        <w:rPr>
          <w:rFonts w:ascii="Calibri" w:cs="Calibri" w:eastAsia="Calibri" w:hAnsi="Calibri"/>
          <w:sz w:val="22"/>
          <w:szCs w:val="22"/>
        </w:rPr>
        <w:t xml:space="preserve">Cohen, J. (1960). A coefficient of agreement for nominal scales. Educational and Psychological Measurement, 20(1), 37–46.</w:t>
      </w:r>
    </w:p>
    <w:p>
      <w:pPr>
        <w:bidi w:val="false"/>
        <w:spacing w:after="120" w:line="300"/>
        <w:jc w:val="left"/>
      </w:pPr>
      <w:r>
        <w:rPr>
          <w:rFonts w:ascii="Calibri" w:cs="Calibri" w:eastAsia="Calibri" w:hAnsi="Calibri"/>
          <w:sz w:val="22"/>
          <w:szCs w:val="22"/>
        </w:rPr>
        <w:t xml:space="preserve">AERA, APA, &amp; NCME (2014). Standards for Educational and Psychological Testing. AERA.</w:t>
      </w:r>
    </w:p>
    <w:p>
      <w:pPr>
        <w:bidi w:val="false"/>
        <w:spacing w:after="120" w:line="300"/>
        <w:jc w:val="left"/>
      </w:pPr>
      <w:r>
        <w:rPr>
          <w:rFonts w:ascii="Calibri" w:cs="Calibri" w:eastAsia="Calibri" w:hAnsi="Calibri"/>
          <w:sz w:val="22"/>
          <w:szCs w:val="22"/>
        </w:rPr>
        <w:t xml:space="preserve">Wiliam, D. (2017). Embedded Formative Assessment (2nd ed.). Solution Tree.</w:t>
      </w:r>
    </w:p>
    <w:p>
      <w:pPr>
        <w:pStyle w:val="Heading2"/>
        <w:bidi w:val="false"/>
        <w:spacing w:after="120" w:before="240"/>
        <w:jc w:val="left"/>
      </w:pPr>
      <w:r>
        <w:rPr>
          <w:rFonts w:ascii="Calibri" w:cs="Calibri" w:eastAsia="Calibri" w:hAnsi="Calibri"/>
          <w:b/>
          <w:bCs/>
          <w:color w:val="2E75B6"/>
          <w:sz w:val="25"/>
          <w:szCs w:val="25"/>
        </w:rPr>
        <w:t xml:space="preserve">Critical reading (linked to AI)</w:t>
      </w:r>
    </w:p>
    <w:p>
      <w:pPr>
        <w:bidi w:val="false"/>
        <w:spacing w:after="120" w:line="300"/>
        <w:jc w:val="left"/>
      </w:pPr>
      <w:r>
        <w:rPr>
          <w:rFonts w:ascii="Calibri" w:cs="Calibri" w:eastAsia="Calibri" w:hAnsi="Calibri"/>
          <w:sz w:val="22"/>
          <w:szCs w:val="22"/>
        </w:rPr>
        <w:t xml:space="preserve">Anthropic (2025, August). Anthropic Education Report: How educators use Claude.</w:t>
      </w:r>
    </w:p>
    <w:p>
      <w:pPr>
        <w:bidi w:val="false"/>
        <w:spacing w:after="120" w:line="300"/>
        <w:jc w:val="left"/>
      </w:pPr>
      <w:r>
        <w:rPr>
          <w:rFonts w:ascii="Calibri" w:cs="Calibri" w:eastAsia="Calibri" w:hAnsi="Calibri"/>
          <w:sz w:val="22"/>
          <w:szCs w:val="22"/>
        </w:rPr>
        <w:t xml:space="preserve">Read the part on grading: what worries faculty members? And what do they actually do?</w:t>
      </w:r>
    </w:p>
    <w:p>
      <w:pPr>
        <w:bidi w:val="false"/>
        <w:spacing w:after="120" w:line="300"/>
        <w:jc w:val="left"/>
      </w:pPr>
      <w:r>
        <w:rPr>
          <w:rFonts w:ascii="Calibri" w:cs="Calibri" w:eastAsia="Calibri" w:hAnsi="Calibri"/>
          <w:sz w:val="22"/>
          <w:szCs w:val="22"/>
        </w:rPr>
        <w:t xml:space="preserve">Miao, F., &amp; Holmes, W. (2023). Guidance for Generative AI in Education and Research. UNESCO.</w:t>
      </w:r>
    </w:p>
    <w:p>
      <w:pPr>
        <w:pStyle w:val="Heading1"/>
        <w:bidi w:val="false"/>
        <w:spacing w:after="160" w:before="360"/>
        <w:jc w:val="left"/>
      </w:pPr>
      <w:r>
        <w:rPr>
          <w:rFonts w:ascii="Calibri" w:cs="Calibri" w:eastAsia="Calibri" w:hAnsi="Calibri"/>
          <w:b/>
          <w:bCs/>
          <w:color w:val="1F4E79"/>
          <w:sz w:val="30"/>
          <w:szCs w:val="30"/>
        </w:rPr>
        <w:t xml:space="preserve">Glossary</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Term used in these notes</w:t>
            </w:r>
          </w:p>
        </w:tc>
        <w:tc>
          <w:tcPr>
            <w:tcW w:type="dxa" w:w="48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Standard English term</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Constructed-response item</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Constructed-response item</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Short-answer item</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Short-answer item</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Extended-response item</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Extended-response item</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Rubric</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Scoring rubric</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Analytic rubric</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Analytic rubric</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Holistic rubric</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Holistic rubric</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General rubric</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General rubric</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Task-specific rubric</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Task-specific rubric</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Level descriptor</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Performance-level descriptor</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Anchor response</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Anchor response</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Rater calibration</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Rater calibration</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Exact agreement</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Exact agreement</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Exact or adjacent agreement</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Exact-or-adjacent agreement</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Severity and leniency</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Rater severity and leniency</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Halo effect</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Halo effect</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Rater drift</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Rater drift</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Cohen's kappa</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Cohen's kappa</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val="false"/>
      <w:jc w:val="left"/>
    </w:pPr>
    <w:r>
      <w:rPr>
        <w:rFonts w:ascii="Calibri" w:cs="Calibri" w:eastAsia="Calibri" w:hAnsi="Calibri"/>
        <w:color w:val="808080"/>
        <w:sz w:val="16"/>
        <w:szCs w:val="16"/>
      </w:rPr>
      <w:t xml:space="preserve">Educational Measurement and Evaluation · Week 8: Lecture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E79"/>
      <w:sz w:val="30"/>
      <w:szCs w:val="30"/>
    </w:rPr>
  </w:style>
  <w:style w:type="paragraph" w:styleId="Heading2">
    <w:name w:val="Heading 2"/>
    <w:basedOn w:val="Normal"/>
    <w:next w:val="Normal"/>
    <w:qFormat/>
    <w:pPr>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8: Lecture Notes</dc:title>
  <dc:creator>Emad Adel Fraij</dc:creator>
  <cp:lastModifiedBy>Un-named</cp:lastModifiedBy>
  <cp:revision>1</cp:revision>
  <dcterms:created xsi:type="dcterms:W3CDTF">2026-10-15T04:06:11.186Z</dcterms:created>
  <dcterms:modified xsi:type="dcterms:W3CDTF">2026-10-15T04:06:11.186Z</dcterms:modified>
</cp:coreProperties>
</file>

<file path=docProps/custom.xml><?xml version="1.0" encoding="utf-8"?>
<Properties xmlns="http://schemas.openxmlformats.org/officeDocument/2006/custom-properties" xmlns:vt="http://schemas.openxmlformats.org/officeDocument/2006/docPropsVTypes"/>
</file>