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12 — International Tests: Frameworks, Digital Items and Curriculum Alignment</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between the TIMSS, PISA and PIRLS studies in terms of what they measure, whom they target, and their relationship to the curriculum.</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Read an international assessment framework as a test blueprint at the level of the education system, and link it to the test blueprint they built in Week 6.</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Build an alignment matrix between the Grade 8 curriculum and the topics of the TIMSS 2023 science framework, and compute weighted and unweighted coverage.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Interpret the results of an international study in light of opportunity to learn, so as not to attribute weak performance to students before asking: was the content taught at all?</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Classify TIMSS-style items by domain, topic and cognitive domain, and write a constructed-response item with a scoring guide.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Use Claude to align documents and to classify and draft items, and identify what they must verify themselves.</w:t>
      </w:r>
    </w:p>
    <w:p>
      <w:pPr>
        <w:bidi w:val="false"/>
        <w:spacing w:after="120" w:line="300"/>
        <w:jc w:val="left"/>
      </w:pPr>
      <w:r>
        <w:rPr>
          <w:rFonts w:ascii="Calibri" w:cs="Calibri" w:eastAsia="Calibri" w:hAnsi="Calibri"/>
          <w:sz w:val="22"/>
          <w:szCs w:val="22"/>
        </w:rPr>
        <w:t xml:space="preserve">This week serves course outcome 5, and its product is the curriculum alignment matrix, which is added to the portfolio and prepares for reading results reports in Week 13.</w:t>
      </w:r>
    </w:p>
    <w:p>
      <w:pPr>
        <w:pStyle w:val="Heading1"/>
        <w:bidi w:val="false"/>
        <w:spacing w:after="160" w:before="360"/>
        <w:jc w:val="left"/>
      </w:pPr>
      <w:r>
        <w:rPr>
          <w:rFonts w:ascii="Calibri" w:cs="Calibri" w:eastAsia="Calibri" w:hAnsi="Calibri"/>
          <w:b/>
          <w:bCs/>
          <w:color w:val="1F4E79"/>
          <w:sz w:val="30"/>
          <w:szCs w:val="30"/>
        </w:rPr>
        <w:t xml:space="preserve">1. What are the major international studies, and why do systems take part in them?</w:t>
      </w:r>
    </w:p>
    <w:p>
      <w:pPr>
        <w:bidi w:val="false"/>
        <w:spacing w:after="120" w:line="300"/>
        <w:jc w:val="left"/>
      </w:pPr>
      <w:r>
        <w:rPr>
          <w:rFonts w:ascii="Calibri" w:cs="Calibri" w:eastAsia="Calibri" w:hAnsi="Calibri"/>
          <w:sz w:val="22"/>
          <w:szCs w:val="22"/>
        </w:rPr>
        <w:t xml:space="preserve">The major international studies are assessments administered to representative samples of students in many countries, with the same instruments and standardized procedures, and their results are then published on a common scale. These studies do not give a score to an individual student; they describe the performance of the education system as a whole. The UAE takes part in them, and their results hold an important place in the national education dialogue.</w:t>
      </w:r>
    </w:p>
    <w:p>
      <w:pPr>
        <w:bidi w:val="false"/>
        <w:spacing w:after="120" w:line="300"/>
        <w:jc w:val="left"/>
      </w:pPr>
      <w:r>
        <w:rPr>
          <w:rFonts w:ascii="Calibri" w:cs="Calibri" w:eastAsia="Calibri" w:hAnsi="Calibri"/>
          <w:sz w:val="22"/>
          <w:szCs w:val="22"/>
        </w:rPr>
        <w:t xml:space="preserve">There are three studies the teacher needs to distinguish between: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2"/>
        <w:gridCol w:w="2759"/>
        <w:gridCol w:w="1024"/>
        <w:gridCol w:w="2562"/>
        <w:gridCol w:w="2761"/>
      </w:tblGrid>
      <w:tr>
        <w:trPr>
          <w:cantSplit/>
          <w:tblHeader/>
        </w:trPr>
        <w:tc>
          <w:tcPr>
            <w:tcW w:type="dxa" w:w="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Study</w:t>
            </w:r>
          </w:p>
        </w:tc>
        <w:tc>
          <w:tcPr>
            <w:tcW w:type="dxa" w:w="27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Organization</w:t>
            </w:r>
          </w:p>
        </w:tc>
        <w:tc>
          <w:tcPr>
            <w:tcW w:type="dxa" w:w="1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Whom it targets</w:t>
            </w:r>
          </w:p>
        </w:tc>
        <w:tc>
          <w:tcPr>
            <w:tcW w:type="dxa" w:w="25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measures</w:t>
            </w:r>
          </w:p>
        </w:tc>
        <w:tc>
          <w:tcPr>
            <w:tcW w:type="dxa" w:w="27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Frequency</w:t>
            </w:r>
          </w:p>
        </w:tc>
      </w:tr>
      <w:tr>
        <w:trPr>
          <w:cantSplit/>
        </w:trPr>
        <w:tc>
          <w:tcPr>
            <w:tcW w:type="dxa" w:w="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TIMSS</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International Association for the Evaluation of Educational Achievement (IEA)</w:t>
            </w:r>
          </w:p>
        </w:tc>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Students in Grades 4 and 8</w:t>
            </w:r>
          </w:p>
        </w:tc>
        <w:tc>
          <w:tcPr>
            <w:tcW w:type="dxa" w:w="2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Mathematics and science; it is curriculum-based</w:t>
            </w:r>
          </w:p>
        </w:tc>
        <w:tc>
          <w:tcPr>
            <w:tcW w:type="dxa" w:w="2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Every 4 years</w:t>
            </w:r>
          </w:p>
        </w:tc>
      </w:tr>
      <w:tr>
        <w:trPr>
          <w:cantSplit/>
        </w:trPr>
        <w:tc>
          <w:tcPr>
            <w:tcW w:type="dxa" w:w="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PIRLS</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International Association for the Evaluation of Educational Achievement (IEA)</w:t>
            </w:r>
          </w:p>
        </w:tc>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Students in Grade 4</w:t>
            </w:r>
          </w:p>
        </w:tc>
        <w:tc>
          <w:tcPr>
            <w:tcW w:type="dxa" w:w="2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Reading</w:t>
            </w:r>
          </w:p>
        </w:tc>
        <w:tc>
          <w:tcPr>
            <w:tcW w:type="dxa" w:w="2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Every 5 years</w:t>
            </w:r>
          </w:p>
        </w:tc>
      </w:tr>
      <w:tr>
        <w:trPr>
          <w:cantSplit/>
        </w:trPr>
        <w:tc>
          <w:tcPr>
            <w:tcW w:type="dxa" w:w="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PISA</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Organisation for Economic Co-operation and Development (OECD)</w:t>
            </w:r>
          </w:p>
        </w:tc>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Students aged 15</w:t>
            </w:r>
          </w:p>
        </w:tc>
        <w:tc>
          <w:tcPr>
            <w:tcW w:type="dxa" w:w="2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 reading, mathematics and science in real-life situations</w:t>
            </w:r>
          </w:p>
        </w:tc>
        <w:tc>
          <w:tcPr>
            <w:tcW w:type="dxa" w:w="2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Traditionally every 3 years; its schedule has changed in recent cycles</w:t>
            </w:r>
          </w:p>
        </w:tc>
      </w:tr>
    </w:tbl>
    <w:p>
      <w:pPr>
        <w:spacing w:after="120"/>
      </w:pPr>
    </w:p>
    <w:p>
      <w:pPr>
        <w:bidi w:val="false"/>
        <w:spacing w:after="120" w:line="300"/>
        <w:jc w:val="left"/>
      </w:pPr>
      <w:r>
        <w:rPr>
          <w:rFonts w:ascii="Calibri" w:cs="Calibri" w:eastAsia="Calibri" w:hAnsi="Calibri"/>
          <w:sz w:val="22"/>
          <w:szCs w:val="22"/>
        </w:rPr>
        <w:t xml:space="preserve">The most important difference between TIMSS and PISA for this week: </w:t>
      </w:r>
      <w:r>
        <w:rPr>
          <w:rFonts w:ascii="Calibri" w:cs="Calibri" w:eastAsia="Calibri" w:hAnsi="Calibri"/>
          <w:b/>
          <w:bCs/>
          <w:sz w:val="22"/>
          <w:szCs w:val="22"/>
        </w:rPr>
        <w:t xml:space="preserve">TIMSS starts from curricula.</w:t>
      </w:r>
      <w:r>
        <w:rPr>
          <w:rFonts w:ascii="Calibri" w:cs="Calibri" w:eastAsia="Calibri" w:hAnsi="Calibri"/>
          <w:sz w:val="22"/>
          <w:szCs w:val="22"/>
        </w:rPr>
        <w:t xml:space="preserve"> Its frameworks are built on what participating countries typically teach in Grades 4 and 8, so it is valid to ask of each of its items: was its content taught in our curriculum? PISA, on the other hand, targets an age rather than a grade, and measures the student's ability to apply what they have learned in new situations, without being built on the curriculum of a particular grade.</w:t>
      </w:r>
    </w:p>
    <w:p>
      <w:pPr>
        <w:bidi w:val="false"/>
        <w:spacing w:after="120" w:line="300"/>
        <w:jc w:val="left"/>
      </w:pPr>
      <w:r>
        <w:rPr>
          <w:rFonts w:ascii="Calibri" w:cs="Calibri" w:eastAsia="Calibri" w:hAnsi="Calibri"/>
          <w:b/>
          <w:bCs/>
          <w:sz w:val="22"/>
          <w:szCs w:val="22"/>
        </w:rPr>
        <w:t xml:space="preserve">Why do systems take part?</w:t>
      </w:r>
      <w:r>
        <w:rPr>
          <w:rFonts w:ascii="Calibri" w:cs="Calibri" w:eastAsia="Calibri" w:hAnsi="Calibri"/>
          <w:sz w:val="22"/>
          <w:szCs w:val="22"/>
        </w:rPr>
        <w:t xml:space="preserve"> For clear practical reasons:</w:t>
      </w:r>
    </w:p>
    <w:p>
      <w:pPr>
        <w:pStyle w:val="ListParagraph"/>
        <w:numPr>
          <w:ilvl w:val="0"/>
          <w:numId w:val="3"/>
        </w:numPr>
        <w:bidi w:val="false"/>
        <w:spacing w:after="80" w:line="300"/>
        <w:jc w:val="left"/>
      </w:pPr>
      <w:r>
        <w:rPr>
          <w:rFonts w:ascii="Calibri" w:cs="Calibri" w:eastAsia="Calibri" w:hAnsi="Calibri"/>
          <w:b/>
          <w:bCs/>
          <w:sz w:val="22"/>
          <w:szCs w:val="22"/>
        </w:rPr>
        <w:t xml:space="preserve">An external mirror:</w:t>
      </w:r>
      <w:r>
        <w:rPr>
          <w:rFonts w:ascii="Calibri" w:cs="Calibri" w:eastAsia="Calibri" w:hAnsi="Calibri"/>
          <w:sz w:val="22"/>
          <w:szCs w:val="22"/>
        </w:rPr>
        <w:t xml:space="preserve"> the country learns where its students' performance stands compared with other systems, using instruments it did not make itself.</w:t>
      </w:r>
    </w:p>
    <w:p>
      <w:pPr>
        <w:pStyle w:val="ListParagraph"/>
        <w:numPr>
          <w:ilvl w:val="0"/>
          <w:numId w:val="3"/>
        </w:numPr>
        <w:bidi w:val="false"/>
        <w:spacing w:after="80" w:line="300"/>
        <w:jc w:val="left"/>
      </w:pPr>
      <w:r>
        <w:rPr>
          <w:rFonts w:ascii="Calibri" w:cs="Calibri" w:eastAsia="Calibri" w:hAnsi="Calibri"/>
          <w:b/>
          <w:bCs/>
          <w:sz w:val="22"/>
          <w:szCs w:val="22"/>
        </w:rPr>
        <w:t xml:space="preserve">Trends over time:</w:t>
      </w:r>
      <w:r>
        <w:rPr>
          <w:rFonts w:ascii="Calibri" w:cs="Calibri" w:eastAsia="Calibri" w:hAnsi="Calibri"/>
          <w:sz w:val="22"/>
          <w:szCs w:val="22"/>
        </w:rPr>
        <w:t xml:space="preserve"> the study is repeated with roughly the same framework, so changes from one cycle to the next become visible.</w:t>
      </w:r>
    </w:p>
    <w:p>
      <w:pPr>
        <w:pStyle w:val="ListParagraph"/>
        <w:numPr>
          <w:ilvl w:val="0"/>
          <w:numId w:val="3"/>
        </w:numPr>
        <w:bidi w:val="false"/>
        <w:spacing w:after="80" w:line="300"/>
        <w:jc w:val="left"/>
      </w:pPr>
      <w:r>
        <w:rPr>
          <w:rFonts w:ascii="Calibri" w:cs="Calibri" w:eastAsia="Calibri" w:hAnsi="Calibri"/>
          <w:b/>
          <w:bCs/>
          <w:sz w:val="22"/>
          <w:szCs w:val="22"/>
        </w:rPr>
        <w:t xml:space="preserve">Contextual data:</w:t>
      </w:r>
      <w:r>
        <w:rPr>
          <w:rFonts w:ascii="Calibri" w:cs="Calibri" w:eastAsia="Calibri" w:hAnsi="Calibri"/>
          <w:sz w:val="22"/>
          <w:szCs w:val="22"/>
        </w:rPr>
        <w:t xml:space="preserve"> the studies collect questionnaires from students, teachers and schools, linking performance to learning conditions.</w:t>
      </w:r>
    </w:p>
    <w:p>
      <w:pPr>
        <w:pStyle w:val="ListParagraph"/>
        <w:numPr>
          <w:ilvl w:val="0"/>
          <w:numId w:val="3"/>
        </w:numPr>
        <w:bidi w:val="false"/>
        <w:spacing w:after="80" w:line="300"/>
        <w:jc w:val="left"/>
      </w:pPr>
      <w:r>
        <w:rPr>
          <w:rFonts w:ascii="Calibri" w:cs="Calibri" w:eastAsia="Calibri" w:hAnsi="Calibri"/>
          <w:b/>
          <w:bCs/>
          <w:sz w:val="22"/>
          <w:szCs w:val="22"/>
        </w:rPr>
        <w:t xml:space="preserve">Curriculum review:</w:t>
      </w:r>
      <w:r>
        <w:rPr>
          <w:rFonts w:ascii="Calibri" w:cs="Calibri" w:eastAsia="Calibri" w:hAnsi="Calibri"/>
          <w:sz w:val="22"/>
          <w:szCs w:val="22"/>
        </w:rPr>
        <w:t xml:space="preserve"> comparing the international framework with the national curriculum reveals topics that are missing or come late.</w:t>
      </w:r>
    </w:p>
    <w:p>
      <w:pPr>
        <w:bidi w:val="false"/>
        <w:spacing w:after="120" w:line="300"/>
        <w:jc w:val="left"/>
      </w:pPr>
      <w:r>
        <w:rPr>
          <w:rFonts w:ascii="Calibri" w:cs="Calibri" w:eastAsia="Calibri" w:hAnsi="Calibri"/>
          <w:sz w:val="22"/>
          <w:szCs w:val="22"/>
        </w:rPr>
        <w:t xml:space="preserve">Caution is needed on the other side: an international study does not measure everything the national curriculum aspires to, and the ranking of countries is not an end in itself. We will return to reading the reports and their limits in Week 13.</w:t>
      </w:r>
    </w:p>
    <w:p>
      <w:pPr>
        <w:pStyle w:val="Heading1"/>
        <w:bidi w:val="false"/>
        <w:spacing w:after="160" w:before="360"/>
        <w:jc w:val="left"/>
      </w:pPr>
      <w:r>
        <w:rPr>
          <w:rFonts w:ascii="Calibri" w:cs="Calibri" w:eastAsia="Calibri" w:hAnsi="Calibri"/>
          <w:b/>
          <w:bCs/>
          <w:color w:val="1F4E79"/>
          <w:sz w:val="30"/>
          <w:szCs w:val="30"/>
        </w:rPr>
        <w:t xml:space="preserve">2. The framework: a test blueprint at the system level</w:t>
      </w:r>
    </w:p>
    <w:p>
      <w:pPr>
        <w:bidi w:val="false"/>
        <w:spacing w:after="120" w:line="300"/>
        <w:jc w:val="left"/>
      </w:pPr>
      <w:r>
        <w:rPr>
          <w:rFonts w:ascii="Calibri" w:cs="Calibri" w:eastAsia="Calibri" w:hAnsi="Calibri"/>
          <w:sz w:val="22"/>
          <w:szCs w:val="22"/>
        </w:rPr>
        <w:t xml:space="preserve">In Week 6 you built a test blueprint for a classroom test: outcomes in the rows, cognitive levels in the columns, and weights that determine the number of points in each cell. An </w:t>
      </w:r>
      <w:r>
        <w:rPr>
          <w:rFonts w:ascii="Calibri" w:cs="Calibri" w:eastAsia="Calibri" w:hAnsi="Calibri"/>
          <w:b/>
          <w:bCs/>
          <w:sz w:val="22"/>
          <w:szCs w:val="22"/>
        </w:rPr>
        <w:t xml:space="preserve">assessment framework</w:t>
      </w:r>
      <w:r>
        <w:rPr>
          <w:rFonts w:ascii="Calibri" w:cs="Calibri" w:eastAsia="Calibri" w:hAnsi="Calibri"/>
          <w:sz w:val="22"/>
          <w:szCs w:val="22"/>
        </w:rPr>
        <w:t xml:space="preserve"> is the same thing on a larger scale. It specifies what is measured, with what weight and at what level of thinking, and then items are written to fill this framework.</w:t>
      </w:r>
    </w:p>
    <w:p>
      <w:pPr>
        <w:bidi w:val="false"/>
        <w:spacing w:after="120" w:line="300"/>
        <w:jc w:val="left"/>
      </w:pPr>
      <w:r>
        <w:rPr>
          <w:rFonts w:ascii="Calibri" w:cs="Calibri" w:eastAsia="Calibri" w:hAnsi="Calibri"/>
          <w:sz w:val="22"/>
          <w:szCs w:val="22"/>
        </w:rPr>
        <w:t xml:space="preserve">The TIMSS 2023 science framework consists of two dimensions, as in your blueprint:</w:t>
      </w:r>
    </w:p>
    <w:p>
      <w:pPr>
        <w:pStyle w:val="ListParagraph"/>
        <w:numPr>
          <w:ilvl w:val="0"/>
          <w:numId w:val="3"/>
        </w:numPr>
        <w:bidi w:val="false"/>
        <w:spacing w:after="80" w:line="300"/>
        <w:jc w:val="left"/>
      </w:pPr>
      <w:r>
        <w:rPr>
          <w:rFonts w:ascii="Calibri" w:cs="Calibri" w:eastAsia="Calibri" w:hAnsi="Calibri"/>
          <w:b/>
          <w:bCs/>
          <w:sz w:val="22"/>
          <w:szCs w:val="22"/>
        </w:rPr>
        <w:t xml:space="preserve">The content dimension:</w:t>
      </w:r>
      <w:r>
        <w:rPr>
          <w:rFonts w:ascii="Calibri" w:cs="Calibri" w:eastAsia="Calibri" w:hAnsi="Calibri"/>
          <w:sz w:val="22"/>
          <w:szCs w:val="22"/>
        </w:rPr>
        <w:t xml:space="preserve"> the science domains and their topics, that is, what the student knows.</w:t>
      </w:r>
    </w:p>
    <w:p>
      <w:pPr>
        <w:pStyle w:val="ListParagraph"/>
        <w:numPr>
          <w:ilvl w:val="0"/>
          <w:numId w:val="3"/>
        </w:numPr>
        <w:bidi w:val="false"/>
        <w:spacing w:after="80" w:line="300"/>
        <w:jc w:val="left"/>
      </w:pPr>
      <w:r>
        <w:rPr>
          <w:rFonts w:ascii="Calibri" w:cs="Calibri" w:eastAsia="Calibri" w:hAnsi="Calibri"/>
          <w:b/>
          <w:bCs/>
          <w:sz w:val="22"/>
          <w:szCs w:val="22"/>
        </w:rPr>
        <w:t xml:space="preserve">The cognitive dimension:</w:t>
      </w:r>
      <w:r>
        <w:rPr>
          <w:rFonts w:ascii="Calibri" w:cs="Calibri" w:eastAsia="Calibri" w:hAnsi="Calibri"/>
          <w:sz w:val="22"/>
          <w:szCs w:val="22"/>
        </w:rPr>
        <w:t xml:space="preserve"> the type of thinking required, that is, what the student does with what they know.</w:t>
      </w:r>
    </w:p>
    <w:p>
      <w:pPr>
        <w:pStyle w:val="Heading2"/>
        <w:bidi w:val="false"/>
        <w:spacing w:after="120" w:before="240"/>
        <w:jc w:val="left"/>
      </w:pPr>
      <w:r>
        <w:rPr>
          <w:rFonts w:ascii="Calibri" w:cs="Calibri" w:eastAsia="Calibri" w:hAnsi="Calibri"/>
          <w:b/>
          <w:bCs/>
          <w:color w:val="2E75B6"/>
          <w:sz w:val="25"/>
          <w:szCs w:val="25"/>
        </w:rPr>
        <w:t xml:space="preserve">2.1 Content domains for Grade 8</w:t>
      </w:r>
    </w:p>
    <w:p>
      <w:pPr>
        <w:bidi w:val="false"/>
        <w:spacing w:after="120" w:line="300"/>
        <w:jc w:val="left"/>
      </w:pPr>
      <w:r>
        <w:rPr>
          <w:rFonts w:ascii="Calibri" w:cs="Calibri" w:eastAsia="Calibri" w:hAnsi="Calibri"/>
          <w:sz w:val="22"/>
          <w:szCs w:val="22"/>
        </w:rPr>
        <w:t xml:space="preserve">The TIMSS 2023 framework (Mullis and colleagues, 2021) specified four domains with target weights for Grade 8 science, comprising 18 topics: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7"/>
        <w:gridCol w:w="1252"/>
        <w:gridCol w:w="1285"/>
        <w:gridCol w:w="5624"/>
      </w:tblGrid>
      <w:tr>
        <w:trPr>
          <w:cantSplit/>
          <w:tblHeader/>
        </w:trPr>
        <w:tc>
          <w:tcPr>
            <w:tcW w:type="dxa" w:w="14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Domain</w:t>
            </w:r>
          </w:p>
        </w:tc>
        <w:tc>
          <w:tcPr>
            <w:tcW w:type="dxa" w:w="12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Target weight</w:t>
            </w:r>
          </w:p>
        </w:tc>
        <w:tc>
          <w:tcPr>
            <w:tcW w:type="dxa" w:w="12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topics</w:t>
            </w:r>
          </w:p>
        </w:tc>
        <w:tc>
          <w:tcPr>
            <w:tcW w:type="dxa" w:w="5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Topics</w:t>
            </w:r>
          </w:p>
        </w:tc>
      </w:tr>
      <w:tr>
        <w:trPr>
          <w:cantSplit/>
        </w:trPr>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Biology</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5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Characteristics and Life Processes of Organisms; Cells and Their Functions; Life Cycles, Reproduction, and Heredity; Diversity, Adaptation, and Natural Selection; Ecosystems; Human Health</w:t>
            </w:r>
          </w:p>
        </w:tc>
      </w:tr>
      <w:tr>
        <w:trPr>
          <w:cantSplit/>
        </w:trPr>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Chemistry</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5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Composition of Matter; Properties of Matter; Chemical Change</w:t>
            </w:r>
          </w:p>
        </w:tc>
      </w:tr>
      <w:tr>
        <w:trPr>
          <w:cantSplit/>
        </w:trPr>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Physics</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25%</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5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Physical States and Changes in Matter; Energy Transformation and Transfer; Light and Sound; Electricity and Magnetism; Motion and Forces</w:t>
            </w:r>
          </w:p>
        </w:tc>
      </w:tr>
      <w:tr>
        <w:trPr>
          <w:cantSplit/>
        </w:trPr>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Earth Science</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5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Earth's Structure and Physical Features; Earth's Processes, Cycles, and History; Earth's Resources, Their Use, and Conservation; Earth in the Solar System and the Universe</w:t>
            </w:r>
          </w:p>
        </w:tc>
      </w:tr>
    </w:tbl>
    <w:p>
      <w:pPr>
        <w:spacing w:after="120"/>
      </w:pPr>
    </w:p>
    <w:p>
      <w:pPr>
        <w:bidi w:val="false"/>
        <w:spacing w:after="120" w:line="300"/>
        <w:jc w:val="left"/>
      </w:pPr>
      <w:r>
        <w:rPr>
          <w:rFonts w:ascii="Calibri" w:cs="Calibri" w:eastAsia="Calibri" w:hAnsi="Calibri"/>
          <w:sz w:val="22"/>
          <w:szCs w:val="22"/>
        </w:rPr>
        <w:t xml:space="preserve">The topic names here and in the Excel file follow the wording of the framework. For any official use, refer to the published text of the framework.</w:t>
      </w:r>
    </w:p>
    <w:p>
      <w:pPr>
        <w:bidi w:val="false"/>
        <w:spacing w:after="120" w:line="300"/>
        <w:jc w:val="left"/>
      </w:pPr>
      <w:r>
        <w:rPr>
          <w:rFonts w:ascii="Calibri" w:cs="Calibri" w:eastAsia="Calibri" w:hAnsi="Calibri"/>
          <w:sz w:val="22"/>
          <w:szCs w:val="22"/>
        </w:rPr>
        <w:t xml:space="preserve">Note that the weights are for the domains, not the topics. The framework does not say that each topic within Biology takes the same weight, so in our calculations we will assume that the topics within a domain are equal, and this is a simplification we must state.</w:t>
      </w:r>
    </w:p>
    <w:p>
      <w:pPr>
        <w:pStyle w:val="Heading2"/>
        <w:bidi w:val="false"/>
        <w:spacing w:after="120" w:before="240"/>
        <w:jc w:val="left"/>
      </w:pPr>
      <w:r>
        <w:rPr>
          <w:rFonts w:ascii="Calibri" w:cs="Calibri" w:eastAsia="Calibri" w:hAnsi="Calibri"/>
          <w:b/>
          <w:bCs/>
          <w:color w:val="2E75B6"/>
          <w:sz w:val="25"/>
          <w:szCs w:val="25"/>
        </w:rPr>
        <w:t xml:space="preserve">2.2 Cognitive domains</w:t>
      </w:r>
    </w:p>
    <w:p>
      <w:pPr>
        <w:bidi w:val="false"/>
        <w:spacing w:after="120" w:line="300"/>
        <w:jc w:val="left"/>
      </w:pPr>
      <w:r>
        <w:rPr>
          <w:rFonts w:ascii="Calibri" w:cs="Calibri" w:eastAsia="Calibri" w:hAnsi="Calibri"/>
          <w:sz w:val="22"/>
          <w:szCs w:val="22"/>
        </w:rPr>
        <w:t xml:space="preserve">The framework classifies each item into one of three cognitive domains: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5674"/>
        <w:gridCol w:w="1094"/>
        <w:gridCol w:w="1095"/>
      </w:tblGrid>
      <w:tr>
        <w:trPr>
          <w:cantSplit/>
          <w:tblHeader/>
        </w:trPr>
        <w:tc>
          <w:tcPr>
            <w:tcW w:type="dxa" w:w="17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Cognitive domain</w:t>
            </w:r>
          </w:p>
        </w:tc>
        <w:tc>
          <w:tcPr>
            <w:tcW w:type="dxa" w:w="56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requires of the student</w:t>
            </w:r>
          </w:p>
        </w:tc>
        <w:tc>
          <w:tcPr>
            <w:tcW w:type="dxa" w:w="10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Grade 8</w:t>
            </w:r>
          </w:p>
        </w:tc>
        <w:tc>
          <w:tcPr>
            <w:tcW w:type="dxa" w:w="10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Grade 4</w:t>
            </w:r>
          </w:p>
        </w:tc>
      </w:tr>
      <w:tr>
        <w:trPr>
          <w:cantSplit/>
        </w:trPr>
        <w:tc>
          <w:tcPr>
            <w:tcW w:type="dxa" w:w="1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w:t>
            </w:r>
          </w:p>
        </w:tc>
        <w:tc>
          <w:tcPr>
            <w:tcW w:type="dxa" w:w="5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Recalling, recognizing and describing facts and concepts, and giving examples of them</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w:t>
            </w: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40%</w:t>
            </w:r>
          </w:p>
        </w:tc>
      </w:tr>
      <w:tr>
        <w:trPr>
          <w:cantSplit/>
        </w:trPr>
        <w:tc>
          <w:tcPr>
            <w:tcW w:type="dxa" w:w="1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w:t>
            </w:r>
          </w:p>
        </w:tc>
        <w:tc>
          <w:tcPr>
            <w:tcW w:type="dxa" w:w="5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Using knowledge in familiar situations: comparing and classifying, using models, interpreting information, and explaining with a studied concept</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w:t>
            </w: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40%</w:t>
            </w:r>
          </w:p>
        </w:tc>
      </w:tr>
      <w:tr>
        <w:trPr>
          <w:cantSplit/>
        </w:trPr>
        <w:tc>
          <w:tcPr>
            <w:tcW w:type="dxa" w:w="1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w:t>
            </w:r>
          </w:p>
        </w:tc>
        <w:tc>
          <w:tcPr>
            <w:tcW w:type="dxa" w:w="5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Analysing new or complex situations: formulating questions and hypotheses, designing investigations, evaluating evidence, drawing conclusions, generalizing and justifying</w:t>
            </w:r>
          </w:p>
        </w:tc>
        <w:tc>
          <w:tcPr>
            <w:tcW w:type="dxa" w:w="10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w:t>
            </w: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w:t>
            </w:r>
          </w:p>
        </w:tc>
      </w:tr>
    </w:tbl>
    <w:p>
      <w:pPr>
        <w:spacing w:after="120"/>
      </w:pPr>
    </w:p>
    <w:p>
      <w:pPr>
        <w:bidi w:val="false"/>
        <w:spacing w:after="120" w:line="300"/>
        <w:jc w:val="left"/>
      </w:pPr>
      <w:r>
        <w:rPr>
          <w:rFonts w:ascii="Calibri" w:cs="Calibri" w:eastAsia="Calibri" w:hAnsi="Calibri"/>
          <w:sz w:val="22"/>
          <w:szCs w:val="22"/>
        </w:rPr>
        <w:t xml:space="preserve">The weight of Reasoning rises from 20% in Grade 4 to 30% in Grade 8, which makes sense as students develop.</w:t>
      </w:r>
    </w:p>
    <w:p>
      <w:pPr>
        <w:bidi w:val="false"/>
        <w:spacing w:after="120" w:line="300"/>
        <w:jc w:val="left"/>
      </w:pPr>
      <w:r>
        <w:rPr>
          <w:rFonts w:ascii="Calibri" w:cs="Calibri" w:eastAsia="Calibri" w:hAnsi="Calibri"/>
          <w:b/>
          <w:bCs/>
          <w:sz w:val="22"/>
          <w:szCs w:val="22"/>
        </w:rPr>
        <w:t xml:space="preserve">Link to Week 6:</w:t>
      </w:r>
      <w:r>
        <w:rPr>
          <w:rFonts w:ascii="Calibri" w:cs="Calibri" w:eastAsia="Calibri" w:hAnsi="Calibri"/>
          <w:sz w:val="22"/>
          <w:szCs w:val="22"/>
        </w:rPr>
        <w:t xml:space="preserve"> the teacher in the worked example there adopted a distribution of their own choosing: 35%, 40% and 25%. This distribution is </w:t>
      </w:r>
      <w:r>
        <w:rPr>
          <w:rFonts w:ascii="Calibri" w:cs="Calibri" w:eastAsia="Calibri" w:hAnsi="Calibri"/>
          <w:b/>
          <w:bCs/>
          <w:sz w:val="22"/>
          <w:szCs w:val="22"/>
        </w:rPr>
        <w:t xml:space="preserve">not</w:t>
      </w:r>
      <w:r>
        <w:rPr>
          <w:rFonts w:ascii="Calibri" w:cs="Calibri" w:eastAsia="Calibri" w:hAnsi="Calibri"/>
          <w:sz w:val="22"/>
          <w:szCs w:val="22"/>
        </w:rPr>
        <w:t xml:space="preserve"> the TIMSS distribution, but a teacher's decision justified by their curriculum and students. The TIMSS framework is a reference for comparison, not a binding rule for the classroom test.</w:t>
      </w:r>
    </w:p>
    <w:p>
      <w:pPr>
        <w:bidi w:val="false"/>
        <w:spacing w:after="120" w:line="300"/>
        <w:jc w:val="left"/>
      </w:pPr>
      <w:r>
        <w:rPr>
          <w:rFonts w:ascii="Calibri" w:cs="Calibri" w:eastAsia="Calibri" w:hAnsi="Calibri"/>
          <w:b/>
          <w:bCs/>
          <w:sz w:val="22"/>
          <w:szCs w:val="22"/>
        </w:rPr>
        <w:t xml:space="preserve">The difference between the framework and your blueprint:</w:t>
      </w:r>
      <w:r>
        <w:rPr>
          <w:rFonts w:ascii="Calibri" w:cs="Calibri" w:eastAsia="Calibri" w:hAnsi="Calibri"/>
          <w:sz w:val="22"/>
          <w:szCs w:val="22"/>
        </w:rPr>
        <w:t xml:space="preserve"> your blueprint builds a single test of 20 or 30 items. The framework, by contrast, builds a large bank of items distributed across multiple booklets, and each student answers only part of them. That is why the study can cover the eighteen topics with their weights without making any student's test longer.</w:t>
      </w:r>
    </w:p>
    <w:p>
      <w:pPr>
        <w:pStyle w:val="Heading1"/>
        <w:bidi w:val="false"/>
        <w:spacing w:after="160" w:before="360"/>
        <w:jc w:val="left"/>
      </w:pPr>
      <w:r>
        <w:rPr>
          <w:rFonts w:ascii="Calibri" w:cs="Calibri" w:eastAsia="Calibri" w:hAnsi="Calibri"/>
          <w:b/>
          <w:bCs/>
          <w:color w:val="1F4E79"/>
          <w:sz w:val="30"/>
          <w:szCs w:val="30"/>
        </w:rPr>
        <w:t xml:space="preserve">3. Item formats in the international studies</w:t>
      </w:r>
    </w:p>
    <w:p>
      <w:pPr>
        <w:bidi w:val="false"/>
        <w:spacing w:after="120" w:line="300"/>
        <w:jc w:val="left"/>
      </w:pPr>
      <w:r>
        <w:rPr>
          <w:rFonts w:ascii="Calibri" w:cs="Calibri" w:eastAsia="Calibri" w:hAnsi="Calibri"/>
          <w:sz w:val="22"/>
          <w:szCs w:val="22"/>
        </w:rPr>
        <w:t xml:space="preserve">TIMSS uses three main formats:</w:t>
      </w:r>
    </w:p>
    <w:p>
      <w:pPr>
        <w:pStyle w:val="ListParagraph"/>
        <w:numPr>
          <w:ilvl w:val="0"/>
          <w:numId w:val="3"/>
        </w:numPr>
        <w:bidi w:val="false"/>
        <w:spacing w:after="80" w:line="300"/>
        <w:jc w:val="left"/>
      </w:pPr>
      <w:r>
        <w:rPr>
          <w:rFonts w:ascii="Calibri" w:cs="Calibri" w:eastAsia="Calibri" w:hAnsi="Calibri"/>
          <w:b/>
          <w:bCs/>
          <w:sz w:val="22"/>
          <w:szCs w:val="22"/>
        </w:rPr>
        <w:t xml:space="preserve">Multiple choice:</w:t>
      </w:r>
      <w:r>
        <w:rPr>
          <w:rFonts w:ascii="Calibri" w:cs="Calibri" w:eastAsia="Calibri" w:hAnsi="Calibri"/>
          <w:sz w:val="22"/>
          <w:szCs w:val="22"/>
        </w:rPr>
        <w:t xml:space="preserve"> an item usually with four options. Economical and quick to score, and suitable for all three cognitive domains if written well.</w:t>
      </w:r>
    </w:p>
    <w:p>
      <w:pPr>
        <w:pStyle w:val="ListParagraph"/>
        <w:numPr>
          <w:ilvl w:val="0"/>
          <w:numId w:val="3"/>
        </w:numPr>
        <w:bidi w:val="false"/>
        <w:spacing w:after="80" w:line="300"/>
        <w:jc w:val="left"/>
      </w:pPr>
      <w:r>
        <w:rPr>
          <w:rFonts w:ascii="Calibri" w:cs="Calibri" w:eastAsia="Calibri" w:hAnsi="Calibri"/>
          <w:b/>
          <w:bCs/>
          <w:sz w:val="22"/>
          <w:szCs w:val="22"/>
        </w:rPr>
        <w:t xml:space="preserve">Constructed response:</w:t>
      </w:r>
      <w:r>
        <w:rPr>
          <w:rFonts w:ascii="Calibri" w:cs="Calibri" w:eastAsia="Calibri" w:hAnsi="Calibri"/>
          <w:sz w:val="22"/>
          <w:szCs w:val="22"/>
        </w:rPr>
        <w:t xml:space="preserve"> the student writes their answer, from a number or a sentence to a full explanation. Each such item is accompanied by a </w:t>
      </w:r>
      <w:r>
        <w:rPr>
          <w:rFonts w:ascii="Calibri" w:cs="Calibri" w:eastAsia="Calibri" w:hAnsi="Calibri"/>
          <w:b/>
          <w:bCs/>
          <w:sz w:val="22"/>
          <w:szCs w:val="22"/>
        </w:rPr>
        <w:t xml:space="preserve">scoring guide</w:t>
      </w:r>
      <w:r>
        <w:rPr>
          <w:rFonts w:ascii="Calibri" w:cs="Calibri" w:eastAsia="Calibri" w:hAnsi="Calibri"/>
          <w:sz w:val="22"/>
          <w:szCs w:val="22"/>
        </w:rPr>
        <w:t xml:space="preserve"> that specifies what is accepted and what is not, with examples from real responses, so that scorers in all countries score them in the same way. TIMSS uses two-digit codes in its scoring guides: the first for the score and the second for the type of response.</w:t>
      </w:r>
    </w:p>
    <w:p>
      <w:pPr>
        <w:pStyle w:val="ListParagraph"/>
        <w:numPr>
          <w:ilvl w:val="0"/>
          <w:numId w:val="3"/>
        </w:numPr>
        <w:bidi w:val="false"/>
        <w:spacing w:after="80" w:line="300"/>
        <w:jc w:val="left"/>
      </w:pPr>
      <w:r>
        <w:rPr>
          <w:rFonts w:ascii="Calibri" w:cs="Calibri" w:eastAsia="Calibri" w:hAnsi="Calibri"/>
          <w:b/>
          <w:bCs/>
          <w:sz w:val="22"/>
          <w:szCs w:val="22"/>
        </w:rPr>
        <w:t xml:space="preserve">Digital interactive items:</w:t>
      </w:r>
      <w:r>
        <w:rPr>
          <w:rFonts w:ascii="Calibri" w:cs="Calibri" w:eastAsia="Calibri" w:hAnsi="Calibri"/>
          <w:sz w:val="22"/>
          <w:szCs w:val="22"/>
        </w:rPr>
        <w:t xml:space="preserve"> items in which the student interacts with the screen: dragging and ordering, choosing from a list, or changing a value in a simulation and observing its effect.</w:t>
      </w:r>
    </w:p>
    <w:p>
      <w:pPr>
        <w:bidi w:val="false"/>
        <w:spacing w:after="120" w:line="300"/>
        <w:jc w:val="left"/>
      </w:pPr>
      <w:r>
        <w:rPr>
          <w:rFonts w:ascii="Calibri" w:cs="Calibri" w:eastAsia="Calibri" w:hAnsi="Calibri"/>
          <w:b/>
          <w:bCs/>
          <w:sz w:val="22"/>
          <w:szCs w:val="22"/>
        </w:rPr>
        <w:t xml:space="preserve">The digital transition:</w:t>
      </w:r>
      <w:r>
        <w:rPr>
          <w:rFonts w:ascii="Calibri" w:cs="Calibri" w:eastAsia="Calibri" w:hAnsi="Calibri"/>
          <w:sz w:val="22"/>
          <w:szCs w:val="22"/>
        </w:rPr>
        <w:t xml:space="preserve"> TIMSS 2023 completed its move to digital assessment, and included </w:t>
      </w:r>
      <w:r>
        <w:rPr>
          <w:rFonts w:ascii="Calibri" w:cs="Calibri" w:eastAsia="Calibri" w:hAnsi="Calibri"/>
          <w:b/>
          <w:bCs/>
          <w:sz w:val="22"/>
          <w:szCs w:val="22"/>
        </w:rPr>
        <w:t xml:space="preserve">problem solving and inquiry tasks</w:t>
      </w:r>
      <w:r>
        <w:rPr>
          <w:rFonts w:ascii="Calibri" w:cs="Calibri" w:eastAsia="Calibri" w:hAnsi="Calibri"/>
          <w:sz w:val="22"/>
          <w:szCs w:val="22"/>
        </w:rPr>
        <w:t xml:space="preserve">, which are longer than a regular item, scenario-based, and take the student through several connected steps within a single situation (von Davier and colleagues, 2024).</w:t>
      </w:r>
    </w:p>
    <w:p>
      <w:pPr>
        <w:bidi w:val="false"/>
        <w:spacing w:after="120" w:line="300"/>
        <w:jc w:val="left"/>
      </w:pPr>
      <w:r>
        <w:rPr>
          <w:rFonts w:ascii="Calibri" w:cs="Calibri" w:eastAsia="Calibri" w:hAnsi="Calibri"/>
          <w:b/>
          <w:bCs/>
          <w:sz w:val="22"/>
          <w:szCs w:val="22"/>
        </w:rPr>
        <w:t xml:space="preserve">What does this mean for the teacher?</w:t>
      </w:r>
      <w:r>
        <w:rPr>
          <w:rFonts w:ascii="Calibri" w:cs="Calibri" w:eastAsia="Calibri" w:hAnsi="Calibri"/>
          <w:sz w:val="22"/>
          <w:szCs w:val="22"/>
        </w:rPr>
        <w:t xml:space="preserve"> The digital format is not a value in itself. Drag-and-drop that replaces choosing an option measures nothing new. A simulation in which the student controls one variable and holds the others constant, however, measures an inquiry skill that does not show well on paper. The rule: </w:t>
      </w:r>
      <w:r>
        <w:rPr>
          <w:rFonts w:ascii="Calibri" w:cs="Calibri" w:eastAsia="Calibri" w:hAnsi="Calibri"/>
          <w:b/>
          <w:bCs/>
          <w:sz w:val="22"/>
          <w:szCs w:val="22"/>
        </w:rPr>
        <w:t xml:space="preserve">digital interactivity is added when it adds measurement value</w:t>
      </w:r>
      <w:r>
        <w:rPr>
          <w:rFonts w:ascii="Calibri" w:cs="Calibri" w:eastAsia="Calibri" w:hAnsi="Calibri"/>
          <w:sz w:val="22"/>
          <w:szCs w:val="22"/>
        </w:rPr>
        <w:t xml:space="preserve">, not when it decorates the item.</w:t>
      </w:r>
    </w:p>
    <w:p>
      <w:pPr>
        <w:pStyle w:val="Heading1"/>
        <w:bidi w:val="false"/>
        <w:spacing w:after="160" w:before="360"/>
        <w:jc w:val="left"/>
      </w:pPr>
      <w:r>
        <w:rPr>
          <w:rFonts w:ascii="Calibri" w:cs="Calibri" w:eastAsia="Calibri" w:hAnsi="Calibri"/>
          <w:b/>
          <w:bCs/>
          <w:color w:val="1F4E79"/>
          <w:sz w:val="30"/>
          <w:szCs w:val="30"/>
        </w:rPr>
        <w:t xml:space="preserve">4. Opportunity to learn and curriculum alignment</w:t>
      </w:r>
    </w:p>
    <w:p>
      <w:pPr>
        <w:pStyle w:val="Heading2"/>
        <w:bidi w:val="false"/>
        <w:spacing w:after="120" w:before="240"/>
        <w:jc w:val="left"/>
      </w:pPr>
      <w:r>
        <w:rPr>
          <w:rFonts w:ascii="Calibri" w:cs="Calibri" w:eastAsia="Calibri" w:hAnsi="Calibri"/>
          <w:b/>
          <w:bCs/>
          <w:color w:val="2E75B6"/>
          <w:sz w:val="25"/>
          <w:szCs w:val="25"/>
        </w:rPr>
        <w:t xml:space="preserve">4.1 Three levels of the curriculum</w:t>
      </w:r>
    </w:p>
    <w:p>
      <w:pPr>
        <w:bidi w:val="false"/>
        <w:spacing w:after="120" w:line="300"/>
        <w:jc w:val="left"/>
      </w:pPr>
      <w:r>
        <w:rPr>
          <w:rFonts w:ascii="Calibri" w:cs="Calibri" w:eastAsia="Calibri" w:hAnsi="Calibri"/>
          <w:sz w:val="22"/>
          <w:szCs w:val="22"/>
        </w:rPr>
        <w:t xml:space="preserve">TIMSS rests on a well-known distinction between three levels of the curriculum:</w:t>
      </w:r>
    </w:p>
    <w:p>
      <w:pPr>
        <w:pStyle w:val="ListParagraph"/>
        <w:numPr>
          <w:ilvl w:val="0"/>
          <w:numId w:val="3"/>
        </w:numPr>
        <w:bidi w:val="false"/>
        <w:spacing w:after="80" w:line="300"/>
        <w:jc w:val="left"/>
      </w:pPr>
      <w:r>
        <w:rPr>
          <w:rFonts w:ascii="Calibri" w:cs="Calibri" w:eastAsia="Calibri" w:hAnsi="Calibri"/>
          <w:b/>
          <w:bCs/>
          <w:sz w:val="22"/>
          <w:szCs w:val="22"/>
        </w:rPr>
        <w:t xml:space="preserve">The intended curriculum:</w:t>
      </w:r>
      <w:r>
        <w:rPr>
          <w:rFonts w:ascii="Calibri" w:cs="Calibri" w:eastAsia="Calibri" w:hAnsi="Calibri"/>
          <w:sz w:val="22"/>
          <w:szCs w:val="22"/>
        </w:rPr>
        <w:t xml:space="preserve"> what the official documents state that students should learn.</w:t>
      </w:r>
    </w:p>
    <w:p>
      <w:pPr>
        <w:pStyle w:val="ListParagraph"/>
        <w:numPr>
          <w:ilvl w:val="0"/>
          <w:numId w:val="3"/>
        </w:numPr>
        <w:bidi w:val="false"/>
        <w:spacing w:after="80" w:line="300"/>
        <w:jc w:val="left"/>
      </w:pPr>
      <w:r>
        <w:rPr>
          <w:rFonts w:ascii="Calibri" w:cs="Calibri" w:eastAsia="Calibri" w:hAnsi="Calibri"/>
          <w:b/>
          <w:bCs/>
          <w:sz w:val="22"/>
          <w:szCs w:val="22"/>
        </w:rPr>
        <w:t xml:space="preserve">The implemented curriculum:</w:t>
      </w:r>
      <w:r>
        <w:rPr>
          <w:rFonts w:ascii="Calibri" w:cs="Calibri" w:eastAsia="Calibri" w:hAnsi="Calibri"/>
          <w:sz w:val="22"/>
          <w:szCs w:val="22"/>
        </w:rPr>
        <w:t xml:space="preserve"> what is actually taught in classrooms.</w:t>
      </w:r>
    </w:p>
    <w:p>
      <w:pPr>
        <w:pStyle w:val="ListParagraph"/>
        <w:numPr>
          <w:ilvl w:val="0"/>
          <w:numId w:val="3"/>
        </w:numPr>
        <w:bidi w:val="false"/>
        <w:spacing w:after="80" w:line="300"/>
        <w:jc w:val="left"/>
      </w:pPr>
      <w:r>
        <w:rPr>
          <w:rFonts w:ascii="Calibri" w:cs="Calibri" w:eastAsia="Calibri" w:hAnsi="Calibri"/>
          <w:b/>
          <w:bCs/>
          <w:sz w:val="22"/>
          <w:szCs w:val="22"/>
        </w:rPr>
        <w:t xml:space="preserve">The attained curriculum:</w:t>
      </w:r>
      <w:r>
        <w:rPr>
          <w:rFonts w:ascii="Calibri" w:cs="Calibri" w:eastAsia="Calibri" w:hAnsi="Calibri"/>
          <w:sz w:val="22"/>
          <w:szCs w:val="22"/>
        </w:rPr>
        <w:t xml:space="preserve"> what students have actually learned, as shown in their performance.</w:t>
      </w:r>
    </w:p>
    <w:p>
      <w:pPr>
        <w:bidi w:val="false"/>
        <w:spacing w:after="120" w:line="300"/>
        <w:jc w:val="left"/>
      </w:pPr>
      <w:r>
        <w:rPr>
          <w:rFonts w:ascii="Calibri" w:cs="Calibri" w:eastAsia="Calibri" w:hAnsi="Calibri"/>
          <w:sz w:val="22"/>
          <w:szCs w:val="22"/>
        </w:rPr>
        <w:t xml:space="preserve">The gap between the three levels is natural. A topic may be in the document and not reach the classroom for lack of time, and a topic may be taught and not learned.</w:t>
      </w:r>
    </w:p>
    <w:p>
      <w:pPr>
        <w:pStyle w:val="Heading2"/>
        <w:bidi w:val="false"/>
        <w:spacing w:after="120" w:before="240"/>
        <w:jc w:val="left"/>
      </w:pPr>
      <w:r>
        <w:rPr>
          <w:rFonts w:ascii="Calibri" w:cs="Calibri" w:eastAsia="Calibri" w:hAnsi="Calibri"/>
          <w:b/>
          <w:bCs/>
          <w:color w:val="2E75B6"/>
          <w:sz w:val="25"/>
          <w:szCs w:val="25"/>
        </w:rPr>
        <w:t xml:space="preserve">4.2 Opportunity to learn</w:t>
      </w:r>
    </w:p>
    <w:p>
      <w:pPr>
        <w:bidi w:val="false"/>
        <w:spacing w:after="120" w:line="300"/>
        <w:jc w:val="left"/>
      </w:pPr>
      <w:r>
        <w:rPr>
          <w:rFonts w:ascii="Calibri" w:cs="Calibri" w:eastAsia="Calibri" w:hAnsi="Calibri"/>
          <w:b/>
          <w:bCs/>
          <w:sz w:val="22"/>
          <w:szCs w:val="22"/>
        </w:rPr>
        <w:t xml:space="preserve">Opportunity to learn</w:t>
      </w:r>
      <w:r>
        <w:rPr>
          <w:rFonts w:ascii="Calibri" w:cs="Calibri" w:eastAsia="Calibri" w:hAnsi="Calibri"/>
          <w:sz w:val="22"/>
          <w:szCs w:val="22"/>
        </w:rPr>
        <w:t xml:space="preserve"> is a simple question: was the student given the chance to learn this content before being tested on it? If a topic was not taught before the test, weak performance on it indicates neither weak students nor weak teaching, but the absence of opportunity.</w:t>
      </w:r>
    </w:p>
    <w:p>
      <w:pPr>
        <w:bidi w:val="false"/>
        <w:spacing w:after="120" w:line="300"/>
        <w:jc w:val="left"/>
      </w:pPr>
      <w:r>
        <w:rPr>
          <w:rFonts w:ascii="Calibri" w:cs="Calibri" w:eastAsia="Calibri" w:hAnsi="Calibri"/>
          <w:sz w:val="22"/>
          <w:szCs w:val="22"/>
        </w:rPr>
        <w:t xml:space="preserve">That is why TIMSS collects information about the curriculum in each participating country. The </w:t>
      </w:r>
      <w:r>
        <w:rPr>
          <w:rFonts w:ascii="Calibri" w:cs="Calibri" w:eastAsia="Calibri" w:hAnsi="Calibri"/>
          <w:b/>
          <w:bCs/>
          <w:sz w:val="22"/>
          <w:szCs w:val="22"/>
        </w:rPr>
        <w:t xml:space="preserve">TIMSS Encyclopedia</w:t>
      </w:r>
      <w:r>
        <w:rPr>
          <w:rFonts w:ascii="Calibri" w:cs="Calibri" w:eastAsia="Calibri" w:hAnsi="Calibri"/>
          <w:sz w:val="22"/>
          <w:szCs w:val="22"/>
        </w:rPr>
        <w:t xml:space="preserve"> describes the education system and the curriculum in each country, and the </w:t>
      </w:r>
      <w:r>
        <w:rPr>
          <w:rFonts w:ascii="Calibri" w:cs="Calibri" w:eastAsia="Calibri" w:hAnsi="Calibri"/>
          <w:b/>
          <w:bCs/>
          <w:sz w:val="22"/>
          <w:szCs w:val="22"/>
        </w:rPr>
        <w:t xml:space="preserve">curriculum questionnaires</w:t>
      </w:r>
      <w:r>
        <w:rPr>
          <w:rFonts w:ascii="Calibri" w:cs="Calibri" w:eastAsia="Calibri" w:hAnsi="Calibri"/>
          <w:sz w:val="22"/>
          <w:szCs w:val="22"/>
        </w:rPr>
        <w:t xml:space="preserve"> collect information on the prescribed topics. This information is necessary context for reading the results, not an appendix to be skipped.</w:t>
      </w:r>
    </w:p>
    <w:p>
      <w:pPr>
        <w:pStyle w:val="Heading2"/>
        <w:bidi w:val="false"/>
        <w:spacing w:after="120" w:before="240"/>
        <w:jc w:val="left"/>
      </w:pPr>
      <w:r>
        <w:rPr>
          <w:rFonts w:ascii="Calibri" w:cs="Calibri" w:eastAsia="Calibri" w:hAnsi="Calibri"/>
          <w:b/>
          <w:bCs/>
          <w:color w:val="2E75B6"/>
          <w:sz w:val="25"/>
          <w:szCs w:val="25"/>
        </w:rPr>
        <w:t xml:space="preserve">4.3 Alignment</w:t>
      </w:r>
    </w:p>
    <w:p>
      <w:pPr>
        <w:bidi w:val="false"/>
        <w:spacing w:after="120" w:line="300"/>
        <w:jc w:val="left"/>
      </w:pPr>
      <w:r>
        <w:rPr>
          <w:rFonts w:ascii="Calibri" w:cs="Calibri" w:eastAsia="Calibri" w:hAnsi="Calibri"/>
          <w:b/>
          <w:bCs/>
          <w:sz w:val="22"/>
          <w:szCs w:val="22"/>
        </w:rPr>
        <w:t xml:space="preserve">Alignment</w:t>
      </w:r>
      <w:r>
        <w:rPr>
          <w:rFonts w:ascii="Calibri" w:cs="Calibri" w:eastAsia="Calibri" w:hAnsi="Calibri"/>
          <w:sz w:val="22"/>
          <w:szCs w:val="22"/>
        </w:rPr>
        <w:t xml:space="preserve"> is the degree of agreement between what is measured and what is expected to be learned. Webb (1997) presented criteria for examining alignment between standards and assessments, four of which concern us: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5"/>
        <w:gridCol w:w="6563"/>
      </w:tblGrid>
      <w:tr>
        <w:trPr>
          <w:cantSplit/>
          <w:tblHeader/>
        </w:trPr>
        <w:tc>
          <w:tcPr>
            <w:tcW w:type="dxa" w:w="30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Webb's criterion</w:t>
            </w:r>
          </w:p>
        </w:tc>
        <w:tc>
          <w:tcPr>
            <w:tcW w:type="dxa" w:w="65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it asks</w:t>
            </w:r>
          </w:p>
        </w:tc>
      </w:tr>
      <w:tr>
        <w:trPr>
          <w:cantSplit/>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Categorical concurrence</w:t>
            </w:r>
          </w:p>
        </w:tc>
        <w:tc>
          <w:tcPr>
            <w:tcW w:type="dxa" w:w="6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assessment cover each domain of the curriculum with a sufficient number of items?</w:t>
            </w:r>
          </w:p>
        </w:tc>
      </w:tr>
      <w:tr>
        <w:trPr>
          <w:cantSplit/>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Depth-of-knowledge consistency</w:t>
            </w:r>
          </w:p>
        </w:tc>
        <w:tc>
          <w:tcPr>
            <w:tcW w:type="dxa" w:w="6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items require the same level of thinking that the curriculum requires?</w:t>
            </w:r>
          </w:p>
        </w:tc>
      </w:tr>
      <w:tr>
        <w:trPr>
          <w:cantSplit/>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Range of knowledge</w:t>
            </w:r>
          </w:p>
        </w:tc>
        <w:tc>
          <w:tcPr>
            <w:tcW w:type="dxa" w:w="6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many of the domain's topics does the assessment actually cover?</w:t>
            </w:r>
          </w:p>
        </w:tc>
      </w:tr>
      <w:tr>
        <w:trPr>
          <w:cantSplit/>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 of representation</w:t>
            </w:r>
          </w:p>
        </w:tc>
        <w:tc>
          <w:tcPr>
            <w:tcW w:type="dxa" w:w="6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Are the items distributed evenly across the topics, or concentrated in some of them?</w:t>
            </w:r>
          </w:p>
        </w:tc>
      </w:tr>
    </w:tbl>
    <w:p>
      <w:pPr>
        <w:spacing w:after="120"/>
      </w:pPr>
    </w:p>
    <w:p>
      <w:pPr>
        <w:bidi w:val="false"/>
        <w:spacing w:after="120" w:line="300"/>
        <w:jc w:val="left"/>
      </w:pPr>
      <w:r>
        <w:rPr>
          <w:rFonts w:ascii="Calibri" w:cs="Calibri" w:eastAsia="Calibri" w:hAnsi="Calibri"/>
          <w:sz w:val="22"/>
          <w:szCs w:val="22"/>
        </w:rPr>
        <w:t xml:space="preserve">This week we apply the question in the opposite direction: we do not ask whether the test covers the curriculum, but </w:t>
      </w:r>
      <w:r>
        <w:rPr>
          <w:rFonts w:ascii="Calibri" w:cs="Calibri" w:eastAsia="Calibri" w:hAnsi="Calibri"/>
          <w:b/>
          <w:bCs/>
          <w:sz w:val="22"/>
          <w:szCs w:val="22"/>
        </w:rPr>
        <w:t xml:space="preserve">whether the curriculum covers the framework.</w:t>
      </w:r>
      <w:r>
        <w:rPr>
          <w:rFonts w:ascii="Calibri" w:cs="Calibri" w:eastAsia="Calibri" w:hAnsi="Calibri"/>
          <w:sz w:val="22"/>
          <w:szCs w:val="22"/>
        </w:rPr>
        <w:t xml:space="preserve"> This is what the </w:t>
      </w:r>
      <w:r>
        <w:rPr>
          <w:rFonts w:ascii="Calibri" w:cs="Calibri" w:eastAsia="Calibri" w:hAnsi="Calibri"/>
          <w:b/>
          <w:bCs/>
          <w:sz w:val="22"/>
          <w:szCs w:val="22"/>
        </w:rPr>
        <w:t xml:space="preserve">alignment matrix</w:t>
      </w:r>
      <w:r>
        <w:rPr>
          <w:rFonts w:ascii="Calibri" w:cs="Calibri" w:eastAsia="Calibri" w:hAnsi="Calibri"/>
          <w:sz w:val="22"/>
          <w:szCs w:val="22"/>
        </w:rPr>
        <w:t xml:space="preserve"> does.</w:t>
      </w:r>
    </w:p>
    <w:p>
      <w:pPr>
        <w:bidi w:val="false"/>
        <w:spacing w:after="120" w:line="300"/>
        <w:jc w:val="left"/>
      </w:pPr>
      <w:r>
        <w:rPr>
          <w:rFonts w:ascii="Calibri" w:cs="Calibri" w:eastAsia="Calibri" w:hAnsi="Calibri"/>
          <w:sz w:val="22"/>
          <w:szCs w:val="22"/>
        </w:rPr>
        <w:t xml:space="preserve">This is part of the content validity evidence that the Standards for Educational and Psychological Testing (2014) speak of: interpreting the score as "the level of science achievement in this system" requires evidence that what was measured is what was taught.</w:t>
      </w:r>
    </w:p>
    <w:p>
      <w:pPr>
        <w:pStyle w:val="Heading1"/>
        <w:bidi w:val="false"/>
        <w:spacing w:after="160" w:before="360"/>
        <w:jc w:val="left"/>
      </w:pPr>
      <w:r>
        <w:rPr>
          <w:rFonts w:ascii="Calibri" w:cs="Calibri" w:eastAsia="Calibri" w:hAnsi="Calibri"/>
          <w:b/>
          <w:bCs/>
          <w:color w:val="1F4E79"/>
          <w:sz w:val="30"/>
          <w:szCs w:val="30"/>
        </w:rPr>
        <w:t xml:space="preserve">5. Worked example: an alignment matrix for a hypothetical curriculum</w:t>
      </w:r>
    </w:p>
    <w:p>
      <w:pPr>
        <w:pStyle w:val="Heading2"/>
        <w:bidi w:val="false"/>
        <w:spacing w:after="120" w:before="240"/>
        <w:jc w:val="left"/>
      </w:pPr>
      <w:r>
        <w:rPr>
          <w:rFonts w:ascii="Calibri" w:cs="Calibri" w:eastAsia="Calibri" w:hAnsi="Calibri"/>
          <w:b/>
          <w:bCs/>
          <w:color w:val="2E75B6"/>
          <w:sz w:val="25"/>
          <w:szCs w:val="25"/>
        </w:rPr>
        <w:t xml:space="preserve">5.1 The data</w:t>
      </w:r>
    </w:p>
    <w:p>
      <w:pPr>
        <w:bidi w:val="false"/>
        <w:spacing w:after="120" w:line="300"/>
        <w:jc w:val="left"/>
      </w:pPr>
      <w:r>
        <w:rPr>
          <w:rFonts w:ascii="Calibri" w:cs="Calibri" w:eastAsia="Calibri" w:hAnsi="Calibri"/>
          <w:sz w:val="22"/>
          <w:szCs w:val="22"/>
        </w:rPr>
        <w:t xml:space="preserve">In the Excel file "03 International Study Frameworks and Alignment - Week 12", the "Worked Example" sheet contains a </w:t>
      </w:r>
      <w:r>
        <w:rPr>
          <w:rFonts w:ascii="Calibri" w:cs="Calibri" w:eastAsia="Calibri" w:hAnsi="Calibri"/>
          <w:b/>
          <w:bCs/>
          <w:sz w:val="22"/>
          <w:szCs w:val="22"/>
        </w:rPr>
        <w:t xml:space="preserve">hypothetical</w:t>
      </w:r>
      <w:r>
        <w:rPr>
          <w:rFonts w:ascii="Calibri" w:cs="Calibri" w:eastAsia="Calibri" w:hAnsi="Calibri"/>
          <w:sz w:val="22"/>
          <w:szCs w:val="22"/>
        </w:rPr>
        <w:t xml:space="preserve"> curriculum that does not represent the curriculum of any country, and its coverage status is assumed for training. Each of the eighteen topics has one of three statuses by the end of Grade 8:</w:t>
      </w:r>
    </w:p>
    <w:p>
      <w:pPr>
        <w:pStyle w:val="ListParagraph"/>
        <w:numPr>
          <w:ilvl w:val="0"/>
          <w:numId w:val="3"/>
        </w:numPr>
        <w:bidi w:val="false"/>
        <w:spacing w:after="80" w:line="300"/>
        <w:jc w:val="left"/>
      </w:pPr>
      <w:r>
        <w:rPr>
          <w:rFonts w:ascii="Calibri" w:cs="Calibri" w:eastAsia="Calibri" w:hAnsi="Calibri"/>
          <w:b/>
          <w:bCs/>
          <w:sz w:val="22"/>
          <w:szCs w:val="22"/>
        </w:rPr>
        <w:t xml:space="preserve">Fully taught:</w:t>
      </w:r>
      <w:r>
        <w:rPr>
          <w:rFonts w:ascii="Calibri" w:cs="Calibri" w:eastAsia="Calibri" w:hAnsi="Calibri"/>
          <w:sz w:val="22"/>
          <w:szCs w:val="22"/>
        </w:rPr>
        <w:t xml:space="preserve"> its value is 1.</w:t>
      </w:r>
    </w:p>
    <w:p>
      <w:pPr>
        <w:pStyle w:val="ListParagraph"/>
        <w:numPr>
          <w:ilvl w:val="0"/>
          <w:numId w:val="3"/>
        </w:numPr>
        <w:bidi w:val="false"/>
        <w:spacing w:after="80" w:line="300"/>
        <w:jc w:val="left"/>
      </w:pPr>
      <w:r>
        <w:rPr>
          <w:rFonts w:ascii="Calibri" w:cs="Calibri" w:eastAsia="Calibri" w:hAnsi="Calibri"/>
          <w:b/>
          <w:bCs/>
          <w:sz w:val="22"/>
          <w:szCs w:val="22"/>
        </w:rPr>
        <w:t xml:space="preserve">Partly taught:</w:t>
      </w:r>
      <w:r>
        <w:rPr>
          <w:rFonts w:ascii="Calibri" w:cs="Calibri" w:eastAsia="Calibri" w:hAnsi="Calibri"/>
          <w:sz w:val="22"/>
          <w:szCs w:val="22"/>
        </w:rPr>
        <w:t xml:space="preserve"> its value is 0.5.</w:t>
      </w:r>
    </w:p>
    <w:p>
      <w:pPr>
        <w:pStyle w:val="ListParagraph"/>
        <w:numPr>
          <w:ilvl w:val="0"/>
          <w:numId w:val="3"/>
        </w:numPr>
        <w:bidi w:val="false"/>
        <w:spacing w:after="80" w:line="300"/>
        <w:jc w:val="left"/>
      </w:pPr>
      <w:r>
        <w:rPr>
          <w:rFonts w:ascii="Calibri" w:cs="Calibri" w:eastAsia="Calibri" w:hAnsi="Calibri"/>
          <w:b/>
          <w:bCs/>
          <w:sz w:val="22"/>
          <w:szCs w:val="22"/>
        </w:rPr>
        <w:t xml:space="preserve">Not taught:</w:t>
      </w:r>
      <w:r>
        <w:rPr>
          <w:rFonts w:ascii="Calibri" w:cs="Calibri" w:eastAsia="Calibri" w:hAnsi="Calibri"/>
          <w:sz w:val="22"/>
          <w:szCs w:val="22"/>
        </w:rPr>
        <w:t xml:space="preserve"> its value is 0.</w:t>
      </w:r>
    </w:p>
    <w:p>
      <w:pPr>
        <w:bidi w:val="false"/>
        <w:spacing w:after="120" w:line="300"/>
        <w:jc w:val="left"/>
      </w:pPr>
      <w:r>
        <w:rPr>
          <w:rFonts w:ascii="Calibri" w:cs="Calibri" w:eastAsia="Calibri" w:hAnsi="Calibri"/>
          <w:sz w:val="22"/>
          <w:szCs w:val="22"/>
        </w:rPr>
        <w:t xml:space="preserve">In the hypothetical curriculum, 12 topics are fully taught, four are partly taught, and two are not taught: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6"/>
        <w:gridCol w:w="7882"/>
      </w:tblGrid>
      <w:tr>
        <w:trPr>
          <w:cantSplit/>
          <w:tblHeader/>
        </w:trPr>
        <w:tc>
          <w:tcPr>
            <w:tcW w:type="dxa" w:w="17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Status</w:t>
            </w:r>
          </w:p>
        </w:tc>
        <w:tc>
          <w:tcPr>
            <w:tcW w:type="dxa" w:w="78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Topics</w:t>
            </w:r>
          </w:p>
        </w:tc>
      </w:tr>
      <w:tr>
        <w:trPr>
          <w:cantSplit/>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Not taught</w:t>
            </w:r>
          </w:p>
        </w:tc>
        <w:tc>
          <w:tcPr>
            <w:tcW w:type="dxa" w:w="7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Electricity and Magnetism (Physics); Earth's Processes, Cycles, and History (Earth Science)</w:t>
            </w:r>
          </w:p>
        </w:tc>
      </w:tr>
      <w:tr>
        <w:trPr>
          <w:cantSplit/>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Partly taught</w:t>
            </w:r>
          </w:p>
        </w:tc>
        <w:tc>
          <w:tcPr>
            <w:tcW w:type="dxa" w:w="7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Life Cycles, Reproduction, and Heredity; Diversity, Adaptation, and Natural Selection (Biology); Energy Transformation and Transfer (Physics); Earth's Resources, Their Use, and Conservation (Earth Science)</w:t>
            </w:r>
          </w:p>
        </w:tc>
      </w:tr>
      <w:tr>
        <w:trPr>
          <w:cantSplit/>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Fully taught</w:t>
            </w:r>
          </w:p>
        </w:tc>
        <w:tc>
          <w:tcPr>
            <w:tcW w:type="dxa" w:w="7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remaining twelve topics, including all three topics in Chemistry</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5.2 Coverage for each domain</w:t>
      </w:r>
    </w:p>
    <w:p>
      <w:pPr>
        <w:bidi w:val="false"/>
        <w:spacing w:after="120" w:line="300"/>
        <w:jc w:val="left"/>
      </w:pPr>
      <w:r>
        <w:rPr>
          <w:rFonts w:ascii="Calibri" w:cs="Calibri" w:eastAsia="Calibri" w:hAnsi="Calibri"/>
          <w:sz w:val="22"/>
          <w:szCs w:val="22"/>
        </w:rPr>
        <w:t xml:space="preserve">The coverage percentage in a domain is the sum of the values of its topics divided by their number:</w:t>
      </w:r>
    </w:p>
    <w:p>
      <w:pPr>
        <w:shd w:fill="F2F6FA" w:color="auto" w:val="clear"/>
        <w:bidi w:val="false"/>
        <w:spacing w:after="160" w:before="80"/>
        <w:jc w:val="center"/>
      </w:pPr>
      <w:r>
        <w:rPr>
          <w:rFonts w:ascii="Cambria Math" w:cs="Calibri" w:hAnsi="Cambria Math"/>
          <w:i w:val="false"/>
          <w:iCs w:val="false"/>
          <w:sz w:val="24"/>
          <w:szCs w:val="24"/>
        </w:rPr>
        <w:t xml:space="preserve">Domain coverage = Σ (topic value) / (number of topics in domain)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1"/>
        <w:gridCol w:w="4794"/>
        <w:gridCol w:w="2583"/>
      </w:tblGrid>
      <w:tr>
        <w:trPr>
          <w:cantSplit/>
          <w:tblHeader/>
        </w:trPr>
        <w:tc>
          <w:tcPr>
            <w:tcW w:type="dxa" w:w="22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Domain</w:t>
            </w:r>
          </w:p>
        </w:tc>
        <w:tc>
          <w:tcPr>
            <w:tcW w:type="dxa" w:w="47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Calculation</w:t>
            </w:r>
          </w:p>
        </w:tc>
        <w:tc>
          <w:tcPr>
            <w:tcW w:type="dxa" w:w="25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Coverage</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Biology</w:t>
            </w:r>
          </w:p>
        </w:tc>
        <w:tc>
          <w:tcPr>
            <w:tcW w:type="dxa" w:w="4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 1 + 2 × 0.5) ÷ 6 = 5 ÷ 6</w:t>
            </w:r>
          </w:p>
        </w:tc>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83%</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Chemistry</w:t>
            </w:r>
          </w:p>
        </w:tc>
        <w:tc>
          <w:tcPr>
            <w:tcW w:type="dxa" w:w="4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 1) ÷ 3</w:t>
            </w:r>
          </w:p>
        </w:tc>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100%</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Physics</w:t>
            </w:r>
          </w:p>
        </w:tc>
        <w:tc>
          <w:tcPr>
            <w:tcW w:type="dxa" w:w="4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 1 + 1 × 0.5 + 1 × 0) ÷ 5 = 3.5 ÷ 5</w:t>
            </w:r>
          </w:p>
        </w:tc>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70%</w:t>
            </w:r>
          </w:p>
        </w:tc>
      </w:tr>
      <w:tr>
        <w:trPr>
          <w:cantSplit/>
        </w:trPr>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Earth Science</w:t>
            </w:r>
          </w:p>
        </w:tc>
        <w:tc>
          <w:tcPr>
            <w:tcW w:type="dxa" w:w="47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 1 + 1 × 0.5 + 1 × 0) ÷ 4 = 2.5 ÷ 4</w:t>
            </w:r>
          </w:p>
        </w:tc>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63% (precisely 62.5%)</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5.3 Weighted and unweighted coverage</w:t>
      </w:r>
    </w:p>
    <w:p>
      <w:pPr>
        <w:bidi w:val="false"/>
        <w:spacing w:after="120" w:line="300"/>
        <w:jc w:val="left"/>
      </w:pPr>
      <w:r>
        <w:rPr>
          <w:rFonts w:ascii="Calibri" w:cs="Calibri" w:eastAsia="Calibri" w:hAnsi="Calibri"/>
          <w:b/>
          <w:bCs/>
          <w:sz w:val="22"/>
          <w:szCs w:val="22"/>
        </w:rPr>
        <w:t xml:space="preserve">Weighted coverage</w:t>
      </w:r>
      <w:r>
        <w:rPr>
          <w:rFonts w:ascii="Calibri" w:cs="Calibri" w:eastAsia="Calibri" w:hAnsi="Calibri"/>
          <w:sz w:val="22"/>
          <w:szCs w:val="22"/>
        </w:rPr>
        <w:t xml:space="preserve"> multiplies each domain's coverage by its weight in the framework and then sums:</w:t>
      </w:r>
    </w:p>
    <w:p>
      <w:pPr>
        <w:shd w:fill="F2F6FA" w:color="auto" w:val="clear"/>
        <w:bidi w:val="false"/>
        <w:spacing w:after="160" w:before="80"/>
        <w:jc w:val="center"/>
      </w:pPr>
      <w:r>
        <w:rPr>
          <w:rFonts w:ascii="Cambria Math" w:cs="Calibri" w:hAnsi="Cambria Math"/>
          <w:i w:val="false"/>
          <w:iCs w:val="false"/>
          <w:sz w:val="24"/>
          <w:szCs w:val="24"/>
        </w:rPr>
        <w:t xml:space="preserve">Weighted coverage = Σ (domain weight × domain coverage)</w:t>
      </w:r>
    </w:p>
    <w:p>
      <w:pPr>
        <w:shd w:fill="F2F6FA" w:color="auto" w:val="clear"/>
        <w:bidi w:val="false"/>
        <w:spacing w:after="160" w:before="80"/>
        <w:jc w:val="center"/>
      </w:pPr>
      <w:r>
        <w:rPr>
          <w:rFonts w:ascii="Cambria Math" w:cs="Calibri" w:hAnsi="Cambria Math"/>
          <w:i w:val="false"/>
          <w:iCs w:val="false"/>
          <w:sz w:val="24"/>
          <w:szCs w:val="24"/>
        </w:rPr>
        <w:t xml:space="preserve">= 0.35 × 0.833 + 0.20 × 1.00 + 0.25 × 0.70 + 0.20 × 0.625 ≈ 0.792</w:t>
      </w:r>
    </w:p>
    <w:p>
      <w:pPr>
        <w:bidi w:val="false"/>
        <w:spacing w:after="120" w:line="300"/>
        <w:jc w:val="left"/>
      </w:pPr>
      <w:r>
        <w:rPr>
          <w:rFonts w:ascii="Calibri" w:cs="Calibri" w:eastAsia="Calibri" w:hAnsi="Calibri"/>
          <w:sz w:val="22"/>
          <w:szCs w:val="22"/>
        </w:rPr>
        <w:t xml:space="preserve">That is, about </w:t>
      </w:r>
      <w:r>
        <w:rPr>
          <w:rFonts w:ascii="Calibri" w:cs="Calibri" w:eastAsia="Calibri" w:hAnsi="Calibri"/>
          <w:b/>
          <w:bCs/>
          <w:sz w:val="22"/>
          <w:szCs w:val="22"/>
        </w:rPr>
        <w:t xml:space="preserve">79%</w:t>
      </w:r>
      <w:r>
        <w:rPr>
          <w:rFonts w:ascii="Calibri" w:cs="Calibri" w:eastAsia="Calibri" w:hAnsi="Calibri"/>
          <w:sz w:val="22"/>
          <w:szCs w:val="22"/>
        </w:rPr>
        <w:t xml:space="preserve">. </w:t>
      </w:r>
      <w:r>
        <w:rPr>
          <w:rFonts w:ascii="Calibri" w:cs="Calibri" w:eastAsia="Calibri" w:hAnsi="Calibri"/>
          <w:b/>
          <w:bCs/>
          <w:sz w:val="22"/>
          <w:szCs w:val="22"/>
        </w:rPr>
        <w:t xml:space="preserve">Unweighted coverage</w:t>
      </w:r>
      <w:r>
        <w:rPr>
          <w:rFonts w:ascii="Calibri" w:cs="Calibri" w:eastAsia="Calibri" w:hAnsi="Calibri"/>
          <w:sz w:val="22"/>
          <w:szCs w:val="22"/>
        </w:rPr>
        <w:t xml:space="preserve">, by contrast, treats the eighteen topics with the same weight: the sum of the values is 14 out of 18, about </w:t>
      </w:r>
      <w:r>
        <w:rPr>
          <w:rFonts w:ascii="Calibri" w:cs="Calibri" w:eastAsia="Calibri" w:hAnsi="Calibri"/>
          <w:b/>
          <w:bCs/>
          <w:sz w:val="22"/>
          <w:szCs w:val="22"/>
        </w:rPr>
        <w:t xml:space="preserve">78%</w:t>
      </w:r>
      <w:r>
        <w:rPr>
          <w:rFonts w:ascii="Calibri" w:cs="Calibri" w:eastAsia="Calibri" w:hAnsi="Calibri"/>
          <w:sz w:val="22"/>
          <w:szCs w:val="22"/>
        </w:rPr>
        <w:t xml:space="preserve">.</w:t>
      </w:r>
    </w:p>
    <w:p>
      <w:pPr>
        <w:bidi w:val="false"/>
        <w:spacing w:after="120" w:line="300"/>
        <w:jc w:val="left"/>
      </w:pPr>
      <w:r>
        <w:rPr>
          <w:rFonts w:ascii="Calibri" w:cs="Calibri" w:eastAsia="Calibri" w:hAnsi="Calibri"/>
          <w:b/>
          <w:bCs/>
          <w:sz w:val="22"/>
          <w:szCs w:val="22"/>
        </w:rPr>
        <w:t xml:space="preserve">Why do we compute both?</w:t>
      </w:r>
      <w:r>
        <w:rPr>
          <w:rFonts w:ascii="Calibri" w:cs="Calibri" w:eastAsia="Calibri" w:hAnsi="Calibri"/>
          <w:sz w:val="22"/>
          <w:szCs w:val="22"/>
        </w:rPr>
        <w:t xml:space="preserve"> Weighted coverage approximates the proportion of test score points whose content was taught, because the heavier domain in the framework takes a larger share of the items. Unweighted coverage gives each domain a share according to its number of topics: Biology 6 of 18 (about 33%), Chemistry 3 of 18 (about 17%), Physics 5 of 18 (about 28%), and Earth Science 4 of 18 (about 22%). The framework gives Biology and Chemistry, which have the highest coverage here, a slightly larger share than their share by number of topics, and gives Physics and Earth Science, which are the weakest, a smaller share. That is why the weighted coverage came out slightly higher (79% versus 78%). And if the shortfall were in Biology, the heaviest domain, the weighted coverage would fall more than the unweighted coverage.</w:t>
      </w:r>
    </w:p>
    <w:p>
      <w:pPr>
        <w:pStyle w:val="Heading2"/>
        <w:bidi w:val="false"/>
        <w:spacing w:after="120" w:before="240"/>
        <w:jc w:val="left"/>
      </w:pPr>
      <w:r>
        <w:rPr>
          <w:rFonts w:ascii="Calibri" w:cs="Calibri" w:eastAsia="Calibri" w:hAnsi="Calibri"/>
          <w:b/>
          <w:bCs/>
          <w:color w:val="2E75B6"/>
          <w:sz w:val="25"/>
          <w:szCs w:val="25"/>
        </w:rPr>
        <w:t xml:space="preserve">5.4 What do we conclude?</w:t>
      </w:r>
    </w:p>
    <w:p>
      <w:pPr>
        <w:pStyle w:val="ListParagraph"/>
        <w:numPr>
          <w:ilvl w:val="0"/>
          <w:numId w:val="3"/>
        </w:numPr>
        <w:bidi w:val="false"/>
        <w:spacing w:after="80" w:line="300"/>
        <w:jc w:val="left"/>
      </w:pPr>
      <w:r>
        <w:rPr>
          <w:rFonts w:ascii="Calibri" w:cs="Calibri" w:eastAsia="Calibri" w:hAnsi="Calibri"/>
          <w:sz w:val="22"/>
          <w:szCs w:val="22"/>
        </w:rPr>
        <w:t xml:space="preserve">About a fifth of the test content, with the framework weights and counting partial coverage as half, is not covered for students of this curriculum before the test. This is a rough estimate, not a precise figure.</w:t>
      </w:r>
    </w:p>
    <w:p>
      <w:pPr>
        <w:pStyle w:val="ListParagraph"/>
        <w:numPr>
          <w:ilvl w:val="0"/>
          <w:numId w:val="3"/>
        </w:numPr>
        <w:bidi w:val="false"/>
        <w:spacing w:after="80" w:line="300"/>
        <w:jc w:val="left"/>
      </w:pPr>
      <w:r>
        <w:rPr>
          <w:rFonts w:ascii="Calibri" w:cs="Calibri" w:eastAsia="Calibri" w:hAnsi="Calibri"/>
          <w:sz w:val="22"/>
          <w:szCs w:val="22"/>
        </w:rPr>
        <w:t xml:space="preserve">The domains with the weakest coverage are Earth Science (63%) and then Physics (70%). If the performance of this system's students in these two domains came out weaker than in the others, the first explanation to examine is opportunity to learn, before any judgement on the students or teachers.</w:t>
      </w:r>
    </w:p>
    <w:p>
      <w:pPr>
        <w:pStyle w:val="ListParagraph"/>
        <w:numPr>
          <w:ilvl w:val="0"/>
          <w:numId w:val="3"/>
        </w:numPr>
        <w:bidi w:val="false"/>
        <w:spacing w:after="80" w:line="300"/>
        <w:jc w:val="left"/>
      </w:pPr>
      <w:r>
        <w:rPr>
          <w:rFonts w:ascii="Calibri" w:cs="Calibri" w:eastAsia="Calibri" w:hAnsi="Calibri"/>
          <w:sz w:val="22"/>
          <w:szCs w:val="22"/>
        </w:rPr>
        <w:t xml:space="preserve">The two topics that are not taught deserve an educational question: are they taught in a later grade? Is their absence a deliberate decision in the curriculum, or a gap? The matrix does not answer; it identifies the question.</w:t>
      </w:r>
    </w:p>
    <w:p>
      <w:pPr>
        <w:pStyle w:val="Heading2"/>
        <w:bidi w:val="false"/>
        <w:spacing w:after="120" w:before="240"/>
        <w:jc w:val="left"/>
      </w:pPr>
      <w:r>
        <w:rPr>
          <w:rFonts w:ascii="Calibri" w:cs="Calibri" w:eastAsia="Calibri" w:hAnsi="Calibri"/>
          <w:b/>
          <w:bCs/>
          <w:color w:val="2E75B6"/>
          <w:sz w:val="25"/>
          <w:szCs w:val="25"/>
        </w:rPr>
        <w:t xml:space="preserve">5.5 The limits of this calculation</w:t>
      </w:r>
    </w:p>
    <w:p>
      <w:pPr>
        <w:bidi w:val="false"/>
        <w:spacing w:after="120" w:line="300"/>
        <w:jc w:val="left"/>
      </w:pPr>
      <w:r>
        <w:rPr>
          <w:rFonts w:ascii="Calibri" w:cs="Calibri" w:eastAsia="Calibri" w:hAnsi="Calibri"/>
          <w:sz w:val="22"/>
          <w:szCs w:val="22"/>
        </w:rPr>
        <w:t xml:space="preserve">Always state these simplifications when you present your matrix:</w:t>
      </w:r>
    </w:p>
    <w:p>
      <w:pPr>
        <w:pStyle w:val="ListParagraph"/>
        <w:numPr>
          <w:ilvl w:val="0"/>
          <w:numId w:val="3"/>
        </w:numPr>
        <w:bidi w:val="false"/>
        <w:spacing w:after="80" w:line="300"/>
        <w:jc w:val="left"/>
      </w:pPr>
      <w:r>
        <w:rPr>
          <w:rFonts w:ascii="Calibri" w:cs="Calibri" w:eastAsia="Calibri" w:hAnsi="Calibri"/>
          <w:b/>
          <w:bCs/>
          <w:sz w:val="22"/>
          <w:szCs w:val="22"/>
        </w:rPr>
        <w:t xml:space="preserve">"Partly" is half a topic:</w:t>
      </w:r>
      <w:r>
        <w:rPr>
          <w:rFonts w:ascii="Calibri" w:cs="Calibri" w:eastAsia="Calibri" w:hAnsi="Calibri"/>
          <w:sz w:val="22"/>
          <w:szCs w:val="22"/>
        </w:rPr>
        <w:t xml:space="preserve"> a simplification. A topic of which a quarter is taught may be counted at the same value as a topic of which three quarters are taught.</w:t>
      </w:r>
    </w:p>
    <w:p>
      <w:pPr>
        <w:pStyle w:val="ListParagraph"/>
        <w:numPr>
          <w:ilvl w:val="0"/>
          <w:numId w:val="3"/>
        </w:numPr>
        <w:bidi w:val="false"/>
        <w:spacing w:after="80" w:line="300"/>
        <w:jc w:val="left"/>
      </w:pPr>
      <w:r>
        <w:rPr>
          <w:rFonts w:ascii="Calibri" w:cs="Calibri" w:eastAsia="Calibri" w:hAnsi="Calibri"/>
          <w:b/>
          <w:bCs/>
          <w:sz w:val="22"/>
          <w:szCs w:val="22"/>
        </w:rPr>
        <w:t xml:space="preserve">Topics are equal within a domain:</w:t>
      </w:r>
      <w:r>
        <w:rPr>
          <w:rFonts w:ascii="Calibri" w:cs="Calibri" w:eastAsia="Calibri" w:hAnsi="Calibri"/>
          <w:sz w:val="22"/>
          <w:szCs w:val="22"/>
        </w:rPr>
        <w:t xml:space="preserve"> the framework specifies the weights of the domains, not the topics.</w:t>
      </w:r>
    </w:p>
    <w:p>
      <w:pPr>
        <w:pStyle w:val="ListParagraph"/>
        <w:numPr>
          <w:ilvl w:val="0"/>
          <w:numId w:val="3"/>
        </w:numPr>
        <w:bidi w:val="false"/>
        <w:spacing w:after="80" w:line="300"/>
        <w:jc w:val="left"/>
      </w:pPr>
      <w:r>
        <w:rPr>
          <w:rFonts w:ascii="Calibri" w:cs="Calibri" w:eastAsia="Calibri" w:hAnsi="Calibri"/>
          <w:b/>
          <w:bCs/>
          <w:sz w:val="22"/>
          <w:szCs w:val="22"/>
        </w:rPr>
        <w:t xml:space="preserve">Intended, not implemented:</w:t>
      </w:r>
      <w:r>
        <w:rPr>
          <w:rFonts w:ascii="Calibri" w:cs="Calibri" w:eastAsia="Calibri" w:hAnsi="Calibri"/>
          <w:sz w:val="22"/>
          <w:szCs w:val="22"/>
        </w:rPr>
        <w:t xml:space="preserve"> the matrix is built on the curriculum document. What actually reaches classrooms may be less.</w:t>
      </w:r>
    </w:p>
    <w:p>
      <w:pPr>
        <w:pStyle w:val="ListParagraph"/>
        <w:numPr>
          <w:ilvl w:val="0"/>
          <w:numId w:val="3"/>
        </w:numPr>
        <w:bidi w:val="false"/>
        <w:spacing w:after="80" w:line="300"/>
        <w:jc w:val="left"/>
      </w:pPr>
      <w:r>
        <w:rPr>
          <w:rFonts w:ascii="Calibri" w:cs="Calibri" w:eastAsia="Calibri" w:hAnsi="Calibri"/>
          <w:b/>
          <w:bCs/>
          <w:sz w:val="22"/>
          <w:szCs w:val="22"/>
        </w:rPr>
        <w:t xml:space="preserve">Coverage does not mean depth:</w:t>
      </w:r>
      <w:r>
        <w:rPr>
          <w:rFonts w:ascii="Calibri" w:cs="Calibri" w:eastAsia="Calibri" w:hAnsi="Calibri"/>
          <w:sz w:val="22"/>
          <w:szCs w:val="22"/>
        </w:rPr>
        <w:t xml:space="preserve"> a "fully taught" topic may be taught at the Knowing level alone, while the framework requires Applying and Reasoning in it. This is Webb's "depth-of-knowledge consistency" criterion.</w:t>
      </w:r>
    </w:p>
    <w:p>
      <w:pPr>
        <w:pStyle w:val="Heading1"/>
        <w:bidi w:val="false"/>
        <w:spacing w:after="160" w:before="360"/>
        <w:jc w:val="left"/>
      </w:pPr>
      <w:r>
        <w:rPr>
          <w:rFonts w:ascii="Calibri" w:cs="Calibri" w:eastAsia="Calibri" w:hAnsi="Calibri"/>
          <w:b/>
          <w:bCs/>
          <w:color w:val="1F4E79"/>
          <w:sz w:val="30"/>
          <w:szCs w:val="30"/>
        </w:rPr>
        <w:t xml:space="preserve">6. Released items: models whose rights must be respected</w:t>
      </w:r>
    </w:p>
    <w:p>
      <w:pPr>
        <w:bidi w:val="false"/>
        <w:spacing w:after="120" w:line="300"/>
        <w:jc w:val="left"/>
      </w:pPr>
      <w:r>
        <w:rPr>
          <w:rFonts w:ascii="Calibri" w:cs="Calibri" w:eastAsia="Calibri" w:hAnsi="Calibri"/>
          <w:sz w:val="22"/>
          <w:szCs w:val="22"/>
        </w:rPr>
        <w:t xml:space="preserve">After each cycle, the international studies release part of their items together with their scoring guides. These released items are the best model for understanding the study's style: how the context is built, how the task is worded, and how the scoring guide distinguishes between levels.</w:t>
      </w:r>
    </w:p>
    <w:p>
      <w:pPr>
        <w:bidi w:val="false"/>
        <w:spacing w:after="120" w:line="300"/>
        <w:jc w:val="left"/>
      </w:pPr>
      <w:r>
        <w:rPr>
          <w:rFonts w:ascii="Calibri" w:cs="Calibri" w:eastAsia="Calibri" w:hAnsi="Calibri"/>
          <w:sz w:val="22"/>
          <w:szCs w:val="22"/>
        </w:rPr>
        <w:t xml:space="preserve">Their use has rules:</w:t>
      </w:r>
    </w:p>
    <w:p>
      <w:pPr>
        <w:pStyle w:val="ListParagraph"/>
        <w:numPr>
          <w:ilvl w:val="0"/>
          <w:numId w:val="3"/>
        </w:numPr>
        <w:bidi w:val="false"/>
        <w:spacing w:after="80" w:line="300"/>
        <w:jc w:val="left"/>
      </w:pPr>
      <w:r>
        <w:rPr>
          <w:rFonts w:ascii="Calibri" w:cs="Calibri" w:eastAsia="Calibri" w:hAnsi="Calibri"/>
          <w:b/>
          <w:bCs/>
          <w:sz w:val="22"/>
          <w:szCs w:val="22"/>
        </w:rPr>
        <w:t xml:space="preserve">Use them as a model of style, not as a source for copying.</w:t>
      </w:r>
      <w:r>
        <w:rPr>
          <w:rFonts w:ascii="Calibri" w:cs="Calibri" w:eastAsia="Calibri" w:hAnsi="Calibri"/>
          <w:sz w:val="22"/>
          <w:szCs w:val="22"/>
        </w:rPr>
        <w:t xml:space="preserve"> Write new items along the same lines.</w:t>
      </w:r>
    </w:p>
    <w:p>
      <w:pPr>
        <w:pStyle w:val="ListParagraph"/>
        <w:numPr>
          <w:ilvl w:val="0"/>
          <w:numId w:val="3"/>
        </w:numPr>
        <w:bidi w:val="false"/>
        <w:spacing w:after="80" w:line="300"/>
        <w:jc w:val="left"/>
      </w:pPr>
      <w:r>
        <w:rPr>
          <w:rFonts w:ascii="Calibri" w:cs="Calibri" w:eastAsia="Calibri" w:hAnsi="Calibri"/>
          <w:b/>
          <w:bCs/>
          <w:sz w:val="22"/>
          <w:szCs w:val="22"/>
        </w:rPr>
        <w:t xml:space="preserve">Respect copyright.</w:t>
      </w:r>
      <w:r>
        <w:rPr>
          <w:rFonts w:ascii="Calibri" w:cs="Calibri" w:eastAsia="Calibri" w:hAnsi="Calibri"/>
          <w:sz w:val="22"/>
          <w:szCs w:val="22"/>
        </w:rPr>
        <w:t xml:space="preserve"> Released items are protected by the publisher's rights. Do not paste them into Claude or any other tool, and do not republish them, without permission that allows this.</w:t>
      </w:r>
    </w:p>
    <w:p>
      <w:pPr>
        <w:pStyle w:val="ListParagraph"/>
        <w:numPr>
          <w:ilvl w:val="0"/>
          <w:numId w:val="3"/>
        </w:numPr>
        <w:bidi w:val="false"/>
        <w:spacing w:after="80" w:line="300"/>
        <w:jc w:val="left"/>
      </w:pPr>
      <w:r>
        <w:rPr>
          <w:rFonts w:ascii="Calibri" w:cs="Calibri" w:eastAsia="Calibri" w:hAnsi="Calibri"/>
          <w:b/>
          <w:bCs/>
          <w:sz w:val="22"/>
          <w:szCs w:val="22"/>
        </w:rPr>
        <w:t xml:space="preserve">Do not turn the classroom into test practice.</w:t>
      </w:r>
      <w:r>
        <w:rPr>
          <w:rFonts w:ascii="Calibri" w:cs="Calibri" w:eastAsia="Calibri" w:hAnsi="Calibri"/>
          <w:sz w:val="22"/>
          <w:szCs w:val="22"/>
        </w:rPr>
        <w:t xml:space="preserve"> Repeating released items with students may raise their scores on them without raising their learning, which weakens the meaning of the results. This is one of the consequences of testing that the Standards (2014) treat as a source of validity evidence.</w:t>
      </w:r>
    </w:p>
    <w:p>
      <w:pPr>
        <w:bidi w:val="false"/>
        <w:spacing w:after="120" w:line="300"/>
        <w:jc w:val="left"/>
      </w:pPr>
      <w:r>
        <w:rPr>
          <w:rFonts w:ascii="Calibri" w:cs="Calibri" w:eastAsia="Calibri" w:hAnsi="Calibri"/>
          <w:sz w:val="22"/>
          <w:szCs w:val="22"/>
        </w:rPr>
        <w:t xml:space="preserve">The ten items in the "Item Classification" sheet </w:t>
      </w:r>
      <w:r>
        <w:rPr>
          <w:rFonts w:ascii="Calibri" w:cs="Calibri" w:eastAsia="Calibri" w:hAnsi="Calibri"/>
          <w:b/>
          <w:bCs/>
          <w:sz w:val="22"/>
          <w:szCs w:val="22"/>
        </w:rPr>
        <w:t xml:space="preserve">were written for the course</w:t>
      </w:r>
      <w:r>
        <w:rPr>
          <w:rFonts w:ascii="Calibri" w:cs="Calibri" w:eastAsia="Calibri" w:hAnsi="Calibri"/>
          <w:sz w:val="22"/>
          <w:szCs w:val="22"/>
        </w:rPr>
        <w:t xml:space="preserve"> in the TIMSS style, and are not released items from the study.</w:t>
      </w:r>
    </w:p>
    <w:p>
      <w:pPr>
        <w:pStyle w:val="Heading1"/>
        <w:bidi w:val="false"/>
        <w:spacing w:after="160" w:before="360"/>
        <w:jc w:val="left"/>
      </w:pPr>
      <w:r>
        <w:rPr>
          <w:rFonts w:ascii="Calibri" w:cs="Calibri" w:eastAsia="Calibri" w:hAnsi="Calibri"/>
          <w:b/>
          <w:bCs/>
          <w:color w:val="1F4E79"/>
          <w:sz w:val="30"/>
          <w:szCs w:val="30"/>
        </w:rPr>
        <w:t xml:space="preserve">7. Writing TIMSS-style items for the classroom</w:t>
      </w:r>
    </w:p>
    <w:p>
      <w:pPr>
        <w:bidi w:val="false"/>
        <w:spacing w:after="120" w:line="300"/>
        <w:jc w:val="left"/>
      </w:pPr>
      <w:r>
        <w:rPr>
          <w:rFonts w:ascii="Calibri" w:cs="Calibri" w:eastAsia="Calibri" w:hAnsi="Calibri"/>
          <w:sz w:val="22"/>
          <w:szCs w:val="22"/>
        </w:rPr>
        <w:t xml:space="preserve">The TIMSS style can be transferred to the classroom test through four principles, consistent with the item-writing rules of Haladyna and Rodriguez (2013):</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A short, authentic context:</w:t>
      </w:r>
      <w:r>
        <w:rPr>
          <w:rFonts w:ascii="Calibri" w:cs="Calibri" w:eastAsia="Calibri" w:hAnsi="Calibri"/>
          <w:sz w:val="22"/>
          <w:szCs w:val="22"/>
        </w:rPr>
        <w:t xml:space="preserve"> a situation from the student's life or from a school experiment, only as much as the task needs. A long context tests reading, not science.</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One clear task:</w:t>
      </w:r>
      <w:r>
        <w:rPr>
          <w:rFonts w:ascii="Calibri" w:cs="Calibri" w:eastAsia="Calibri" w:hAnsi="Calibri"/>
          <w:sz w:val="22"/>
          <w:szCs w:val="22"/>
        </w:rPr>
        <w:t xml:space="preserve"> a single explicit verb from which the student knows what is required: explain, calculate, predict and justify. And if there are several parts, let each part be a separate task with a separate score.</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A scoring guide for the constructed response:</w:t>
      </w:r>
      <w:r>
        <w:rPr>
          <w:rFonts w:ascii="Calibri" w:cs="Calibri" w:eastAsia="Calibri" w:hAnsi="Calibri"/>
          <w:sz w:val="22"/>
          <w:szCs w:val="22"/>
        </w:rPr>
        <w:t xml:space="preserve"> written with the item, not after reading the responses, and specifying what is accepted at each level with examples. This is what we learned about rubrics in Week 8.</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Digital interactivity only when needed:</w:t>
      </w:r>
      <w:r>
        <w:rPr>
          <w:rFonts w:ascii="Calibri" w:cs="Calibri" w:eastAsia="Calibri" w:hAnsi="Calibri"/>
          <w:sz w:val="22"/>
          <w:szCs w:val="22"/>
        </w:rPr>
        <w:t xml:space="preserve"> if the item measures what you want on paper, there is no need for the screen.</w:t>
      </w:r>
    </w:p>
    <w:p>
      <w:pPr>
        <w:pStyle w:val="Heading2"/>
        <w:bidi w:val="false"/>
        <w:spacing w:after="120" w:before="240"/>
        <w:jc w:val="left"/>
      </w:pPr>
      <w:r>
        <w:rPr>
          <w:rFonts w:ascii="Calibri" w:cs="Calibri" w:eastAsia="Calibri" w:hAnsi="Calibri"/>
          <w:b/>
          <w:bCs/>
          <w:color w:val="2E75B6"/>
          <w:sz w:val="25"/>
          <w:szCs w:val="25"/>
        </w:rPr>
        <w:t xml:space="preserve">Example: a constructed-response item for a partly covered topic</w:t>
      </w:r>
    </w:p>
    <w:p>
      <w:pPr>
        <w:bidi w:val="false"/>
        <w:spacing w:after="120" w:line="300"/>
        <w:jc w:val="left"/>
      </w:pPr>
      <w:r>
        <w:rPr>
          <w:rFonts w:ascii="Calibri" w:cs="Calibri" w:eastAsia="Calibri" w:hAnsi="Calibri"/>
          <w:sz w:val="22"/>
          <w:szCs w:val="22"/>
        </w:rPr>
        <w:t xml:space="preserve">In the hypothetical curriculum, the topic "Energy Transformation and Transfer" is partly taught. This item was written for the course to measure it at the Applying level:</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Maryam put a metal spoon and a wooden spoon in a cup of hot tea. After two minutes she touched the top end of each spoon, and found the end of the metal spoon clearly hotter. Explain why.</w:t>
      </w:r>
    </w:p>
    <w:p>
      <w:pPr>
        <w:spacing w:after="120"/>
      </w:pPr>
    </w:p>
    <w:p>
      <w:pPr>
        <w:bidi w:val="false"/>
        <w:spacing w:after="120" w:line="300"/>
        <w:jc w:val="left"/>
      </w:pPr>
      <w:r>
        <w:rPr>
          <w:rFonts w:ascii="Calibri" w:cs="Calibri" w:eastAsia="Calibri" w:hAnsi="Calibri"/>
          <w:b/>
          <w:bCs/>
          <w:sz w:val="22"/>
          <w:szCs w:val="22"/>
        </w:rPr>
        <w:t xml:space="preserve">Scoring guide: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7"/>
        <w:gridCol w:w="4395"/>
        <w:gridCol w:w="4396"/>
      </w:tblGrid>
      <w:tr>
        <w:trPr>
          <w:cantSplit/>
          <w:tblHeader/>
        </w:trPr>
        <w:tc>
          <w:tcPr>
            <w:tcW w:type="dxa" w:w="8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Score</w:t>
            </w:r>
          </w:p>
        </w:tc>
        <w:tc>
          <w:tcPr>
            <w:tcW w:type="dxa" w:w="43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Description</w:t>
            </w:r>
          </w:p>
        </w:tc>
        <w:tc>
          <w:tcPr>
            <w:tcW w:type="dxa" w:w="43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Examples of responses</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4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States that heat is transferred from the hot tea through the spoon to its end, and that metal is a better conductor of heat than wood</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metal carries the heat from the tea to the top of the spoon quickly, and the wood carries it slowly"</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4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States that metal is a good conductor of heat without describing its transfer from the tea to the end, or describes the transfer without comparing the two materials</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"Because metal is a conductor of heat"</w:t>
            </w:r>
          </w:p>
        </w:tc>
      </w:tr>
      <w:tr>
        <w:trPr>
          <w:cantSplit/>
        </w:trPr>
        <w:tc>
          <w:tcPr>
            <w:tcW w:type="dxa" w:w="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w:t>
            </w:r>
          </w:p>
        </w:tc>
        <w:tc>
          <w:tcPr>
            <w:tcW w:type="dxa" w:w="4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incorrect response, or one that does not address conduction</w:t>
            </w:r>
          </w:p>
        </w:tc>
        <w:tc>
          <w:tcPr>
            <w:tcW w:type="dxa" w:w="4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"Because metal is hot by nature", "Because the cold comes out of the wood"</w:t>
            </w:r>
          </w:p>
        </w:tc>
      </w:tr>
    </w:tbl>
    <w:p>
      <w:pPr>
        <w:spacing w:after="120"/>
      </w:pPr>
    </w:p>
    <w:p>
      <w:pPr>
        <w:bidi w:val="false"/>
        <w:spacing w:after="120" w:line="300"/>
        <w:jc w:val="left"/>
      </w:pPr>
      <w:r>
        <w:rPr>
          <w:rFonts w:ascii="Calibri" w:cs="Calibri" w:eastAsia="Calibri" w:hAnsi="Calibri"/>
          <w:sz w:val="22"/>
          <w:szCs w:val="22"/>
        </w:rPr>
        <w:t xml:space="preserve">Note that the second incorrect response reveals a common alternative conception of cold as something that is transferred. A good scoring guide keeps these responses, so that the teacher knows how their students went wrong, not just that they went wrong.</w:t>
      </w:r>
    </w:p>
    <w:p>
      <w:pPr>
        <w:pStyle w:val="Heading1"/>
        <w:bidi w:val="false"/>
        <w:spacing w:after="160" w:before="360"/>
        <w:jc w:val="left"/>
      </w:pPr>
      <w:r>
        <w:rPr>
          <w:rFonts w:ascii="Calibri" w:cs="Calibri" w:eastAsia="Calibri" w:hAnsi="Calibri"/>
          <w:b/>
          <w:bCs/>
          <w:color w:val="1F4E79"/>
          <w:sz w:val="30"/>
          <w:szCs w:val="30"/>
        </w:rPr>
        <w:t xml:space="preserve">8. Classifying items: what does the item actually require?</w:t>
      </w:r>
    </w:p>
    <w:p>
      <w:pPr>
        <w:bidi w:val="false"/>
        <w:spacing w:after="120" w:line="300"/>
        <w:jc w:val="left"/>
      </w:pPr>
      <w:r>
        <w:rPr>
          <w:rFonts w:ascii="Calibri" w:cs="Calibri" w:eastAsia="Calibri" w:hAnsi="Calibri"/>
          <w:sz w:val="22"/>
          <w:szCs w:val="22"/>
        </w:rPr>
        <w:t xml:space="preserve">The rule we learned in Weeks 3 and 6 applies here: </w:t>
      </w:r>
      <w:r>
        <w:rPr>
          <w:rFonts w:ascii="Calibri" w:cs="Calibri" w:eastAsia="Calibri" w:hAnsi="Calibri"/>
          <w:b/>
          <w:bCs/>
          <w:sz w:val="22"/>
          <w:szCs w:val="22"/>
        </w:rPr>
        <w:t xml:space="preserve">we classify the item by what it actually requires of a Grade 8 student, not by the verb written in its text.</w:t>
      </w:r>
    </w:p>
    <w:p>
      <w:pPr>
        <w:pStyle w:val="ListParagraph"/>
        <w:numPr>
          <w:ilvl w:val="0"/>
          <w:numId w:val="3"/>
        </w:numPr>
        <w:bidi w:val="false"/>
        <w:spacing w:after="80" w:line="300"/>
        <w:jc w:val="left"/>
      </w:pPr>
      <w:r>
        <w:rPr>
          <w:rFonts w:ascii="Calibri" w:cs="Calibri" w:eastAsia="Calibri" w:hAnsi="Calibri"/>
          <w:sz w:val="22"/>
          <w:szCs w:val="22"/>
        </w:rPr>
        <w:t xml:space="preserve">"Explain" may be </w:t>
      </w:r>
      <w:r>
        <w:rPr>
          <w:rFonts w:ascii="Calibri" w:cs="Calibri" w:eastAsia="Calibri" w:hAnsi="Calibri"/>
          <w:b/>
          <w:bCs/>
          <w:sz w:val="22"/>
          <w:szCs w:val="22"/>
        </w:rPr>
        <w:t xml:space="preserve">Knowing</w:t>
      </w:r>
      <w:r>
        <w:rPr>
          <w:rFonts w:ascii="Calibri" w:cs="Calibri" w:eastAsia="Calibri" w:hAnsi="Calibri"/>
          <w:sz w:val="22"/>
          <w:szCs w:val="22"/>
        </w:rPr>
        <w:t xml:space="preserve"> if the explanation is a sentence memorized from the textbook.</w:t>
      </w:r>
    </w:p>
    <w:p>
      <w:pPr>
        <w:pStyle w:val="ListParagraph"/>
        <w:numPr>
          <w:ilvl w:val="0"/>
          <w:numId w:val="3"/>
        </w:numPr>
        <w:bidi w:val="false"/>
        <w:spacing w:after="80" w:line="300"/>
        <w:jc w:val="left"/>
      </w:pPr>
      <w:r>
        <w:rPr>
          <w:rFonts w:ascii="Calibri" w:cs="Calibri" w:eastAsia="Calibri" w:hAnsi="Calibri"/>
          <w:sz w:val="22"/>
          <w:szCs w:val="22"/>
        </w:rPr>
        <w:t xml:space="preserve">And it may be </w:t>
      </w:r>
      <w:r>
        <w:rPr>
          <w:rFonts w:ascii="Calibri" w:cs="Calibri" w:eastAsia="Calibri" w:hAnsi="Calibri"/>
          <w:b/>
          <w:bCs/>
          <w:sz w:val="22"/>
          <w:szCs w:val="22"/>
        </w:rPr>
        <w:t xml:space="preserve">Applying</w:t>
      </w:r>
      <w:r>
        <w:rPr>
          <w:rFonts w:ascii="Calibri" w:cs="Calibri" w:eastAsia="Calibri" w:hAnsi="Calibri"/>
          <w:sz w:val="22"/>
          <w:szCs w:val="22"/>
        </w:rPr>
        <w:t xml:space="preserve"> if the student uses a studied concept in a familiar situation that is new to them.</w:t>
      </w:r>
    </w:p>
    <w:p>
      <w:pPr>
        <w:pStyle w:val="ListParagraph"/>
        <w:numPr>
          <w:ilvl w:val="0"/>
          <w:numId w:val="3"/>
        </w:numPr>
        <w:bidi w:val="false"/>
        <w:spacing w:after="80" w:line="300"/>
        <w:jc w:val="left"/>
      </w:pPr>
      <w:r>
        <w:rPr>
          <w:rFonts w:ascii="Calibri" w:cs="Calibri" w:eastAsia="Calibri" w:hAnsi="Calibri"/>
          <w:sz w:val="22"/>
          <w:szCs w:val="22"/>
        </w:rPr>
        <w:t xml:space="preserve">And it may be </w:t>
      </w:r>
      <w:r>
        <w:rPr>
          <w:rFonts w:ascii="Calibri" w:cs="Calibri" w:eastAsia="Calibri" w:hAnsi="Calibri"/>
          <w:b/>
          <w:bCs/>
          <w:sz w:val="22"/>
          <w:szCs w:val="22"/>
        </w:rPr>
        <w:t xml:space="preserve">Reasoning</w:t>
      </w:r>
      <w:r>
        <w:rPr>
          <w:rFonts w:ascii="Calibri" w:cs="Calibri" w:eastAsia="Calibri" w:hAnsi="Calibri"/>
          <w:sz w:val="22"/>
          <w:szCs w:val="22"/>
        </w:rPr>
        <w:t xml:space="preserve"> if the student analyses a new, complex situation, designs an investigation, or judges a conclusion and justifies it.</w:t>
      </w:r>
    </w:p>
    <w:p>
      <w:pPr>
        <w:bidi w:val="false"/>
        <w:spacing w:after="120" w:line="300"/>
        <w:jc w:val="left"/>
      </w:pPr>
      <w:r>
        <w:rPr>
          <w:rFonts w:ascii="Calibri" w:cs="Calibri" w:eastAsia="Calibri" w:hAnsi="Calibri"/>
          <w:sz w:val="22"/>
          <w:szCs w:val="22"/>
        </w:rPr>
        <w:t xml:space="preserve">That is why two classifiers may differ on the same item, and both be right, if their assumptions about what was taught differ. The solution is for the classifier to write their assumption explicitly: "I classify it as Applying because the example was not worked in the textbook".</w:t>
      </w:r>
    </w:p>
    <w:p>
      <w:pPr>
        <w:bidi w:val="false"/>
        <w:spacing w:after="120" w:line="300"/>
        <w:jc w:val="left"/>
      </w:pPr>
      <w:r>
        <w:rPr>
          <w:rFonts w:ascii="Calibri" w:cs="Calibri" w:eastAsia="Calibri" w:hAnsi="Calibri"/>
          <w:b/>
          <w:bCs/>
          <w:sz w:val="22"/>
          <w:szCs w:val="22"/>
        </w:rPr>
        <w:t xml:space="preserve">Small banks drift towards Reasoning.</w:t>
      </w:r>
      <w:r>
        <w:rPr>
          <w:rFonts w:ascii="Calibri" w:cs="Calibri" w:eastAsia="Calibri" w:hAnsi="Calibri"/>
          <w:sz w:val="22"/>
          <w:szCs w:val="22"/>
        </w:rPr>
        <w:t xml:space="preserve"> When a teacher or a small team writes a few items "in the TIMSS style", they tend towards engaging items: a scenario, an experiment and a justification. The result is often a bank in which Reasoning exceeds its weight in the framework and Knowing falls short. And in a bank of ten items, each item is worth 10% of the distribution, so a single item is enough to move the percentage by ten points. You will test this yourself in the workshop when you compare the distribution of your classification with the framework weights. This is a practical observation, not a research rule; verify it in every bank you build.</w:t>
      </w:r>
    </w:p>
    <w:p>
      <w:pPr>
        <w:pStyle w:val="Heading1"/>
        <w:bidi w:val="false"/>
        <w:spacing w:after="160" w:before="360"/>
        <w:jc w:val="left"/>
      </w:pPr>
      <w:r>
        <w:rPr>
          <w:rFonts w:ascii="Calibri" w:cs="Calibri" w:eastAsia="Calibri" w:hAnsi="Calibri"/>
          <w:b/>
          <w:bCs/>
          <w:color w:val="1F4E79"/>
          <w:sz w:val="30"/>
          <w:szCs w:val="30"/>
        </w:rPr>
        <w:t xml:space="preserve">9. Alignment, classification and writing with Claude's help</w:t>
      </w:r>
    </w:p>
    <w:p>
      <w:pPr>
        <w:bidi w:val="false"/>
        <w:spacing w:after="120" w:line="300"/>
        <w:jc w:val="left"/>
      </w:pPr>
      <w:r>
        <w:rPr>
          <w:rFonts w:ascii="Calibri" w:cs="Calibri" w:eastAsia="Calibri" w:hAnsi="Calibri"/>
          <w:sz w:val="22"/>
          <w:szCs w:val="22"/>
        </w:rPr>
        <w:t xml:space="preserve">The use level this week is 2: documented collaboration. Claude helps with three tasks, and for each there is something you must verify.</w:t>
      </w:r>
    </w:p>
    <w:p>
      <w:pPr>
        <w:bidi w:val="false"/>
        <w:spacing w:after="120" w:line="300"/>
        <w:jc w:val="left"/>
      </w:pPr>
      <w:r>
        <w:rPr>
          <w:rFonts w:ascii="Calibri" w:cs="Calibri" w:eastAsia="Calibri" w:hAnsi="Calibri"/>
          <w:b/>
          <w:bCs/>
          <w:sz w:val="22"/>
          <w:szCs w:val="22"/>
        </w:rPr>
        <w:t xml:space="preserve">1. Aligning the curriculum document with the framework topics.</w:t>
      </w:r>
    </w:p>
    <w:p>
      <w:pPr>
        <w:pStyle w:val="ListParagraph"/>
        <w:numPr>
          <w:ilvl w:val="0"/>
          <w:numId w:val="3"/>
        </w:numPr>
        <w:bidi w:val="false"/>
        <w:spacing w:after="80" w:line="300"/>
        <w:jc w:val="left"/>
      </w:pPr>
      <w:r>
        <w:rPr>
          <w:rFonts w:ascii="Calibri" w:cs="Calibri" w:eastAsia="Calibri" w:hAnsi="Calibri"/>
          <w:b/>
          <w:bCs/>
          <w:sz w:val="22"/>
          <w:szCs w:val="22"/>
        </w:rPr>
        <w:t xml:space="preserve">What it does well:</w:t>
      </w:r>
      <w:r>
        <w:rPr>
          <w:rFonts w:ascii="Calibri" w:cs="Calibri" w:eastAsia="Calibri" w:hAnsi="Calibri"/>
          <w:sz w:val="22"/>
          <w:szCs w:val="22"/>
        </w:rPr>
        <w:t xml:space="preserve"> reading unit titles and outcomes, suggesting the closest framework topic for each, and pointing out different wordings of the same meaning.</w:t>
      </w:r>
    </w:p>
    <w:p>
      <w:pPr>
        <w:pStyle w:val="ListParagraph"/>
        <w:numPr>
          <w:ilvl w:val="0"/>
          <w:numId w:val="3"/>
        </w:numPr>
        <w:bidi w:val="false"/>
        <w:spacing w:after="80" w:line="300"/>
        <w:jc w:val="left"/>
      </w:pPr>
      <w:r>
        <w:rPr>
          <w:rFonts w:ascii="Calibri" w:cs="Calibri" w:eastAsia="Calibri" w:hAnsi="Calibri"/>
          <w:b/>
          <w:bCs/>
          <w:sz w:val="22"/>
          <w:szCs w:val="22"/>
        </w:rPr>
        <w:t xml:space="preserve">What you verify:</w:t>
      </w:r>
      <w:r>
        <w:rPr>
          <w:rFonts w:ascii="Calibri" w:cs="Calibri" w:eastAsia="Calibri" w:hAnsi="Calibri"/>
          <w:sz w:val="22"/>
          <w:szCs w:val="22"/>
        </w:rPr>
        <w:t xml:space="preserve"> it may match by words rather than meaning. A unit titled "Energy" does not mean that "Energy Transformation and Transfer" is fully covered. Refer to the </w:t>
      </w:r>
      <w:r>
        <w:rPr>
          <w:rFonts w:ascii="Calibri" w:cs="Calibri" w:eastAsia="Calibri" w:hAnsi="Calibri"/>
          <w:b/>
          <w:bCs/>
          <w:sz w:val="22"/>
          <w:szCs w:val="22"/>
        </w:rPr>
        <w:t xml:space="preserve">official curriculum document</w:t>
      </w:r>
      <w:r>
        <w:rPr>
          <w:rFonts w:ascii="Calibri" w:cs="Calibri" w:eastAsia="Calibri" w:hAnsi="Calibri"/>
          <w:sz w:val="22"/>
          <w:szCs w:val="22"/>
        </w:rPr>
        <w:t xml:space="preserve">, not to Claude's memory of it or to your own memory. The coverage status is your decision, and its evidence is a line from the document.</w:t>
      </w:r>
    </w:p>
    <w:p>
      <w:pPr>
        <w:bidi w:val="false"/>
        <w:spacing w:after="120" w:line="300"/>
        <w:jc w:val="left"/>
      </w:pPr>
      <w:r>
        <w:rPr>
          <w:rFonts w:ascii="Calibri" w:cs="Calibri" w:eastAsia="Calibri" w:hAnsi="Calibri"/>
          <w:b/>
          <w:bCs/>
          <w:sz w:val="22"/>
          <w:szCs w:val="22"/>
        </w:rPr>
        <w:t xml:space="preserve">2. Classifying items.</w:t>
      </w:r>
    </w:p>
    <w:p>
      <w:pPr>
        <w:pStyle w:val="ListParagraph"/>
        <w:numPr>
          <w:ilvl w:val="0"/>
          <w:numId w:val="3"/>
        </w:numPr>
        <w:bidi w:val="false"/>
        <w:spacing w:after="80" w:line="300"/>
        <w:jc w:val="left"/>
      </w:pPr>
      <w:r>
        <w:rPr>
          <w:rFonts w:ascii="Calibri" w:cs="Calibri" w:eastAsia="Calibri" w:hAnsi="Calibri"/>
          <w:b/>
          <w:bCs/>
          <w:sz w:val="22"/>
          <w:szCs w:val="22"/>
        </w:rPr>
        <w:t xml:space="preserve">What it does well:</w:t>
      </w:r>
      <w:r>
        <w:rPr>
          <w:rFonts w:ascii="Calibri" w:cs="Calibri" w:eastAsia="Calibri" w:hAnsi="Calibri"/>
          <w:sz w:val="22"/>
          <w:szCs w:val="22"/>
        </w:rPr>
        <w:t xml:space="preserve"> quick classification with a justification for each item, and suggesting the two possible domains for borderline items.</w:t>
      </w:r>
    </w:p>
    <w:p>
      <w:pPr>
        <w:pStyle w:val="ListParagraph"/>
        <w:numPr>
          <w:ilvl w:val="0"/>
          <w:numId w:val="3"/>
        </w:numPr>
        <w:bidi w:val="false"/>
        <w:spacing w:after="80" w:line="300"/>
        <w:jc w:val="left"/>
      </w:pPr>
      <w:r>
        <w:rPr>
          <w:rFonts w:ascii="Calibri" w:cs="Calibri" w:eastAsia="Calibri" w:hAnsi="Calibri"/>
          <w:b/>
          <w:bCs/>
          <w:sz w:val="22"/>
          <w:szCs w:val="22"/>
        </w:rPr>
        <w:t xml:space="preserve">What you verify:</w:t>
      </w:r>
      <w:r>
        <w:rPr>
          <w:rFonts w:ascii="Calibri" w:cs="Calibri" w:eastAsia="Calibri" w:hAnsi="Calibri"/>
          <w:sz w:val="22"/>
          <w:szCs w:val="22"/>
        </w:rPr>
        <w:t xml:space="preserve"> Claude may tend to push the classification up towards Reasoning, especially with items containing "explain" or a long context. Classify on your own first, then compare, and ask it about each disagreement: what does the student do here that they did not do in the lesson?</w:t>
      </w:r>
    </w:p>
    <w:p>
      <w:pPr>
        <w:bidi w:val="false"/>
        <w:spacing w:after="120" w:line="300"/>
        <w:jc w:val="left"/>
      </w:pPr>
      <w:r>
        <w:rPr>
          <w:rFonts w:ascii="Calibri" w:cs="Calibri" w:eastAsia="Calibri" w:hAnsi="Calibri"/>
          <w:b/>
          <w:bCs/>
          <w:sz w:val="22"/>
          <w:szCs w:val="22"/>
        </w:rPr>
        <w:t xml:space="preserve">3. Drafting TIMSS-style items.</w:t>
      </w:r>
    </w:p>
    <w:p>
      <w:pPr>
        <w:pStyle w:val="ListParagraph"/>
        <w:numPr>
          <w:ilvl w:val="0"/>
          <w:numId w:val="3"/>
        </w:numPr>
        <w:bidi w:val="false"/>
        <w:spacing w:after="80" w:line="300"/>
        <w:jc w:val="left"/>
      </w:pPr>
      <w:r>
        <w:rPr>
          <w:rFonts w:ascii="Calibri" w:cs="Calibri" w:eastAsia="Calibri" w:hAnsi="Calibri"/>
          <w:b/>
          <w:bCs/>
          <w:sz w:val="22"/>
          <w:szCs w:val="22"/>
        </w:rPr>
        <w:t xml:space="preserve">What it does well:</w:t>
      </w:r>
      <w:r>
        <w:rPr>
          <w:rFonts w:ascii="Calibri" w:cs="Calibri" w:eastAsia="Calibri" w:hAnsi="Calibri"/>
          <w:sz w:val="22"/>
          <w:szCs w:val="22"/>
        </w:rPr>
        <w:t xml:space="preserve"> a draft context, task and scoring guide in minutes, and multiple alternative wordings.</w:t>
      </w:r>
    </w:p>
    <w:p>
      <w:pPr>
        <w:pStyle w:val="ListParagraph"/>
        <w:numPr>
          <w:ilvl w:val="0"/>
          <w:numId w:val="3"/>
        </w:numPr>
        <w:bidi w:val="false"/>
        <w:spacing w:after="80" w:line="300"/>
        <w:jc w:val="left"/>
      </w:pPr>
      <w:r>
        <w:rPr>
          <w:rFonts w:ascii="Calibri" w:cs="Calibri" w:eastAsia="Calibri" w:hAnsi="Calibri"/>
          <w:b/>
          <w:bCs/>
          <w:sz w:val="22"/>
          <w:szCs w:val="22"/>
        </w:rPr>
        <w:t xml:space="preserve">What you verify:</w:t>
      </w:r>
      <w:r>
        <w:rPr>
          <w:rFonts w:ascii="Calibri" w:cs="Calibri" w:eastAsia="Calibri" w:hAnsi="Calibri"/>
          <w:sz w:val="22"/>
          <w:szCs w:val="22"/>
        </w:rPr>
        <w:t xml:space="preserve"> scientific accuracy first; you are the content expert. Then the item's suitability for Grade 8 in its language and content. Then that the scoring guide measures understanding, not length.</w:t>
      </w:r>
    </w:p>
    <w:p>
      <w:pPr>
        <w:bidi w:val="false"/>
        <w:spacing w:after="120" w:line="300"/>
        <w:jc w:val="left"/>
      </w:pPr>
      <w:r>
        <w:rPr>
          <w:rFonts w:ascii="Calibri" w:cs="Calibri" w:eastAsia="Calibri" w:hAnsi="Calibri"/>
          <w:b/>
          <w:bCs/>
          <w:sz w:val="22"/>
          <w:szCs w:val="22"/>
        </w:rPr>
        <w:t xml:space="preserve">Two rules with no exceptions:</w:t>
      </w:r>
    </w:p>
    <w:p>
      <w:pPr>
        <w:pStyle w:val="ListParagraph"/>
        <w:numPr>
          <w:ilvl w:val="0"/>
          <w:numId w:val="3"/>
        </w:numPr>
        <w:bidi w:val="false"/>
        <w:spacing w:after="80" w:line="300"/>
        <w:jc w:val="left"/>
      </w:pPr>
      <w:r>
        <w:rPr>
          <w:rFonts w:ascii="Calibri" w:cs="Calibri" w:eastAsia="Calibri" w:hAnsi="Calibri"/>
          <w:b/>
          <w:bCs/>
          <w:sz w:val="22"/>
          <w:szCs w:val="22"/>
        </w:rPr>
        <w:t xml:space="preserve">No claim of official status.</w:t>
      </w:r>
      <w:r>
        <w:rPr>
          <w:rFonts w:ascii="Calibri" w:cs="Calibri" w:eastAsia="Calibri" w:hAnsi="Calibri"/>
          <w:sz w:val="22"/>
          <w:szCs w:val="22"/>
        </w:rPr>
        <w:t xml:space="preserve"> An item that you or Claude write is a "TIMSS-style item", not a "TIMSS item". And your matrix is not attributed to the study or to the ministry.</w:t>
      </w:r>
    </w:p>
    <w:p>
      <w:pPr>
        <w:pStyle w:val="ListParagraph"/>
        <w:numPr>
          <w:ilvl w:val="0"/>
          <w:numId w:val="3"/>
        </w:numPr>
        <w:bidi w:val="false"/>
        <w:spacing w:after="80" w:line="300"/>
        <w:jc w:val="left"/>
      </w:pPr>
      <w:r>
        <w:rPr>
          <w:rFonts w:ascii="Calibri" w:cs="Calibri" w:eastAsia="Calibri" w:hAnsi="Calibri"/>
          <w:b/>
          <w:bCs/>
          <w:sz w:val="22"/>
          <w:szCs w:val="22"/>
        </w:rPr>
        <w:t xml:space="preserve">No released items in Claude without permission.</w:t>
      </w:r>
      <w:r>
        <w:rPr>
          <w:rFonts w:ascii="Calibri" w:cs="Calibri" w:eastAsia="Calibri" w:hAnsi="Calibri"/>
          <w:sz w:val="22"/>
          <w:szCs w:val="22"/>
        </w:rPr>
        <w:t xml:space="preserve"> If you want to analyse the style of a released item, describe its characteristics in your own words.</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Why is it more valid to ask "Was this topic taught?" about TIMSS items than about PISA items?</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curriculum covers Biology at 50% and the other domains fully. Compute the weighted and unweighted coverage, and explain the difference between them.</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The performance of an education system in Earth science came out weaker than in the other domains. Write three possible explanations, and identify the data you need to distinguish between them.</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A colleague wants to collect the TIMSS released items and paste them into Claude to generate a test for their students from them. What are your comments?</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Claude gave you a classification of ten items, seven of them "Reasoning". What steps do you take before adopting the classification?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When is a digital interactive item better than a paper item that measures the same outcome? Give an example from your subject.</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Mullis, I. V. S., Martin, M. O., &amp; von Davier, M. (Eds.) (2021). TIMSS 2023 Assessment Frameworks. TIMSS &amp; PIRLS International Study Center, Boston College.</w:t>
      </w:r>
    </w:p>
    <w:p>
      <w:pPr>
        <w:bidi w:val="false"/>
        <w:spacing w:after="120" w:line="300"/>
        <w:jc w:val="left"/>
      </w:pPr>
      <w:r>
        <w:rPr>
          <w:rFonts w:ascii="Calibri" w:cs="Calibri" w:eastAsia="Calibri" w:hAnsi="Calibri"/>
          <w:sz w:val="22"/>
          <w:szCs w:val="22"/>
        </w:rPr>
        <w:t xml:space="preserve">The chapter on the science framework: the content domains and their topics, and the cognitive domains and their weights.</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von Davier, M., Kennedy, A., Reynolds, K., Fishbein, B., Khorramdel, L., Aldrich, C., Bookbinder, A., Bezirhan, U., &amp; Yin, L. (2024). TIMSS 2023 International Results in Mathematics and Science. IEA / TIMSS &amp; PIRLS International Study Center, Boston College.</w:t>
      </w:r>
    </w:p>
    <w:p>
      <w:pPr>
        <w:bidi w:val="false"/>
        <w:spacing w:after="120" w:line="300"/>
        <w:jc w:val="left"/>
      </w:pPr>
      <w:r>
        <w:rPr>
          <w:rFonts w:ascii="Calibri" w:cs="Calibri" w:eastAsia="Calibri" w:hAnsi="Calibri"/>
          <w:sz w:val="22"/>
          <w:szCs w:val="22"/>
        </w:rPr>
        <w:t xml:space="preserve">Webb, N. L. (1997). Criteria for alignment of expectations and assessments in mathematics and science education (Research Monograph No. 6). National Institute for Science Education.</w:t>
      </w:r>
    </w:p>
    <w:p>
      <w:pPr>
        <w:bidi w:val="false"/>
        <w:spacing w:after="120" w:line="300"/>
        <w:jc w:val="left"/>
      </w:pPr>
      <w:r>
        <w:rPr>
          <w:rFonts w:ascii="Calibri" w:cs="Calibri" w:eastAsia="Calibri" w:hAnsi="Calibri"/>
          <w:sz w:val="22"/>
          <w:szCs w:val="22"/>
        </w:rPr>
        <w:t xml:space="preserve">Haladyna, T. M., &amp; Rodriguez, M. C. (2013). Developing and Validating Test Items. Routledge.</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pStyle w:val="Heading2"/>
        <w:bidi w:val="false"/>
        <w:spacing w:after="120" w:before="240"/>
        <w:jc w:val="left"/>
      </w:pPr>
      <w:r>
        <w:rPr>
          <w:rFonts w:ascii="Calibri" w:cs="Calibri" w:eastAsia="Calibri" w:hAnsi="Calibri"/>
          <w:b/>
          <w:bCs/>
          <w:color w:val="2E75B6"/>
          <w:sz w:val="25"/>
          <w:szCs w:val="25"/>
        </w:rPr>
        <w:t xml:space="preserve">Critical reading (related to AI)</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bidi w:val="false"/>
        <w:spacing w:after="120" w:line="300"/>
        <w:jc w:val="left"/>
      </w:pPr>
      <w:r>
        <w:rPr>
          <w:rFonts w:ascii="Calibri" w:cs="Calibri" w:eastAsia="Calibri" w:hAnsi="Calibri"/>
          <w:sz w:val="22"/>
          <w:szCs w:val="22"/>
        </w:rPr>
        <w:t xml:space="preserve">Read the parts on intellectual property and verifying generated content, and link them to Sections 6 and 9.</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1"/>
        <w:gridCol w:w="5547"/>
      </w:tblGrid>
      <w:tr>
        <w:trPr>
          <w:cantSplit/>
          <w:tblHeader/>
        </w:trPr>
        <w:tc>
          <w:tcPr>
            <w:tcW w:type="dxa" w:w="40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(as used in these notes)</w:t>
            </w:r>
          </w:p>
        </w:tc>
        <w:tc>
          <w:tcPr>
            <w:tcW w:type="dxa" w:w="55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Major international studies</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Large-scale international assessments</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TIMSS</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TIMSS (Trends in International Mathematics and Science Study)</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PISA</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PISA (Programme for International Student Assessment)</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PIRLS</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PIRLS (Progress in International Reading Literacy Study)</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framework</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framework</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domain</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domain</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domain</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domain</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 Applying, Reasoning</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 Applying, Reasoning</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Constructed response</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Constructed response</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Scoring guide</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Scoring guide</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Digital interactive item</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Digital interactive item</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Problem solving and inquiry tasks</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Problem Solving and Inquiry Tasks (PSIs)</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Opportunity to learn</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Opportunity to learn (OTL)</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Intended, implemented and attained curriculum</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Intended, implemented and attained curriculum</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Curriculum alignment</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Curriculum alignment</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Alignment matrix</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Alignment matrix</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Weighted coverage</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Weighted coverage</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Released items</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Released items</w:t>
            </w:r>
          </w:p>
        </w:tc>
      </w:tr>
      <w:tr>
        <w:trPr>
          <w:cantSplit/>
        </w:trPr>
        <w:tc>
          <w:tcPr>
            <w:tcW w:type="dxa" w:w="4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TIMSS Encyclopedia</w:t>
            </w:r>
          </w:p>
        </w:tc>
        <w:tc>
          <w:tcPr>
            <w:tcW w:type="dxa" w:w="5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TIMSS Encyclopedia</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12: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 Lecture Notes</dc:title>
  <dc:creator>Emad Adel Fraij</dc:creator>
  <cp:lastModifiedBy>Un-named</cp:lastModifiedBy>
  <cp:revision>1</cp:revision>
  <dcterms:created xsi:type="dcterms:W3CDTF">2026-10-15T04:06:19.761Z</dcterms:created>
  <dcterms:modified xsi:type="dcterms:W3CDTF">2026-10-15T04:06:19.761Z</dcterms:modified>
</cp:coreProperties>
</file>

<file path=docProps/custom.xml><?xml version="1.0" encoding="utf-8"?>
<Properties xmlns="http://schemas.openxmlformats.org/officeDocument/2006/custom-properties" xmlns:vt="http://schemas.openxmlformats.org/officeDocument/2006/docPropsVTypes"/>
</file>