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13 — Reading Performance Reports and Contextual Data</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course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Read the components of an international results report: the scale, the means and their standard errors, the benchmarks, the trend, and the contextual data.</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Judge the significance of the difference between two means using the critical ratio, and explain why the ranking alone misleads.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Read the cumulative percentages at the benchmarks correctly, and convert them into percentages within each band.</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Interpret contextual data correlationally, not causally, and name possible confounding variables.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a one-page policy memo that stays within the limits of what the data say.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Check a summary written by Claude against the tables, and detect its three typical errors.</w:t>
      </w:r>
    </w:p>
    <w:p>
      <w:pPr>
        <w:bidi w:val="false"/>
        <w:spacing w:after="120" w:line="300"/>
        <w:jc w:val="left"/>
      </w:pPr>
      <w:r>
        <w:rPr>
          <w:rFonts w:ascii="Calibri" w:cs="Calibri" w:eastAsia="Calibri" w:hAnsi="Calibri"/>
          <w:sz w:val="22"/>
          <w:szCs w:val="22"/>
        </w:rPr>
        <w:t xml:space="preserve">This week serves course outcome 5, and completes what we began in Week 12 on the frameworks of international studies: there we read what the study measures, and here we read what its results say and what they do not say.</w:t>
      </w:r>
    </w:p>
    <w:p>
      <w:pPr>
        <w:bidi w:val="false"/>
        <w:spacing w:after="120" w:line="300"/>
        <w:jc w:val="left"/>
      </w:pPr>
      <w:r>
        <w:rPr>
          <w:rFonts w:ascii="Calibri" w:cs="Calibri" w:eastAsia="Calibri" w:hAnsi="Calibri"/>
          <w:b/>
          <w:bCs/>
          <w:sz w:val="22"/>
          <w:szCs w:val="22"/>
        </w:rPr>
        <w:t xml:space="preserve">Note:</w:t>
      </w:r>
      <w:r>
        <w:rPr>
          <w:rFonts w:ascii="Calibri" w:cs="Calibri" w:eastAsia="Calibri" w:hAnsi="Calibri"/>
          <w:sz w:val="22"/>
          <w:szCs w:val="22"/>
        </w:rPr>
        <w:t xml:space="preserve"> The education systems in this week (System A to System H) are </w:t>
      </w:r>
      <w:r>
        <w:rPr>
          <w:rFonts w:ascii="Calibri" w:cs="Calibri" w:eastAsia="Calibri" w:hAnsi="Calibri"/>
          <w:b/>
          <w:bCs/>
          <w:sz w:val="22"/>
          <w:szCs w:val="22"/>
        </w:rPr>
        <w:t xml:space="preserve">fictitious</w:t>
      </w:r>
      <w:r>
        <w:rPr>
          <w:rFonts w:ascii="Calibri" w:cs="Calibri" w:eastAsia="Calibri" w:hAnsi="Calibri"/>
          <w:sz w:val="22"/>
          <w:szCs w:val="22"/>
        </w:rPr>
        <w:t xml:space="preserve">, and their figures are simulated in the style of international study reports. They do not represent any real country or emirate, and must not be attributed to any published study.</w:t>
      </w:r>
    </w:p>
    <w:p>
      <w:pPr>
        <w:pStyle w:val="Heading1"/>
        <w:bidi w:val="false"/>
        <w:spacing w:after="160" w:before="360"/>
        <w:jc w:val="left"/>
      </w:pPr>
      <w:r>
        <w:rPr>
          <w:rFonts w:ascii="Calibri" w:cs="Calibri" w:eastAsia="Calibri" w:hAnsi="Calibri"/>
          <w:b/>
          <w:bCs/>
          <w:color w:val="1F4E79"/>
          <w:sz w:val="30"/>
          <w:szCs w:val="30"/>
        </w:rPr>
        <w:t xml:space="preserve">1. Why do we learn to read reports?</w:t>
      </w:r>
    </w:p>
    <w:p>
      <w:pPr>
        <w:bidi w:val="false"/>
        <w:spacing w:after="120" w:line="300"/>
        <w:jc w:val="left"/>
      </w:pPr>
      <w:r>
        <w:rPr>
          <w:rFonts w:ascii="Calibri" w:cs="Calibri" w:eastAsia="Calibri" w:hAnsi="Calibri"/>
          <w:sz w:val="22"/>
          <w:szCs w:val="22"/>
        </w:rPr>
        <w:t xml:space="preserve">An international results report reaches the ministry, the school and the media at the same time, but each party reads it differently. The media look for the ranking, the official looks for a number that sums up progress, and the teacher looks for what to do in class. The danger is that precise numbers turn into imprecise conclusions.</w:t>
      </w:r>
    </w:p>
    <w:p>
      <w:pPr>
        <w:bidi w:val="false"/>
        <w:spacing w:after="120" w:line="300"/>
        <w:jc w:val="left"/>
      </w:pPr>
      <w:r>
        <w:rPr>
          <w:rFonts w:ascii="Calibri" w:cs="Calibri" w:eastAsia="Calibri" w:hAnsi="Calibri"/>
          <w:sz w:val="22"/>
          <w:szCs w:val="22"/>
        </w:rPr>
        <w:t xml:space="preserve">Here we return to the idea of validity as we studied it in Week 3: validity is not a property of the test, but of the interpretations and uses we build on its scores (Standards for Educational and Psychological Testing, 2014; Kane, 2013). A high-quality international test may be used with weak validity if we read its report wrongly. The reader of the report is therefore a partner in the validity of the results, not merely a recipient of them.</w:t>
      </w:r>
    </w:p>
    <w:p>
      <w:pPr>
        <w:bidi w:val="false"/>
        <w:spacing w:after="120" w:line="300"/>
        <w:jc w:val="left"/>
      </w:pPr>
      <w:r>
        <w:rPr>
          <w:rFonts w:ascii="Calibri" w:cs="Calibri" w:eastAsia="Calibri" w:hAnsi="Calibri"/>
          <w:sz w:val="22"/>
          <w:szCs w:val="22"/>
        </w:rPr>
        <w:t xml:space="preserve">Three rules govern this week:</w:t>
      </w:r>
    </w:p>
    <w:p>
      <w:pPr>
        <w:pStyle w:val="ListParagraph"/>
        <w:numPr>
          <w:ilvl w:val="0"/>
          <w:numId w:val="3"/>
        </w:numPr>
        <w:bidi w:val="false"/>
        <w:spacing w:after="80" w:line="300"/>
        <w:jc w:val="left"/>
      </w:pPr>
      <w:r>
        <w:rPr>
          <w:rFonts w:ascii="Calibri" w:cs="Calibri" w:eastAsia="Calibri" w:hAnsi="Calibri"/>
          <w:b/>
          <w:bCs/>
          <w:sz w:val="22"/>
          <w:szCs w:val="22"/>
        </w:rPr>
        <w:t xml:space="preserve">Every mean is an estimate with a margin of error.</w:t>
      </w:r>
      <w:r>
        <w:rPr>
          <w:rFonts w:ascii="Calibri" w:cs="Calibri" w:eastAsia="Calibri" w:hAnsi="Calibri"/>
          <w:sz w:val="22"/>
          <w:szCs w:val="22"/>
        </w:rPr>
        <w:t xml:space="preserve"> We do not compare two numbers without reading their two standard errors.</w:t>
      </w:r>
    </w:p>
    <w:p>
      <w:pPr>
        <w:pStyle w:val="ListParagraph"/>
        <w:numPr>
          <w:ilvl w:val="0"/>
          <w:numId w:val="3"/>
        </w:numPr>
        <w:bidi w:val="false"/>
        <w:spacing w:after="80" w:line="300"/>
        <w:jc w:val="left"/>
      </w:pPr>
      <w:r>
        <w:rPr>
          <w:rFonts w:ascii="Calibri" w:cs="Calibri" w:eastAsia="Calibri" w:hAnsi="Calibri"/>
          <w:b/>
          <w:bCs/>
          <w:sz w:val="22"/>
          <w:szCs w:val="22"/>
        </w:rPr>
        <w:t xml:space="preserve">The percentages in benchmark tables are cumulative.</w:t>
      </w:r>
      <w:r>
        <w:rPr>
          <w:rFonts w:ascii="Calibri" w:cs="Calibri" w:eastAsia="Calibri" w:hAnsi="Calibri"/>
          <w:sz w:val="22"/>
          <w:szCs w:val="22"/>
        </w:rPr>
        <w:t xml:space="preserve"> They are not added.</w:t>
      </w:r>
    </w:p>
    <w:p>
      <w:pPr>
        <w:pStyle w:val="ListParagraph"/>
        <w:numPr>
          <w:ilvl w:val="0"/>
          <w:numId w:val="3"/>
        </w:numPr>
        <w:bidi w:val="false"/>
        <w:spacing w:after="80" w:line="300"/>
        <w:jc w:val="left"/>
      </w:pPr>
      <w:r>
        <w:rPr>
          <w:rFonts w:ascii="Calibri" w:cs="Calibri" w:eastAsia="Calibri" w:hAnsi="Calibri"/>
          <w:b/>
          <w:bCs/>
          <w:sz w:val="22"/>
          <w:szCs w:val="22"/>
        </w:rPr>
        <w:t xml:space="preserve">Correlation is not causation.</w:t>
      </w:r>
      <w:r>
        <w:rPr>
          <w:rFonts w:ascii="Calibri" w:cs="Calibri" w:eastAsia="Calibri" w:hAnsi="Calibri"/>
          <w:sz w:val="22"/>
          <w:szCs w:val="22"/>
        </w:rPr>
        <w:t xml:space="preserve"> Contextual data describe what accompanies performance, and do not prove what causes it.</w:t>
      </w:r>
    </w:p>
    <w:p>
      <w:pPr>
        <w:pStyle w:val="Heading1"/>
        <w:bidi w:val="false"/>
        <w:spacing w:after="160" w:before="360"/>
        <w:jc w:val="left"/>
      </w:pPr>
      <w:r>
        <w:rPr>
          <w:rFonts w:ascii="Calibri" w:cs="Calibri" w:eastAsia="Calibri" w:hAnsi="Calibri"/>
          <w:b/>
          <w:bCs/>
          <w:color w:val="1F4E79"/>
          <w:sz w:val="30"/>
          <w:szCs w:val="30"/>
        </w:rPr>
        <w:t xml:space="preserve">2. Anatomy of an international results report</w:t>
      </w:r>
    </w:p>
    <w:p>
      <w:pPr>
        <w:bidi w:val="false"/>
        <w:spacing w:after="120" w:line="300"/>
        <w:jc w:val="left"/>
      </w:pPr>
      <w:r>
        <w:rPr>
          <w:rFonts w:ascii="Calibri" w:cs="Calibri" w:eastAsia="Calibri" w:hAnsi="Calibri"/>
          <w:sz w:val="22"/>
          <w:szCs w:val="22"/>
        </w:rPr>
        <w:t xml:space="preserve">The results report in studies such as TIMSS, PIRLS and PISA consists of five layers. Here we use TIMSS terminology because it is the closest to the work of science and mathematics teachers.</w:t>
      </w:r>
    </w:p>
    <w:p>
      <w:pPr>
        <w:pStyle w:val="Heading2"/>
        <w:bidi w:val="false"/>
        <w:spacing w:after="120" w:before="240"/>
        <w:jc w:val="left"/>
      </w:pPr>
      <w:r>
        <w:rPr>
          <w:rFonts w:ascii="Calibri" w:cs="Calibri" w:eastAsia="Calibri" w:hAnsi="Calibri"/>
          <w:b/>
          <w:bCs/>
          <w:color w:val="2E75B6"/>
          <w:sz w:val="25"/>
          <w:szCs w:val="25"/>
        </w:rPr>
        <w:t xml:space="preserve">2.1 The scale and the midpoint of 500</w:t>
      </w:r>
    </w:p>
    <w:p>
      <w:pPr>
        <w:bidi w:val="false"/>
        <w:spacing w:after="120" w:line="300"/>
        <w:jc w:val="left"/>
      </w:pPr>
      <w:r>
        <w:rPr>
          <w:rFonts w:ascii="Calibri" w:cs="Calibri" w:eastAsia="Calibri" w:hAnsi="Calibri"/>
          <w:sz w:val="22"/>
          <w:szCs w:val="22"/>
        </w:rPr>
        <w:t xml:space="preserve">The report does not show the percentage of correct answers, but a score on a common scale. The midpoint of the TIMSS scale is 500 (von Davier et al., 2024), and it was fixed when the scale was established in the first cycle to correspond to the average of the countries participating at that time, with a standard deviation of 100. Since then, each cycle has been linked to the same scale.</w:t>
      </w:r>
    </w:p>
    <w:p>
      <w:pPr>
        <w:bidi w:val="false"/>
        <w:spacing w:after="120" w:line="300"/>
        <w:jc w:val="left"/>
      </w:pPr>
      <w:r>
        <w:rPr>
          <w:rFonts w:ascii="Calibri" w:cs="Calibri" w:eastAsia="Calibri" w:hAnsi="Calibri"/>
          <w:sz w:val="22"/>
          <w:szCs w:val="22"/>
        </w:rPr>
        <w:t xml:space="preserve">A common error: reading 500 as the "international average" of the current cycle. It is a fixed reference point, not the average of the countries participating in the current cycle. A system with a mean of 510 is above the midpoint, but this does not automatically mean that it is in the upper half of the countries participating in the cycle.</w:t>
      </w:r>
    </w:p>
    <w:p>
      <w:pPr>
        <w:pStyle w:val="Heading2"/>
        <w:bidi w:val="false"/>
        <w:spacing w:after="120" w:before="240"/>
        <w:jc w:val="left"/>
      </w:pPr>
      <w:r>
        <w:rPr>
          <w:rFonts w:ascii="Calibri" w:cs="Calibri" w:eastAsia="Calibri" w:hAnsi="Calibri"/>
          <w:b/>
          <w:bCs/>
          <w:color w:val="2E75B6"/>
          <w:sz w:val="25"/>
          <w:szCs w:val="25"/>
        </w:rPr>
        <w:t xml:space="preserve">2.2 The mean and the standard error</w:t>
      </w:r>
    </w:p>
    <w:p>
      <w:pPr>
        <w:bidi w:val="false"/>
        <w:spacing w:after="120" w:line="300"/>
        <w:jc w:val="left"/>
      </w:pPr>
      <w:r>
        <w:rPr>
          <w:rFonts w:ascii="Calibri" w:cs="Calibri" w:eastAsia="Calibri" w:hAnsi="Calibri"/>
          <w:sz w:val="22"/>
          <w:szCs w:val="22"/>
        </w:rPr>
        <w:t xml:space="preserve">Each system's mean is published with a number in brackets, such as 519 (3.1). The second number is the </w:t>
      </w:r>
      <w:r>
        <w:rPr>
          <w:rFonts w:ascii="Calibri" w:cs="Calibri" w:eastAsia="Calibri" w:hAnsi="Calibri"/>
          <w:b/>
          <w:bCs/>
          <w:sz w:val="22"/>
          <w:szCs w:val="22"/>
        </w:rPr>
        <w:t xml:space="preserve">standard error</w:t>
      </w:r>
      <w:r>
        <w:rPr>
          <w:rFonts w:ascii="Calibri" w:cs="Calibri" w:eastAsia="Calibri" w:hAnsi="Calibri"/>
          <w:sz w:val="22"/>
          <w:szCs w:val="22"/>
        </w:rPr>
        <w:t xml:space="preserve">, and it expresses the precision of estimating the mean. Section 3 is devoted to it.</w:t>
      </w:r>
    </w:p>
    <w:p>
      <w:pPr>
        <w:pStyle w:val="Heading2"/>
        <w:bidi w:val="false"/>
        <w:spacing w:after="120" w:before="240"/>
        <w:jc w:val="left"/>
      </w:pPr>
      <w:r>
        <w:rPr>
          <w:rFonts w:ascii="Calibri" w:cs="Calibri" w:eastAsia="Calibri" w:hAnsi="Calibri"/>
          <w:b/>
          <w:bCs/>
          <w:color w:val="2E75B6"/>
          <w:sz w:val="25"/>
          <w:szCs w:val="25"/>
        </w:rPr>
        <w:t xml:space="preserve">2.3 The international benchmarks</w:t>
      </w:r>
    </w:p>
    <w:p>
      <w:pPr>
        <w:bidi w:val="false"/>
        <w:spacing w:after="120" w:line="300"/>
        <w:jc w:val="left"/>
      </w:pPr>
      <w:r>
        <w:rPr>
          <w:rFonts w:ascii="Calibri" w:cs="Calibri" w:eastAsia="Calibri" w:hAnsi="Calibri"/>
          <w:sz w:val="22"/>
          <w:szCs w:val="22"/>
        </w:rPr>
        <w:t xml:space="preserve">Instead of being content with the mean, the report divides the scale at four fixed points, and shows the percentage of students who reached each of them (von Davier et al., 2024):</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2"/>
        <w:gridCol w:w="3546"/>
      </w:tblGrid>
      <w:tr>
        <w:trPr>
          <w:cantSplit/>
          <w:tblHeader/>
        </w:trPr>
        <w:tc>
          <w:tcPr>
            <w:tcW w:type="dxa" w:w="60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Benchmark</w:t>
            </w:r>
          </w:p>
        </w:tc>
        <w:tc>
          <w:tcPr>
            <w:tcW w:type="dxa" w:w="35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Score</w:t>
            </w:r>
          </w:p>
        </w:tc>
      </w:tr>
      <w:tr>
        <w:trPr>
          <w:cantSplit/>
        </w:trPr>
        <w:tc>
          <w:tcPr>
            <w:tcW w:type="dxa" w:w="6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Advanced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625</w:t>
            </w:r>
          </w:p>
        </w:tc>
      </w:tr>
      <w:tr>
        <w:trPr>
          <w:cantSplit/>
        </w:trPr>
        <w:tc>
          <w:tcPr>
            <w:tcW w:type="dxa" w:w="6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550</w:t>
            </w:r>
          </w:p>
        </w:tc>
      </w:tr>
      <w:tr>
        <w:trPr>
          <w:cantSplit/>
        </w:trPr>
        <w:tc>
          <w:tcPr>
            <w:tcW w:type="dxa" w:w="6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Intermediate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475</w:t>
            </w:r>
          </w:p>
        </w:tc>
      </w:tr>
      <w:tr>
        <w:trPr>
          <w:cantSplit/>
        </w:trPr>
        <w:tc>
          <w:tcPr>
            <w:tcW w:type="dxa" w:w="6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400</w:t>
            </w:r>
          </w:p>
        </w:tc>
      </w:tr>
    </w:tbl>
    <w:p>
      <w:pPr>
        <w:spacing w:after="120"/>
      </w:pPr>
    </w:p>
    <w:p>
      <w:pPr>
        <w:bidi w:val="false"/>
        <w:spacing w:after="120" w:line="300"/>
        <w:jc w:val="left"/>
      </w:pPr>
      <w:r>
        <w:rPr>
          <w:rFonts w:ascii="Calibri" w:cs="Calibri" w:eastAsia="Calibri" w:hAnsi="Calibri"/>
          <w:sz w:val="22"/>
          <w:szCs w:val="22"/>
        </w:rPr>
        <w:t xml:space="preserve">These benchmarks answer a question that the mean does not answer: how are the students distributed? Section 5 is devoted to reading them.</w:t>
      </w:r>
    </w:p>
    <w:p>
      <w:pPr>
        <w:pStyle w:val="Heading2"/>
        <w:bidi w:val="false"/>
        <w:spacing w:after="120" w:before="240"/>
        <w:jc w:val="left"/>
      </w:pPr>
      <w:r>
        <w:rPr>
          <w:rFonts w:ascii="Calibri" w:cs="Calibri" w:eastAsia="Calibri" w:hAnsi="Calibri"/>
          <w:b/>
          <w:bCs/>
          <w:color w:val="2E75B6"/>
          <w:sz w:val="25"/>
          <w:szCs w:val="25"/>
        </w:rPr>
        <w:t xml:space="preserve">2.4 Trend</w:t>
      </w:r>
    </w:p>
    <w:p>
      <w:pPr>
        <w:bidi w:val="false"/>
        <w:spacing w:after="120" w:line="300"/>
        <w:jc w:val="left"/>
      </w:pPr>
      <w:r>
        <w:rPr>
          <w:rFonts w:ascii="Calibri" w:cs="Calibri" w:eastAsia="Calibri" w:hAnsi="Calibri"/>
          <w:sz w:val="22"/>
          <w:szCs w:val="22"/>
        </w:rPr>
        <w:t xml:space="preserve">Because the cycles are linked to a single scale, the report shows the change in a system's performance between two or more cycles. This is what the decision-maker cares about most: have we improved? Section 6 is devoted to it.</w:t>
      </w:r>
    </w:p>
    <w:p>
      <w:pPr>
        <w:pStyle w:val="Heading2"/>
        <w:bidi w:val="false"/>
        <w:spacing w:after="120" w:before="240"/>
        <w:jc w:val="left"/>
      </w:pPr>
      <w:r>
        <w:rPr>
          <w:rFonts w:ascii="Calibri" w:cs="Calibri" w:eastAsia="Calibri" w:hAnsi="Calibri"/>
          <w:b/>
          <w:bCs/>
          <w:color w:val="2E75B6"/>
          <w:sz w:val="25"/>
          <w:szCs w:val="25"/>
        </w:rPr>
        <w:t xml:space="preserve">2.5 Context questionnaires</w:t>
      </w:r>
    </w:p>
    <w:p>
      <w:pPr>
        <w:bidi w:val="false"/>
        <w:spacing w:after="120" w:line="300"/>
        <w:jc w:val="left"/>
      </w:pPr>
      <w:r>
        <w:rPr>
          <w:rFonts w:ascii="Calibri" w:cs="Calibri" w:eastAsia="Calibri" w:hAnsi="Calibri"/>
          <w:sz w:val="22"/>
          <w:szCs w:val="22"/>
        </w:rPr>
        <w:t xml:space="preserve">Students, parents (at Grade 4), teachers and school principals answer questionnaires about the home, the school, the classroom and students' attitudes. The report then shows performance by the categories of these questionnaires, such as home resources for learning. Section 7 is devoted to reading them.</w:t>
      </w:r>
    </w:p>
    <w:p>
      <w:pPr>
        <w:pStyle w:val="Heading1"/>
        <w:bidi w:val="false"/>
        <w:spacing w:after="160" w:before="360"/>
        <w:jc w:val="left"/>
      </w:pPr>
      <w:r>
        <w:rPr>
          <w:rFonts w:ascii="Calibri" w:cs="Calibri" w:eastAsia="Calibri" w:hAnsi="Calibri"/>
          <w:b/>
          <w:bCs/>
          <w:color w:val="1F4E79"/>
          <w:sz w:val="30"/>
          <w:szCs w:val="30"/>
        </w:rPr>
        <w:t xml:space="preserve">3. The standard error: why does the ranking mislead?</w:t>
      </w:r>
    </w:p>
    <w:p>
      <w:pPr>
        <w:pStyle w:val="Heading2"/>
        <w:bidi w:val="false"/>
        <w:spacing w:after="120" w:before="240"/>
        <w:jc w:val="left"/>
      </w:pPr>
      <w:r>
        <w:rPr>
          <w:rFonts w:ascii="Calibri" w:cs="Calibri" w:eastAsia="Calibri" w:hAnsi="Calibri"/>
          <w:b/>
          <w:bCs/>
          <w:color w:val="2E75B6"/>
          <w:sz w:val="25"/>
          <w:szCs w:val="25"/>
        </w:rPr>
        <w:t xml:space="preserve">3.1 Where does the standard error come from?</w:t>
      </w:r>
    </w:p>
    <w:p>
      <w:pPr>
        <w:bidi w:val="false"/>
        <w:spacing w:after="120" w:line="300"/>
        <w:jc w:val="left"/>
      </w:pPr>
      <w:r>
        <w:rPr>
          <w:rFonts w:ascii="Calibri" w:cs="Calibri" w:eastAsia="Calibri" w:hAnsi="Calibri"/>
          <w:sz w:val="22"/>
          <w:szCs w:val="22"/>
        </w:rPr>
        <w:t xml:space="preserve">The system's mean in the report is not the mean of all the system's students, but an estimate from a </w:t>
      </w:r>
      <w:r>
        <w:rPr>
          <w:rFonts w:ascii="Calibri" w:cs="Calibri" w:eastAsia="Calibri" w:hAnsi="Calibri"/>
          <w:b/>
          <w:bCs/>
          <w:sz w:val="22"/>
          <w:szCs w:val="22"/>
        </w:rPr>
        <w:t xml:space="preserve">sample</w:t>
      </w:r>
      <w:r>
        <w:rPr>
          <w:rFonts w:ascii="Calibri" w:cs="Calibri" w:eastAsia="Calibri" w:hAnsi="Calibri"/>
          <w:sz w:val="22"/>
          <w:szCs w:val="22"/>
        </w:rPr>
        <w:t xml:space="preserve">. The study selects a number of schools, then classes within them. If another sample were selected in the same way, a slightly different mean would result. The standard error measures the size of this expected fluctuation.</w:t>
      </w:r>
    </w:p>
    <w:p>
      <w:pPr>
        <w:bidi w:val="false"/>
        <w:spacing w:after="120" w:line="300"/>
        <w:jc w:val="left"/>
      </w:pPr>
      <w:r>
        <w:rPr>
          <w:rFonts w:ascii="Calibri" w:cs="Calibri" w:eastAsia="Calibri" w:hAnsi="Calibri"/>
          <w:sz w:val="22"/>
          <w:szCs w:val="22"/>
        </w:rPr>
        <w:t xml:space="preserve">The standard error comes from two sources:</w:t>
      </w:r>
    </w:p>
    <w:p>
      <w:pPr>
        <w:pStyle w:val="ListParagraph"/>
        <w:numPr>
          <w:ilvl w:val="0"/>
          <w:numId w:val="3"/>
        </w:numPr>
        <w:bidi w:val="false"/>
        <w:spacing w:after="80" w:line="300"/>
        <w:jc w:val="left"/>
      </w:pPr>
      <w:r>
        <w:rPr>
          <w:rFonts w:ascii="Calibri" w:cs="Calibri" w:eastAsia="Calibri" w:hAnsi="Calibri"/>
          <w:b/>
          <w:bCs/>
          <w:sz w:val="22"/>
          <w:szCs w:val="22"/>
        </w:rPr>
        <w:t xml:space="preserve">Sampling of students:</w:t>
      </w:r>
      <w:r>
        <w:rPr>
          <w:rFonts w:ascii="Calibri" w:cs="Calibri" w:eastAsia="Calibri" w:hAnsi="Calibri"/>
          <w:sz w:val="22"/>
          <w:szCs w:val="22"/>
        </w:rPr>
        <w:t xml:space="preserve"> This is usually the larger source. And because students in the same school resemble each other, a sample from relatively few schools gives less information than the number of students suggests.</w:t>
      </w:r>
    </w:p>
    <w:p>
      <w:pPr>
        <w:pStyle w:val="ListParagraph"/>
        <w:numPr>
          <w:ilvl w:val="0"/>
          <w:numId w:val="3"/>
        </w:numPr>
        <w:bidi w:val="false"/>
        <w:spacing w:after="80" w:line="300"/>
        <w:jc w:val="left"/>
      </w:pPr>
      <w:r>
        <w:rPr>
          <w:rFonts w:ascii="Calibri" w:cs="Calibri" w:eastAsia="Calibri" w:hAnsi="Calibri"/>
          <w:b/>
          <w:bCs/>
          <w:sz w:val="22"/>
          <w:szCs w:val="22"/>
        </w:rPr>
        <w:t xml:space="preserve">Measurement:</w:t>
      </w:r>
      <w:r>
        <w:rPr>
          <w:rFonts w:ascii="Calibri" w:cs="Calibri" w:eastAsia="Calibri" w:hAnsi="Calibri"/>
          <w:sz w:val="22"/>
          <w:szCs w:val="22"/>
        </w:rPr>
        <w:t xml:space="preserve"> Each student answers only part of the test items, so studies estimate the student's performance with several plausible values instead of a single score, and the variation among these values enters the standard error.</w:t>
      </w:r>
    </w:p>
    <w:p>
      <w:pPr>
        <w:bidi w:val="false"/>
        <w:spacing w:after="120" w:line="300"/>
        <w:jc w:val="left"/>
      </w:pPr>
      <w:r>
        <w:rPr>
          <w:rFonts w:ascii="Calibri" w:cs="Calibri" w:eastAsia="Calibri" w:hAnsi="Calibri"/>
          <w:sz w:val="22"/>
          <w:szCs w:val="22"/>
        </w:rPr>
        <w:t xml:space="preserve">This is the natural extension of what we learned in Week 4: there we measured the error of a single student's score, and here we measure the error of the mean of a whole system.</w:t>
      </w:r>
    </w:p>
    <w:p>
      <w:pPr>
        <w:pStyle w:val="Heading2"/>
        <w:bidi w:val="false"/>
        <w:spacing w:after="120" w:before="240"/>
        <w:jc w:val="left"/>
      </w:pPr>
      <w:r>
        <w:rPr>
          <w:rFonts w:ascii="Calibri" w:cs="Calibri" w:eastAsia="Calibri" w:hAnsi="Calibri"/>
          <w:b/>
          <w:bCs/>
          <w:color w:val="2E75B6"/>
          <w:sz w:val="25"/>
          <w:szCs w:val="25"/>
        </w:rPr>
        <w:t xml:space="preserve">3.2 The confidence interval</w:t>
      </w:r>
    </w:p>
    <w:p>
      <w:pPr>
        <w:bidi w:val="false"/>
        <w:spacing w:after="120" w:line="300"/>
        <w:jc w:val="left"/>
      </w:pPr>
      <w:r>
        <w:rPr>
          <w:rFonts w:ascii="Calibri" w:cs="Calibri" w:eastAsia="Calibri" w:hAnsi="Calibri"/>
          <w:sz w:val="22"/>
          <w:szCs w:val="22"/>
        </w:rPr>
        <w:t xml:space="preserve">By adding 1.96 standard errors to the mean and subtracting them from it, we obtain an approximate 95% confidence interval:</w:t>
      </w:r>
    </w:p>
    <w:p>
      <w:pPr>
        <w:shd w:fill="F2F6FA" w:color="auto" w:val="clear"/>
        <w:bidi w:val="false"/>
        <w:spacing w:after="160" w:before="80"/>
        <w:jc w:val="center"/>
      </w:pPr>
      <w:r>
        <w:rPr>
          <w:rFonts w:ascii="Cambria Math" w:cs="Calibri" w:hAnsi="Cambria Math"/>
          <w:i w:val="false"/>
          <w:iCs w:val="false"/>
          <w:sz w:val="24"/>
          <w:szCs w:val="24"/>
        </w:rPr>
        <w:t xml:space="preserve">CI95 = mean ± 1.96 × SE</w:t>
      </w:r>
    </w:p>
    <w:p>
      <w:pPr>
        <w:bidi w:val="false"/>
        <w:spacing w:after="120" w:line="300"/>
        <w:jc w:val="left"/>
      </w:pPr>
      <w:r>
        <w:rPr>
          <w:rFonts w:ascii="Calibri" w:cs="Calibri" w:eastAsia="Calibri" w:hAnsi="Calibri"/>
          <w:b/>
          <w:bCs/>
          <w:sz w:val="22"/>
          <w:szCs w:val="22"/>
        </w:rPr>
        <w:t xml:space="preserve">From the workshop file:</w:t>
      </w:r>
      <w:r>
        <w:rPr>
          <w:rFonts w:ascii="Calibri" w:cs="Calibri" w:eastAsia="Calibri" w:hAnsi="Calibri"/>
          <w:sz w:val="22"/>
          <w:szCs w:val="22"/>
        </w:rPr>
        <w:t xml:space="preserve"> System A has a mean of 552 and an error of 2.4, so its interval is from 547.3 to 556.7. System B has a mean of 547 and an error of 4.8, so its interval is from 537.6 to 556.4. The two intervals overlap substantially, and System B's standard error is twice System A's, meaning that B's estimate is less precise.</w:t>
      </w:r>
    </w:p>
    <w:p>
      <w:pPr>
        <w:pStyle w:val="Heading2"/>
        <w:bidi w:val="false"/>
        <w:spacing w:after="120" w:before="240"/>
        <w:jc w:val="left"/>
      </w:pPr>
      <w:r>
        <w:rPr>
          <w:rFonts w:ascii="Calibri" w:cs="Calibri" w:eastAsia="Calibri" w:hAnsi="Calibri"/>
          <w:b/>
          <w:bCs/>
          <w:color w:val="2E75B6"/>
          <w:sz w:val="25"/>
          <w:szCs w:val="25"/>
        </w:rPr>
        <w:t xml:space="preserve">3.3 Why does the ranking mislead?</w:t>
      </w:r>
    </w:p>
    <w:p>
      <w:pPr>
        <w:bidi w:val="false"/>
        <w:spacing w:after="120" w:line="300"/>
        <w:jc w:val="left"/>
      </w:pPr>
      <w:r>
        <w:rPr>
          <w:rFonts w:ascii="Calibri" w:cs="Calibri" w:eastAsia="Calibri" w:hAnsi="Calibri"/>
          <w:sz w:val="22"/>
          <w:szCs w:val="22"/>
        </w:rPr>
        <w:t xml:space="preserve">The ranking turns small, uncertain differences into positions that look decisive. In the workshop file, System B comes second after System A, but the difference between them is only 5 points, which is too small to trust, as we will see. The same goes for Systems D and E: 3 points separate them, and D comes fourth and E fifth. If a system moved from fourth to fifth place between two cycles with a difference like this, nothing real in it may have changed.</w:t>
      </w:r>
    </w:p>
    <w:p>
      <w:pPr>
        <w:bidi w:val="false"/>
        <w:spacing w:after="120" w:line="300"/>
        <w:jc w:val="left"/>
      </w:pPr>
      <w:r>
        <w:rPr>
          <w:rFonts w:ascii="Calibri" w:cs="Calibri" w:eastAsia="Calibri" w:hAnsi="Calibri"/>
          <w:sz w:val="22"/>
          <w:szCs w:val="22"/>
        </w:rPr>
        <w:t xml:space="preserve">That is why serious international reports present comparison tables showing which differences are significant and which are not, and are not content with the ranking.</w:t>
      </w:r>
    </w:p>
    <w:p>
      <w:pPr>
        <w:pStyle w:val="Heading1"/>
        <w:bidi w:val="false"/>
        <w:spacing w:after="160" w:before="360"/>
        <w:jc w:val="left"/>
      </w:pPr>
      <w:r>
        <w:rPr>
          <w:rFonts w:ascii="Calibri" w:cs="Calibri" w:eastAsia="Calibri" w:hAnsi="Calibri"/>
          <w:b/>
          <w:bCs/>
          <w:color w:val="1F4E79"/>
          <w:sz w:val="30"/>
          <w:szCs w:val="30"/>
        </w:rPr>
        <w:t xml:space="preserve">4. Is the difference between two systems statistically significant?</w:t>
      </w:r>
    </w:p>
    <w:p>
      <w:pPr>
        <w:pStyle w:val="Heading2"/>
        <w:bidi w:val="false"/>
        <w:spacing w:after="120" w:before="240"/>
        <w:jc w:val="left"/>
      </w:pPr>
      <w:r>
        <w:rPr>
          <w:rFonts w:ascii="Calibri" w:cs="Calibri" w:eastAsia="Calibri" w:hAnsi="Calibri"/>
          <w:b/>
          <w:bCs/>
          <w:color w:val="2E75B6"/>
          <w:sz w:val="25"/>
          <w:szCs w:val="25"/>
        </w:rPr>
        <w:t xml:space="preserve">4.1 The critical ratio</w:t>
      </w:r>
    </w:p>
    <w:p>
      <w:pPr>
        <w:bidi w:val="false"/>
        <w:spacing w:after="120" w:line="300"/>
        <w:jc w:val="left"/>
      </w:pPr>
      <w:r>
        <w:rPr>
          <w:rFonts w:ascii="Calibri" w:cs="Calibri" w:eastAsia="Calibri" w:hAnsi="Calibri"/>
          <w:sz w:val="22"/>
          <w:szCs w:val="22"/>
        </w:rPr>
        <w:t xml:space="preserve">To compare two independent systems, we divide the difference between their means by the standard error of the difference:</w:t>
      </w:r>
    </w:p>
    <w:p>
      <w:pPr>
        <w:shd w:fill="F2F6FA" w:color="auto" w:val="clear"/>
        <w:bidi w:val="false"/>
        <w:spacing w:after="160" w:before="80"/>
        <w:jc w:val="center"/>
      </w:pPr>
      <w:r>
        <w:rPr>
          <w:rFonts w:ascii="Cambria Math" w:cs="Calibri" w:hAnsi="Cambria Math"/>
          <w:i w:val="false"/>
          <w:iCs w:val="false"/>
          <w:sz w:val="24"/>
          <w:szCs w:val="24"/>
        </w:rPr>
        <w:t xml:space="preserve">z = (mean1 − mean2) / √(SE1² + SE2²)</w:t>
      </w:r>
    </w:p>
    <w:p>
      <w:pPr>
        <w:bidi w:val="false"/>
        <w:spacing w:after="120" w:line="300"/>
        <w:jc w:val="left"/>
      </w:pPr>
      <w:r>
        <w:rPr>
          <w:rFonts w:ascii="Calibri" w:cs="Calibri" w:eastAsia="Calibri" w:hAnsi="Calibri"/>
          <w:sz w:val="22"/>
          <w:szCs w:val="22"/>
        </w:rPr>
        <w:t xml:space="preserve">If the absolute value is 1.96 or more, we say that the difference is statistically significant at approximately the 0.05 level. If it is less, we cannot say that one of the two systems is higher than the other.</w:t>
      </w:r>
    </w:p>
    <w:p>
      <w:pPr>
        <w:bidi w:val="false"/>
        <w:spacing w:after="120" w:line="300"/>
        <w:jc w:val="left"/>
      </w:pPr>
      <w:r>
        <w:rPr>
          <w:rFonts w:ascii="Calibri" w:cs="Calibri" w:eastAsia="Calibri" w:hAnsi="Calibri"/>
          <w:b/>
          <w:bCs/>
          <w:sz w:val="22"/>
          <w:szCs w:val="22"/>
        </w:rPr>
        <w:t xml:space="preserve">Degree of confidence in this rule:</w:t>
      </w:r>
      <w:r>
        <w:rPr>
          <w:rFonts w:ascii="Calibri" w:cs="Calibri" w:eastAsia="Calibri" w:hAnsi="Calibri"/>
          <w:sz w:val="22"/>
          <w:szCs w:val="22"/>
        </w:rPr>
        <w:t xml:space="preserve"> It is an approximate rule suitable for learning and quick reading. International reports compute the standard error more precisely, combining sampling and plausible values, and then test each difference at 0.05. The large number of comparisons increases the probability of a "significant" difference by chance, so the published significance table remains the final reference, not our calculation.</w:t>
      </w:r>
    </w:p>
    <w:p>
      <w:pPr>
        <w:pStyle w:val="Heading2"/>
        <w:bidi w:val="false"/>
        <w:spacing w:after="120" w:before="240"/>
        <w:jc w:val="left"/>
      </w:pPr>
      <w:r>
        <w:rPr>
          <w:rFonts w:ascii="Calibri" w:cs="Calibri" w:eastAsia="Calibri" w:hAnsi="Calibri"/>
          <w:b/>
          <w:bCs/>
          <w:color w:val="2E75B6"/>
          <w:sz w:val="25"/>
          <w:szCs w:val="25"/>
        </w:rPr>
        <w:t xml:space="preserve">4.2 Two worked examples from the workshop file</w:t>
      </w:r>
    </w:p>
    <w:p>
      <w:pPr>
        <w:bidi w:val="false"/>
        <w:spacing w:after="120" w:line="300"/>
        <w:jc w:val="left"/>
      </w:pPr>
      <w:r>
        <w:rPr>
          <w:rFonts w:ascii="Calibri" w:cs="Calibri" w:eastAsia="Calibri" w:hAnsi="Calibri"/>
          <w:b/>
          <w:bCs/>
          <w:sz w:val="22"/>
          <w:szCs w:val="22"/>
        </w:rPr>
        <w:t xml:space="preserve">Example 1: System A vs System B</w:t>
      </w:r>
    </w:p>
    <w:p>
      <w:pPr>
        <w:pStyle w:val="ListParagraph"/>
        <w:numPr>
          <w:ilvl w:val="0"/>
          <w:numId w:val="3"/>
        </w:numPr>
        <w:bidi w:val="false"/>
        <w:spacing w:after="80" w:line="300"/>
        <w:jc w:val="left"/>
      </w:pPr>
      <w:r>
        <w:rPr>
          <w:rFonts w:ascii="Calibri" w:cs="Calibri" w:eastAsia="Calibri" w:hAnsi="Calibri"/>
          <w:sz w:val="22"/>
          <w:szCs w:val="22"/>
        </w:rPr>
        <w:t xml:space="preserve">The difference: 552 − 547 = 5</w:t>
      </w:r>
    </w:p>
    <w:p>
      <w:pPr>
        <w:pStyle w:val="ListParagraph"/>
        <w:numPr>
          <w:ilvl w:val="0"/>
          <w:numId w:val="3"/>
        </w:numPr>
        <w:bidi w:val="false"/>
        <w:spacing w:after="80" w:line="300"/>
        <w:jc w:val="left"/>
      </w:pPr>
      <w:r>
        <w:rPr>
          <w:rFonts w:ascii="Calibri" w:cs="Calibri" w:eastAsia="Calibri" w:hAnsi="Calibri"/>
          <w:sz w:val="22"/>
          <w:szCs w:val="22"/>
        </w:rPr>
        <w:t xml:space="preserve">The standard error of the difference: the square root of the sum of 2.4² and 4.8², i.e. 5.37</w:t>
      </w:r>
    </w:p>
    <w:p>
      <w:pPr>
        <w:pStyle w:val="ListParagraph"/>
        <w:numPr>
          <w:ilvl w:val="0"/>
          <w:numId w:val="3"/>
        </w:numPr>
        <w:bidi w:val="false"/>
        <w:spacing w:after="80" w:line="300"/>
        <w:jc w:val="left"/>
      </w:pPr>
      <w:r>
        <w:rPr>
          <w:rFonts w:ascii="Calibri" w:cs="Calibri" w:eastAsia="Calibri" w:hAnsi="Calibri"/>
          <w:sz w:val="22"/>
          <w:szCs w:val="22"/>
        </w:rPr>
        <w:t xml:space="preserve">The critical ratio: 5 ÷ 5.37 = 0.93</w:t>
      </w:r>
    </w:p>
    <w:p>
      <w:pPr>
        <w:bidi w:val="false"/>
        <w:spacing w:after="120" w:line="300"/>
        <w:jc w:val="left"/>
      </w:pPr>
      <w:r>
        <w:rPr>
          <w:rFonts w:ascii="Calibri" w:cs="Calibri" w:eastAsia="Calibri" w:hAnsi="Calibri"/>
          <w:sz w:val="22"/>
          <w:szCs w:val="22"/>
        </w:rPr>
        <w:t xml:space="preserve">The value is less than 1.96, so the difference is </w:t>
      </w:r>
      <w:r>
        <w:rPr>
          <w:rFonts w:ascii="Calibri" w:cs="Calibri" w:eastAsia="Calibri" w:hAnsi="Calibri"/>
          <w:b/>
          <w:bCs/>
          <w:sz w:val="22"/>
          <w:szCs w:val="22"/>
        </w:rPr>
        <w:t xml:space="preserve">not significant</w:t>
      </w:r>
      <w:r>
        <w:rPr>
          <w:rFonts w:ascii="Calibri" w:cs="Calibri" w:eastAsia="Calibri" w:hAnsi="Calibri"/>
          <w:sz w:val="22"/>
          <w:szCs w:val="22"/>
        </w:rPr>
        <w:t xml:space="preserve">. The correct wording: "The performance of Systems A and B does not differ significantly." The wrong wording: "System A outperforms System B."</w:t>
      </w:r>
    </w:p>
    <w:p>
      <w:pPr>
        <w:bidi w:val="false"/>
        <w:spacing w:after="120" w:line="300"/>
        <w:jc w:val="left"/>
      </w:pPr>
      <w:r>
        <w:rPr>
          <w:rFonts w:ascii="Calibri" w:cs="Calibri" w:eastAsia="Calibri" w:hAnsi="Calibri"/>
          <w:b/>
          <w:bCs/>
          <w:sz w:val="22"/>
          <w:szCs w:val="22"/>
        </w:rPr>
        <w:t xml:space="preserve">Example 2: System D vs System E</w:t>
      </w:r>
    </w:p>
    <w:p>
      <w:pPr>
        <w:pStyle w:val="ListParagraph"/>
        <w:numPr>
          <w:ilvl w:val="0"/>
          <w:numId w:val="3"/>
        </w:numPr>
        <w:bidi w:val="false"/>
        <w:spacing w:after="80" w:line="300"/>
        <w:jc w:val="left"/>
      </w:pPr>
      <w:r>
        <w:rPr>
          <w:rFonts w:ascii="Calibri" w:cs="Calibri" w:eastAsia="Calibri" w:hAnsi="Calibri"/>
          <w:sz w:val="22"/>
          <w:szCs w:val="22"/>
        </w:rPr>
        <w:t xml:space="preserve">The difference: 519 − 516 = 3</w:t>
      </w:r>
    </w:p>
    <w:p>
      <w:pPr>
        <w:pStyle w:val="ListParagraph"/>
        <w:numPr>
          <w:ilvl w:val="0"/>
          <w:numId w:val="3"/>
        </w:numPr>
        <w:bidi w:val="false"/>
        <w:spacing w:after="80" w:line="300"/>
        <w:jc w:val="left"/>
      </w:pPr>
      <w:r>
        <w:rPr>
          <w:rFonts w:ascii="Calibri" w:cs="Calibri" w:eastAsia="Calibri" w:hAnsi="Calibri"/>
          <w:sz w:val="22"/>
          <w:szCs w:val="22"/>
        </w:rPr>
        <w:t xml:space="preserve">The standard error of the difference: 6.40</w:t>
      </w:r>
    </w:p>
    <w:p>
      <w:pPr>
        <w:pStyle w:val="ListParagraph"/>
        <w:numPr>
          <w:ilvl w:val="0"/>
          <w:numId w:val="3"/>
        </w:numPr>
        <w:bidi w:val="false"/>
        <w:spacing w:after="80" w:line="300"/>
        <w:jc w:val="left"/>
      </w:pPr>
      <w:r>
        <w:rPr>
          <w:rFonts w:ascii="Calibri" w:cs="Calibri" w:eastAsia="Calibri" w:hAnsi="Calibri"/>
          <w:sz w:val="22"/>
          <w:szCs w:val="22"/>
        </w:rPr>
        <w:t xml:space="preserve">The critical ratio: 3 ÷ 6.40 = 0.47</w:t>
      </w:r>
    </w:p>
    <w:p>
      <w:pPr>
        <w:bidi w:val="false"/>
        <w:spacing w:after="120" w:line="300"/>
        <w:jc w:val="left"/>
      </w:pPr>
      <w:r>
        <w:rPr>
          <w:rFonts w:ascii="Calibri" w:cs="Calibri" w:eastAsia="Calibri" w:hAnsi="Calibri"/>
          <w:sz w:val="22"/>
          <w:szCs w:val="22"/>
        </w:rPr>
        <w:t xml:space="preserve">The difference is also </w:t>
      </w:r>
      <w:r>
        <w:rPr>
          <w:rFonts w:ascii="Calibri" w:cs="Calibri" w:eastAsia="Calibri" w:hAnsi="Calibri"/>
          <w:b/>
          <w:bCs/>
          <w:sz w:val="22"/>
          <w:szCs w:val="22"/>
        </w:rPr>
        <w:t xml:space="preserve">not significant</w:t>
      </w:r>
      <w:r>
        <w:rPr>
          <w:rFonts w:ascii="Calibri" w:cs="Calibri" w:eastAsia="Calibri" w:hAnsi="Calibri"/>
          <w:sz w:val="22"/>
          <w:szCs w:val="22"/>
        </w:rPr>
        <w:t xml:space="preserve">. In the workshop file, these are the only two pairs out of 28 possible pairs that do not differ significantly. All the other pairs are significant, including relatively close pairs, such as B vs C (difference 16, critical ratio 2.85), and System F vs System G (difference 15, critical ratio 3.26).</w:t>
      </w:r>
    </w:p>
    <w:p>
      <w:pPr>
        <w:bidi w:val="false"/>
        <w:spacing w:after="120" w:line="300"/>
        <w:jc w:val="left"/>
      </w:pPr>
      <w:r>
        <w:rPr>
          <w:rFonts w:ascii="Calibri" w:cs="Calibri" w:eastAsia="Calibri" w:hAnsi="Calibri"/>
          <w:sz w:val="22"/>
          <w:szCs w:val="22"/>
        </w:rPr>
        <w:t xml:space="preserve">Note that the same difference may be significant or not significant depending on the two standard errors. A 15-point difference between Systems C and E is significant (critical ratio 2.38), but it is closer to the threshold than the 15-point difference between System F and System G, because System E's error is large (5.6).</w:t>
      </w:r>
    </w:p>
    <w:p>
      <w:pPr>
        <w:pStyle w:val="Heading2"/>
        <w:bidi w:val="false"/>
        <w:spacing w:after="120" w:before="240"/>
        <w:jc w:val="left"/>
      </w:pPr>
      <w:r>
        <w:rPr>
          <w:rFonts w:ascii="Calibri" w:cs="Calibri" w:eastAsia="Calibri" w:hAnsi="Calibri"/>
          <w:b/>
          <w:bCs/>
          <w:color w:val="2E75B6"/>
          <w:sz w:val="25"/>
          <w:szCs w:val="25"/>
        </w:rPr>
        <w:t xml:space="preserve">4.3 The overlapping-intervals trap</w:t>
      </w:r>
    </w:p>
    <w:p>
      <w:pPr>
        <w:bidi w:val="false"/>
        <w:spacing w:after="120" w:line="300"/>
        <w:jc w:val="left"/>
      </w:pPr>
      <w:r>
        <w:rPr>
          <w:rFonts w:ascii="Calibri" w:cs="Calibri" w:eastAsia="Calibri" w:hAnsi="Calibri"/>
          <w:sz w:val="22"/>
          <w:szCs w:val="22"/>
        </w:rPr>
        <w:t xml:space="preserve">Some readers resort to a shortcut rule: "If the two confidence intervals overlap, the difference is not significant." This rule is </w:t>
      </w:r>
      <w:r>
        <w:rPr>
          <w:rFonts w:ascii="Calibri" w:cs="Calibri" w:eastAsia="Calibri" w:hAnsi="Calibri"/>
          <w:b/>
          <w:bCs/>
          <w:sz w:val="22"/>
          <w:szCs w:val="22"/>
        </w:rPr>
        <w:t xml:space="preserve">inaccurate</w:t>
      </w:r>
      <w:r>
        <w:rPr>
          <w:rFonts w:ascii="Calibri" w:cs="Calibri" w:eastAsia="Calibri" w:hAnsi="Calibri"/>
          <w:sz w:val="22"/>
          <w:szCs w:val="22"/>
        </w:rPr>
        <w:t xml:space="preserve">. Take Systems C and E: C's interval is from 525.3 to 536.7, and E's interval is from 505.0 to 527.0. The two intervals overlap, yet the difference between them is significant (critical ratio 2.38). The reason is that the standard error of the difference is smaller than the sum of the two errors. Compute the critical ratio and do not settle for looking at the intervals.</w:t>
      </w:r>
    </w:p>
    <w:p>
      <w:pPr>
        <w:pStyle w:val="Heading2"/>
        <w:bidi w:val="false"/>
        <w:spacing w:after="120" w:before="240"/>
        <w:jc w:val="left"/>
      </w:pPr>
      <w:r>
        <w:rPr>
          <w:rFonts w:ascii="Calibri" w:cs="Calibri" w:eastAsia="Calibri" w:hAnsi="Calibri"/>
          <w:b/>
          <w:bCs/>
          <w:color w:val="2E75B6"/>
          <w:sz w:val="25"/>
          <w:szCs w:val="25"/>
        </w:rPr>
        <w:t xml:space="preserve">4.4 Significance is not importance</w:t>
      </w:r>
    </w:p>
    <w:p>
      <w:pPr>
        <w:bidi w:val="false"/>
        <w:spacing w:after="120" w:line="300"/>
        <w:jc w:val="left"/>
      </w:pPr>
      <w:r>
        <w:rPr>
          <w:rFonts w:ascii="Calibri" w:cs="Calibri" w:eastAsia="Calibri" w:hAnsi="Calibri"/>
          <w:sz w:val="22"/>
          <w:szCs w:val="22"/>
        </w:rPr>
        <w:t xml:space="preserve">A statistically significant difference means that we are confident it is not an effect of sampling. It does not mean that it is large or educationally important. And with large samples, small differences may be significant. The next question is always: how large is the difference compared with the standard deviation of the scale (100)? A difference of 5 points equals about 0.05 of the standard deviation, which is very small even if it is significant.</w:t>
      </w:r>
    </w:p>
    <w:p>
      <w:pPr>
        <w:pStyle w:val="Heading1"/>
        <w:bidi w:val="false"/>
        <w:spacing w:after="160" w:before="360"/>
        <w:jc w:val="left"/>
      </w:pPr>
      <w:r>
        <w:rPr>
          <w:rFonts w:ascii="Calibri" w:cs="Calibri" w:eastAsia="Calibri" w:hAnsi="Calibri"/>
          <w:b/>
          <w:bCs/>
          <w:color w:val="1F4E79"/>
          <w:sz w:val="30"/>
          <w:szCs w:val="30"/>
        </w:rPr>
        <w:t xml:space="preserve">5. The benchmarks: cumulative percentages</w:t>
      </w:r>
    </w:p>
    <w:p>
      <w:pPr>
        <w:pStyle w:val="Heading2"/>
        <w:bidi w:val="false"/>
        <w:spacing w:after="120" w:before="240"/>
        <w:jc w:val="left"/>
      </w:pPr>
      <w:r>
        <w:rPr>
          <w:rFonts w:ascii="Calibri" w:cs="Calibri" w:eastAsia="Calibri" w:hAnsi="Calibri"/>
          <w:b/>
          <w:bCs/>
          <w:color w:val="2E75B6"/>
          <w:sz w:val="25"/>
          <w:szCs w:val="25"/>
        </w:rPr>
        <w:t xml:space="preserve">5.1 How are they read?</w:t>
      </w:r>
    </w:p>
    <w:p>
      <w:pPr>
        <w:bidi w:val="false"/>
        <w:spacing w:after="120" w:line="300"/>
        <w:jc w:val="left"/>
      </w:pPr>
      <w:r>
        <w:rPr>
          <w:rFonts w:ascii="Calibri" w:cs="Calibri" w:eastAsia="Calibri" w:hAnsi="Calibri"/>
          <w:sz w:val="22"/>
          <w:szCs w:val="22"/>
        </w:rPr>
        <w:t xml:space="preserve">The percentage published under each benchmark is the percentage of students who </w:t>
      </w:r>
      <w:r>
        <w:rPr>
          <w:rFonts w:ascii="Calibri" w:cs="Calibri" w:eastAsia="Calibri" w:hAnsi="Calibri"/>
          <w:b/>
          <w:bCs/>
          <w:sz w:val="22"/>
          <w:szCs w:val="22"/>
        </w:rPr>
        <w:t xml:space="preserve">reached or exceeded this benchmark</w:t>
      </w:r>
      <w:r>
        <w:rPr>
          <w:rFonts w:ascii="Calibri" w:cs="Calibri" w:eastAsia="Calibri" w:hAnsi="Calibri"/>
          <w:sz w:val="22"/>
          <w:szCs w:val="22"/>
        </w:rPr>
        <w:t xml:space="preserve">. They are therefore cumulative: whoever reached Advanced also reached High, whoever reached High reached Intermediate, and so on.</w:t>
      </w:r>
    </w:p>
    <w:p>
      <w:pPr>
        <w:bidi w:val="false"/>
        <w:spacing w:after="120" w:line="300"/>
        <w:jc w:val="left"/>
      </w:pPr>
      <w:r>
        <w:rPr>
          <w:rFonts w:ascii="Calibri" w:cs="Calibri" w:eastAsia="Calibri" w:hAnsi="Calibri"/>
          <w:b/>
          <w:bCs/>
          <w:sz w:val="22"/>
          <w:szCs w:val="22"/>
        </w:rPr>
        <w:t xml:space="preserve">From the workshop file:</w:t>
      </w:r>
      <w:r>
        <w:rPr>
          <w:rFonts w:ascii="Calibri" w:cs="Calibri" w:eastAsia="Calibri" w:hAnsi="Calibri"/>
          <w:sz w:val="22"/>
          <w:szCs w:val="22"/>
        </w:rPr>
        <w:t xml:space="preserve"> The cumulative percentages for System A are 14%, 45%, 77% and 94%. We read them as follows:</w:t>
      </w:r>
    </w:p>
    <w:p>
      <w:pPr>
        <w:pStyle w:val="ListParagraph"/>
        <w:numPr>
          <w:ilvl w:val="0"/>
          <w:numId w:val="3"/>
        </w:numPr>
        <w:bidi w:val="false"/>
        <w:spacing w:after="80" w:line="300"/>
        <w:jc w:val="left"/>
      </w:pPr>
      <w:r>
        <w:rPr>
          <w:rFonts w:ascii="Calibri" w:cs="Calibri" w:eastAsia="Calibri" w:hAnsi="Calibri"/>
          <w:sz w:val="22"/>
          <w:szCs w:val="22"/>
        </w:rPr>
        <w:t xml:space="preserve">14% reached the Advanced benchmark (625 or more).</w:t>
      </w:r>
    </w:p>
    <w:p>
      <w:pPr>
        <w:pStyle w:val="ListParagraph"/>
        <w:numPr>
          <w:ilvl w:val="0"/>
          <w:numId w:val="3"/>
        </w:numPr>
        <w:bidi w:val="false"/>
        <w:spacing w:after="80" w:line="300"/>
        <w:jc w:val="left"/>
      </w:pPr>
      <w:r>
        <w:rPr>
          <w:rFonts w:ascii="Calibri" w:cs="Calibri" w:eastAsia="Calibri" w:hAnsi="Calibri"/>
          <w:sz w:val="22"/>
          <w:szCs w:val="22"/>
        </w:rPr>
        <w:t xml:space="preserve">45% reached or exceeded High, and this percentage </w:t>
      </w:r>
      <w:r>
        <w:rPr>
          <w:rFonts w:ascii="Calibri" w:cs="Calibri" w:eastAsia="Calibri" w:hAnsi="Calibri"/>
          <w:b/>
          <w:bCs/>
          <w:sz w:val="22"/>
          <w:szCs w:val="22"/>
        </w:rPr>
        <w:t xml:space="preserve">includes</w:t>
      </w:r>
      <w:r>
        <w:rPr>
          <w:rFonts w:ascii="Calibri" w:cs="Calibri" w:eastAsia="Calibri" w:hAnsi="Calibri"/>
          <w:sz w:val="22"/>
          <w:szCs w:val="22"/>
        </w:rPr>
        <w:t xml:space="preserve"> the 14%.</w:t>
      </w:r>
    </w:p>
    <w:p>
      <w:pPr>
        <w:pStyle w:val="ListParagraph"/>
        <w:numPr>
          <w:ilvl w:val="0"/>
          <w:numId w:val="3"/>
        </w:numPr>
        <w:bidi w:val="false"/>
        <w:spacing w:after="80" w:line="300"/>
        <w:jc w:val="left"/>
      </w:pPr>
      <w:r>
        <w:rPr>
          <w:rFonts w:ascii="Calibri" w:cs="Calibri" w:eastAsia="Calibri" w:hAnsi="Calibri"/>
          <w:sz w:val="22"/>
          <w:szCs w:val="22"/>
        </w:rPr>
        <w:t xml:space="preserve">77% reached or exceeded Intermediate.</w:t>
      </w:r>
    </w:p>
    <w:p>
      <w:pPr>
        <w:pStyle w:val="ListParagraph"/>
        <w:numPr>
          <w:ilvl w:val="0"/>
          <w:numId w:val="3"/>
        </w:numPr>
        <w:bidi w:val="false"/>
        <w:spacing w:after="80" w:line="300"/>
        <w:jc w:val="left"/>
      </w:pPr>
      <w:r>
        <w:rPr>
          <w:rFonts w:ascii="Calibri" w:cs="Calibri" w:eastAsia="Calibri" w:hAnsi="Calibri"/>
          <w:sz w:val="22"/>
          <w:szCs w:val="22"/>
        </w:rPr>
        <w:t xml:space="preserve">94% reached or exceeded Low, meaning that 6% did not reach the Low benchmark.</w:t>
      </w:r>
    </w:p>
    <w:p>
      <w:pPr>
        <w:pStyle w:val="Heading2"/>
        <w:bidi w:val="false"/>
        <w:spacing w:after="120" w:before="240"/>
        <w:jc w:val="left"/>
      </w:pPr>
      <w:r>
        <w:rPr>
          <w:rFonts w:ascii="Calibri" w:cs="Calibri" w:eastAsia="Calibri" w:hAnsi="Calibri"/>
          <w:b/>
          <w:bCs/>
          <w:color w:val="2E75B6"/>
          <w:sz w:val="25"/>
          <w:szCs w:val="25"/>
        </w:rPr>
        <w:t xml:space="preserve">5.2 The common error: adding the percentages</w:t>
      </w:r>
    </w:p>
    <w:p>
      <w:pPr>
        <w:bidi w:val="false"/>
        <w:spacing w:after="120" w:line="300"/>
        <w:jc w:val="left"/>
      </w:pPr>
      <w:r>
        <w:rPr>
          <w:rFonts w:ascii="Calibri" w:cs="Calibri" w:eastAsia="Calibri" w:hAnsi="Calibri"/>
          <w:sz w:val="22"/>
          <w:szCs w:val="22"/>
        </w:rPr>
        <w:t xml:space="preserve">Whoever adds 14 + 45 + 77 + 94 gets 230%, which is an impossible number. And whoever writes "45% at the High benchmark and 14% at Advanced, i.e. 59% at the two top benchmarks" falls into the same error in a more hidden form: the correct reading is that 45% reached High or above, and of them 14% reached Advanced.</w:t>
      </w:r>
    </w:p>
    <w:p>
      <w:pPr>
        <w:pStyle w:val="Heading2"/>
        <w:bidi w:val="false"/>
        <w:spacing w:after="120" w:before="240"/>
        <w:jc w:val="left"/>
      </w:pPr>
      <w:r>
        <w:rPr>
          <w:rFonts w:ascii="Calibri" w:cs="Calibri" w:eastAsia="Calibri" w:hAnsi="Calibri"/>
          <w:b/>
          <w:bCs/>
          <w:color w:val="2E75B6"/>
          <w:sz w:val="25"/>
          <w:szCs w:val="25"/>
        </w:rPr>
        <w:t xml:space="preserve">5.3 Converting to percentages within each band</w:t>
      </w:r>
    </w:p>
    <w:p>
      <w:pPr>
        <w:bidi w:val="false"/>
        <w:spacing w:after="120" w:line="300"/>
        <w:jc w:val="left"/>
      </w:pPr>
      <w:r>
        <w:rPr>
          <w:rFonts w:ascii="Calibri" w:cs="Calibri" w:eastAsia="Calibri" w:hAnsi="Calibri"/>
          <w:sz w:val="22"/>
          <w:szCs w:val="22"/>
        </w:rPr>
        <w:t xml:space="preserve">To find the percentage of students </w:t>
      </w:r>
      <w:r>
        <w:rPr>
          <w:rFonts w:ascii="Calibri" w:cs="Calibri" w:eastAsia="Calibri" w:hAnsi="Calibri"/>
          <w:b/>
          <w:bCs/>
          <w:sz w:val="22"/>
          <w:szCs w:val="22"/>
        </w:rPr>
        <w:t xml:space="preserve">between</w:t>
      </w:r>
      <w:r>
        <w:rPr>
          <w:rFonts w:ascii="Calibri" w:cs="Calibri" w:eastAsia="Calibri" w:hAnsi="Calibri"/>
          <w:sz w:val="22"/>
          <w:szCs w:val="22"/>
        </w:rPr>
        <w:t xml:space="preserve"> two benchmarks, we subtract the two cumulative percentages. For System A:</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3"/>
        <w:gridCol w:w="3180"/>
        <w:gridCol w:w="2925"/>
      </w:tblGrid>
      <w:tr>
        <w:trPr>
          <w:cantSplit/>
          <w:tblHeader/>
        </w:trPr>
        <w:tc>
          <w:tcPr>
            <w:tcW w:type="dxa" w:w="35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Band</w:t>
            </w:r>
          </w:p>
        </w:tc>
        <w:tc>
          <w:tcPr>
            <w:tcW w:type="dxa" w:w="3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Calculation</w:t>
            </w:r>
          </w:p>
        </w:tc>
        <w:tc>
          <w:tcPr>
            <w:tcW w:type="dxa" w:w="29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Percentage</w:t>
            </w:r>
          </w:p>
        </w:tc>
      </w:tr>
      <w:tr>
        <w:trPr>
          <w:cantSplit/>
        </w:trPr>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Advanced</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2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r>
      <w:tr>
        <w:trPr>
          <w:cantSplit/>
        </w:trPr>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High and Advanced</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45 − 14</w:t>
            </w:r>
          </w:p>
        </w:tc>
        <w:tc>
          <w:tcPr>
            <w:tcW w:type="dxa" w:w="2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31%</w:t>
            </w:r>
          </w:p>
        </w:tc>
      </w:tr>
      <w:tr>
        <w:trPr>
          <w:cantSplit/>
        </w:trPr>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Intermediate and High</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77 − 45</w:t>
            </w:r>
          </w:p>
        </w:tc>
        <w:tc>
          <w:tcPr>
            <w:tcW w:type="dxa" w:w="2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32%</w:t>
            </w:r>
          </w:p>
        </w:tc>
      </w:tr>
      <w:tr>
        <w:trPr>
          <w:cantSplit/>
        </w:trPr>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Low and Intermediate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94 − 77</w:t>
            </w:r>
          </w:p>
        </w:tc>
        <w:tc>
          <w:tcPr>
            <w:tcW w:type="dxa" w:w="2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r>
      <w:tr>
        <w:trPr>
          <w:cantSplit/>
        </w:trPr>
        <w:tc>
          <w:tcPr>
            <w:tcW w:type="dxa" w:w="3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Below Low</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100 − 94</w:t>
            </w:r>
          </w:p>
        </w:tc>
        <w:tc>
          <w:tcPr>
            <w:tcW w:type="dxa" w:w="2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r>
    </w:tbl>
    <w:p>
      <w:pPr>
        <w:spacing w:after="120"/>
      </w:pPr>
    </w:p>
    <w:p>
      <w:pPr>
        <w:bidi w:val="false"/>
        <w:spacing w:after="120" w:line="300"/>
        <w:jc w:val="left"/>
      </w:pPr>
      <w:r>
        <w:rPr>
          <w:rFonts w:ascii="Calibri" w:cs="Calibri" w:eastAsia="Calibri" w:hAnsi="Calibri"/>
          <w:sz w:val="22"/>
          <w:szCs w:val="22"/>
        </w:rPr>
        <w:t xml:space="preserve">The five bands add up to 100%, and this is a quick check of the correctness of the conversion. The "Benchmarks" sheet in the workshop file performs this conversion for all the systems.</w:t>
      </w:r>
    </w:p>
    <w:p>
      <w:pPr>
        <w:pStyle w:val="Heading2"/>
        <w:bidi w:val="false"/>
        <w:spacing w:after="120" w:before="240"/>
        <w:jc w:val="left"/>
      </w:pPr>
      <w:r>
        <w:rPr>
          <w:rFonts w:ascii="Calibri" w:cs="Calibri" w:eastAsia="Calibri" w:hAnsi="Calibri"/>
          <w:b/>
          <w:bCs/>
          <w:color w:val="2E75B6"/>
          <w:sz w:val="25"/>
          <w:szCs w:val="25"/>
        </w:rPr>
        <w:t xml:space="preserve">5.4 What do the benchmark descriptions mean?</w:t>
      </w:r>
    </w:p>
    <w:p>
      <w:pPr>
        <w:bidi w:val="false"/>
        <w:spacing w:after="120" w:line="300"/>
        <w:jc w:val="left"/>
      </w:pPr>
      <w:r>
        <w:rPr>
          <w:rFonts w:ascii="Calibri" w:cs="Calibri" w:eastAsia="Calibri" w:hAnsi="Calibri"/>
          <w:sz w:val="22"/>
          <w:szCs w:val="22"/>
        </w:rPr>
        <w:t xml:space="preserve">Each benchmark in the report is accompanied by a description of what </w:t>
      </w:r>
      <w:r>
        <w:rPr>
          <w:rFonts w:ascii="Calibri" w:cs="Calibri" w:eastAsia="Calibri" w:hAnsi="Calibri"/>
          <w:b/>
          <w:bCs/>
          <w:sz w:val="22"/>
          <w:szCs w:val="22"/>
        </w:rPr>
        <w:t xml:space="preserve">students at this benchmark can typically do</w:t>
      </w:r>
      <w:r>
        <w:rPr>
          <w:rFonts w:ascii="Calibri" w:cs="Calibri" w:eastAsia="Calibri" w:hAnsi="Calibri"/>
          <w:sz w:val="22"/>
          <w:szCs w:val="22"/>
        </w:rPr>
        <w:t xml:space="preserve">, and it is built by analysing the items that students at each point mostly answer correctly. The description is therefore a description of what is typical, not a guarantee of every student's performance. A student at the High benchmark may get items at their own level wrong, and may succeed on items at the Advanced level.</w:t>
      </w:r>
    </w:p>
    <w:p>
      <w:pPr>
        <w:bidi w:val="false"/>
        <w:spacing w:after="120" w:line="300"/>
        <w:jc w:val="left"/>
      </w:pPr>
      <w:r>
        <w:rPr>
          <w:rFonts w:ascii="Calibri" w:cs="Calibri" w:eastAsia="Calibri" w:hAnsi="Calibri"/>
          <w:sz w:val="22"/>
          <w:szCs w:val="22"/>
        </w:rPr>
        <w:t xml:space="preserve">The value of the descriptions for the teacher is that they turn the number into behaviour: instead of saying "29% reached 550", we say what these students can do, and compare it with what we expect in our curriculum. This is an extension of the curriculum–framework alignment we practised in Week 12.</w:t>
      </w:r>
    </w:p>
    <w:p>
      <w:pPr>
        <w:pStyle w:val="Heading2"/>
        <w:bidi w:val="false"/>
        <w:spacing w:after="120" w:before="240"/>
        <w:jc w:val="left"/>
      </w:pPr>
      <w:r>
        <w:rPr>
          <w:rFonts w:ascii="Calibri" w:cs="Calibri" w:eastAsia="Calibri" w:hAnsi="Calibri"/>
          <w:b/>
          <w:bCs/>
          <w:color w:val="2E75B6"/>
          <w:sz w:val="25"/>
          <w:szCs w:val="25"/>
        </w:rPr>
        <w:t xml:space="preserve">5.5 A striking case: Systems D and E</w:t>
      </w:r>
    </w:p>
    <w:p>
      <w:pPr>
        <w:bidi w:val="false"/>
        <w:spacing w:after="120" w:line="300"/>
        <w:jc w:val="left"/>
      </w:pPr>
      <w:r>
        <w:rPr>
          <w:rFonts w:ascii="Calibri" w:cs="Calibri" w:eastAsia="Calibri" w:hAnsi="Calibri"/>
          <w:sz w:val="22"/>
          <w:szCs w:val="22"/>
        </w:rPr>
        <w:t xml:space="preserve">System E's mean (516) is lower than System D's mean (519), and the difference is not significant, as we saw. But the percentage of those who reached the Advanced benchmark in E (8%) is higher than in D (7%). How can that be?</w:t>
      </w:r>
    </w:p>
    <w:p>
      <w:pPr>
        <w:bidi w:val="false"/>
        <w:spacing w:after="120" w:line="300"/>
        <w:jc w:val="left"/>
      </w:pPr>
      <w:r>
        <w:rPr>
          <w:rFonts w:ascii="Calibri" w:cs="Calibri" w:eastAsia="Calibri" w:hAnsi="Calibri"/>
          <w:sz w:val="22"/>
          <w:szCs w:val="22"/>
        </w:rPr>
        <w:t xml:space="preserve">Look at the percentages within the bands: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2"/>
        <w:gridCol w:w="2497"/>
        <w:gridCol w:w="2499"/>
      </w:tblGrid>
      <w:tr>
        <w:trPr>
          <w:cantSplit/>
          <w:tblHeader/>
        </w:trPr>
        <w:tc>
          <w:tcPr>
            <w:tcW w:type="dxa" w:w="46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Band</w:t>
            </w:r>
          </w:p>
        </w:tc>
        <w:tc>
          <w:tcPr>
            <w:tcW w:type="dxa" w:w="24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System D</w:t>
            </w:r>
          </w:p>
        </w:tc>
        <w:tc>
          <w:tcPr>
            <w:tcW w:type="dxa" w:w="24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System E</w:t>
            </w:r>
          </w:p>
        </w:tc>
      </w:tr>
      <w:tr>
        <w:trPr>
          <w:cantSplit/>
        </w:trPr>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Advanced</w:t>
            </w:r>
          </w:p>
        </w:tc>
        <w:tc>
          <w:tcPr>
            <w:tcW w:type="dxa" w:w="2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r>
      <w:tr>
        <w:trPr>
          <w:cantSplit/>
        </w:trPr>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High and Advanced</w:t>
            </w:r>
          </w:p>
        </w:tc>
        <w:tc>
          <w:tcPr>
            <w:tcW w:type="dxa" w:w="2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22%</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22%</w:t>
            </w:r>
          </w:p>
        </w:tc>
      </w:tr>
      <w:tr>
        <w:trPr>
          <w:cantSplit/>
        </w:trPr>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Intermediate and High</w:t>
            </w:r>
          </w:p>
        </w:tc>
        <w:tc>
          <w:tcPr>
            <w:tcW w:type="dxa" w:w="2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r>
      <w:tr>
        <w:trPr>
          <w:cantSplit/>
        </w:trPr>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Low and Intermediate</w:t>
            </w:r>
          </w:p>
        </w:tc>
        <w:tc>
          <w:tcPr>
            <w:tcW w:type="dxa" w:w="2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26%</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25%</w:t>
            </w:r>
          </w:p>
        </w:tc>
      </w:tr>
      <w:tr>
        <w:trPr>
          <w:cantSplit/>
        </w:trPr>
        <w:tc>
          <w:tcPr>
            <w:tcW w:type="dxa" w:w="4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Below Low</w:t>
            </w:r>
          </w:p>
        </w:tc>
        <w:tc>
          <w:tcPr>
            <w:tcW w:type="dxa" w:w="2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12%</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r>
    </w:tbl>
    <w:p>
      <w:pPr>
        <w:spacing w:after="120"/>
      </w:pPr>
    </w:p>
    <w:p>
      <w:pPr>
        <w:bidi w:val="false"/>
        <w:spacing w:after="120" w:line="300"/>
        <w:jc w:val="left"/>
      </w:pPr>
      <w:r>
        <w:rPr>
          <w:rFonts w:ascii="Calibri" w:cs="Calibri" w:eastAsia="Calibri" w:hAnsi="Calibri"/>
          <w:sz w:val="22"/>
          <w:szCs w:val="22"/>
        </w:rPr>
        <w:t xml:space="preserve">System E has more students at </w:t>
      </w:r>
      <w:r>
        <w:rPr>
          <w:rFonts w:ascii="Calibri" w:cs="Calibri" w:eastAsia="Calibri" w:hAnsi="Calibri"/>
          <w:b/>
          <w:bCs/>
          <w:sz w:val="22"/>
          <w:szCs w:val="22"/>
        </w:rPr>
        <w:t xml:space="preserve">both ends</w:t>
      </w:r>
      <w:r>
        <w:rPr>
          <w:rFonts w:ascii="Calibri" w:cs="Calibri" w:eastAsia="Calibri" w:hAnsi="Calibri"/>
          <w:sz w:val="22"/>
          <w:szCs w:val="22"/>
        </w:rPr>
        <w:t xml:space="preserve">: at the top (8% vs 7%) and at the bottom (15% below Low vs 12%), and fewer students in the middle. This means that the </w:t>
      </w:r>
      <w:r>
        <w:rPr>
          <w:rFonts w:ascii="Calibri" w:cs="Calibri" w:eastAsia="Calibri" w:hAnsi="Calibri"/>
          <w:b/>
          <w:bCs/>
          <w:sz w:val="22"/>
          <w:szCs w:val="22"/>
        </w:rPr>
        <w:t xml:space="preserve">spread</w:t>
      </w:r>
      <w:r>
        <w:rPr>
          <w:rFonts w:ascii="Calibri" w:cs="Calibri" w:eastAsia="Calibri" w:hAnsi="Calibri"/>
          <w:sz w:val="22"/>
          <w:szCs w:val="22"/>
        </w:rPr>
        <w:t xml:space="preserve"> of performance in it is wider. Two close means may hide two very different systems: a relatively homogeneous system, and a system in which the gap between its highest and lowest students widens.</w:t>
      </w:r>
    </w:p>
    <w:p>
      <w:pPr>
        <w:bidi w:val="false"/>
        <w:spacing w:after="120" w:line="300"/>
        <w:jc w:val="left"/>
      </w:pPr>
      <w:r>
        <w:rPr>
          <w:rFonts w:ascii="Calibri" w:cs="Calibri" w:eastAsia="Calibri" w:hAnsi="Calibri"/>
          <w:b/>
          <w:bCs/>
          <w:sz w:val="22"/>
          <w:szCs w:val="22"/>
        </w:rPr>
        <w:t xml:space="preserve">Caution in reading:</w:t>
      </w:r>
      <w:r>
        <w:rPr>
          <w:rFonts w:ascii="Calibri" w:cs="Calibri" w:eastAsia="Calibri" w:hAnsi="Calibri"/>
          <w:sz w:val="22"/>
          <w:szCs w:val="22"/>
        </w:rPr>
        <w:t xml:space="preserve"> The difference between 8% and 7% is one percentage point, and percentages also have standard errors, which real reports publish, but which are not in the workshop file. We therefore cannot judge that this difference alone is significant. What supports the spread interpretation is the </w:t>
      </w:r>
      <w:r>
        <w:rPr>
          <w:rFonts w:ascii="Calibri" w:cs="Calibri" w:eastAsia="Calibri" w:hAnsi="Calibri"/>
          <w:b/>
          <w:bCs/>
          <w:sz w:val="22"/>
          <w:szCs w:val="22"/>
        </w:rPr>
        <w:t xml:space="preserve">whole pattern</w:t>
      </w:r>
      <w:r>
        <w:rPr>
          <w:rFonts w:ascii="Calibri" w:cs="Calibri" w:eastAsia="Calibri" w:hAnsi="Calibri"/>
          <w:sz w:val="22"/>
          <w:szCs w:val="22"/>
        </w:rPr>
        <w:t xml:space="preserve">: an increase at both ends together and a decrease in the middle, not a single number.</w:t>
      </w:r>
    </w:p>
    <w:p>
      <w:pPr>
        <w:bidi w:val="false"/>
        <w:spacing w:after="120" w:line="300"/>
        <w:jc w:val="left"/>
      </w:pPr>
      <w:r>
        <w:rPr>
          <w:rFonts w:ascii="Calibri" w:cs="Calibri" w:eastAsia="Calibri" w:hAnsi="Calibri"/>
          <w:sz w:val="22"/>
          <w:szCs w:val="22"/>
        </w:rPr>
        <w:t xml:space="preserve">The educational decision differs between the two systems: E needs greater attention to the 15% who did not reach the minimum, even if its mean looks reassuring.</w:t>
      </w:r>
    </w:p>
    <w:p>
      <w:pPr>
        <w:pStyle w:val="Heading1"/>
        <w:bidi w:val="false"/>
        <w:spacing w:after="160" w:before="360"/>
        <w:jc w:val="left"/>
      </w:pPr>
      <w:r>
        <w:rPr>
          <w:rFonts w:ascii="Calibri" w:cs="Calibri" w:eastAsia="Calibri" w:hAnsi="Calibri"/>
          <w:b/>
          <w:bCs/>
          <w:color w:val="1F4E79"/>
          <w:sz w:val="30"/>
          <w:szCs w:val="30"/>
        </w:rPr>
        <w:t xml:space="preserve">6. Trend: did performance really improve?</w:t>
      </w:r>
    </w:p>
    <w:p>
      <w:pPr>
        <w:pStyle w:val="Heading2"/>
        <w:bidi w:val="false"/>
        <w:spacing w:after="120" w:before="240"/>
        <w:jc w:val="left"/>
      </w:pPr>
      <w:r>
        <w:rPr>
          <w:rFonts w:ascii="Calibri" w:cs="Calibri" w:eastAsia="Calibri" w:hAnsi="Calibri"/>
          <w:b/>
          <w:bCs/>
          <w:color w:val="2E75B6"/>
          <w:sz w:val="25"/>
          <w:szCs w:val="25"/>
        </w:rPr>
        <w:t xml:space="preserve">6.1 Computing the significance of the change</w:t>
      </w:r>
    </w:p>
    <w:p>
      <w:pPr>
        <w:bidi w:val="false"/>
        <w:spacing w:after="120" w:line="300"/>
        <w:jc w:val="left"/>
      </w:pPr>
      <w:r>
        <w:rPr>
          <w:rFonts w:ascii="Calibri" w:cs="Calibri" w:eastAsia="Calibri" w:hAnsi="Calibri"/>
          <w:sz w:val="22"/>
          <w:szCs w:val="22"/>
        </w:rPr>
        <w:t xml:space="preserve">We use the same idea: the change divided by its standard error. </w:t>
      </w:r>
      <w:r>
        <w:rPr>
          <w:rFonts w:ascii="Calibri" w:cs="Calibri" w:eastAsia="Calibri" w:hAnsi="Calibri"/>
          <w:b/>
          <w:bCs/>
          <w:sz w:val="22"/>
          <w:szCs w:val="22"/>
        </w:rPr>
        <w:t xml:space="preserve">From the workshop file:</w:t>
      </w:r>
      <w:r>
        <w:rPr>
          <w:rFonts w:ascii="Calibri" w:cs="Calibri" w:eastAsia="Calibri" w:hAnsi="Calibri"/>
          <w:sz w:val="22"/>
          <w:szCs w:val="22"/>
        </w:rPr>
        <w:t xml:space="preserve"> System D's mean was 511 (3.4) in 2019, and became 519 (3.1) in 2023.</w:t>
      </w:r>
    </w:p>
    <w:p>
      <w:pPr>
        <w:pStyle w:val="ListParagraph"/>
        <w:numPr>
          <w:ilvl w:val="0"/>
          <w:numId w:val="3"/>
        </w:numPr>
        <w:bidi w:val="false"/>
        <w:spacing w:after="80" w:line="300"/>
        <w:jc w:val="left"/>
      </w:pPr>
      <w:r>
        <w:rPr>
          <w:rFonts w:ascii="Calibri" w:cs="Calibri" w:eastAsia="Calibri" w:hAnsi="Calibri"/>
          <w:sz w:val="22"/>
          <w:szCs w:val="22"/>
        </w:rPr>
        <w:t xml:space="preserve">The change: 519 − 511 = +8</w:t>
      </w:r>
    </w:p>
    <w:p>
      <w:pPr>
        <w:pStyle w:val="ListParagraph"/>
        <w:numPr>
          <w:ilvl w:val="0"/>
          <w:numId w:val="3"/>
        </w:numPr>
        <w:bidi w:val="false"/>
        <w:spacing w:after="80" w:line="300"/>
        <w:jc w:val="left"/>
      </w:pPr>
      <w:r>
        <w:rPr>
          <w:rFonts w:ascii="Calibri" w:cs="Calibri" w:eastAsia="Calibri" w:hAnsi="Calibri"/>
          <w:sz w:val="22"/>
          <w:szCs w:val="22"/>
        </w:rPr>
        <w:t xml:space="preserve">The standard error of the change: the square root of the sum of 3.4² and 3.1², i.e. 4.60</w:t>
      </w:r>
    </w:p>
    <w:p>
      <w:pPr>
        <w:pStyle w:val="ListParagraph"/>
        <w:numPr>
          <w:ilvl w:val="0"/>
          <w:numId w:val="3"/>
        </w:numPr>
        <w:bidi w:val="false"/>
        <w:spacing w:after="80" w:line="300"/>
        <w:jc w:val="left"/>
      </w:pPr>
      <w:r>
        <w:rPr>
          <w:rFonts w:ascii="Calibri" w:cs="Calibri" w:eastAsia="Calibri" w:hAnsi="Calibri"/>
          <w:sz w:val="22"/>
          <w:szCs w:val="22"/>
        </w:rPr>
        <w:t xml:space="preserve">The critical ratio: 8 ÷ 4.60 = 1.74</w:t>
      </w:r>
    </w:p>
    <w:p>
      <w:pPr>
        <w:bidi w:val="false"/>
        <w:spacing w:after="120" w:line="300"/>
        <w:jc w:val="left"/>
      </w:pPr>
      <w:r>
        <w:rPr>
          <w:rFonts w:ascii="Calibri" w:cs="Calibri" w:eastAsia="Calibri" w:hAnsi="Calibri"/>
          <w:sz w:val="22"/>
          <w:szCs w:val="22"/>
        </w:rPr>
        <w:t xml:space="preserve">The value is less than 1.96, so the change is </w:t>
      </w:r>
      <w:r>
        <w:rPr>
          <w:rFonts w:ascii="Calibri" w:cs="Calibri" w:eastAsia="Calibri" w:hAnsi="Calibri"/>
          <w:b/>
          <w:bCs/>
          <w:sz w:val="22"/>
          <w:szCs w:val="22"/>
        </w:rPr>
        <w:t xml:space="preserve">not statistically significant</w:t>
      </w:r>
      <w:r>
        <w:rPr>
          <w:rFonts w:ascii="Calibri" w:cs="Calibri" w:eastAsia="Calibri" w:hAnsi="Calibri"/>
          <w:sz w:val="22"/>
          <w:szCs w:val="22"/>
        </w:rPr>
        <w:t xml:space="preserve">. Eight points look like an improvement, and the media may celebrate them, but the data do not allow us to say that performance improved. The correct wording: "The mean rose by 8 points, but the rise is not statistically significant, so we cannot assert that an improvement occurred."</w:t>
      </w:r>
    </w:p>
    <w:p>
      <w:pPr>
        <w:pStyle w:val="Heading2"/>
        <w:bidi w:val="false"/>
        <w:spacing w:after="120" w:before="240"/>
        <w:jc w:val="left"/>
      </w:pPr>
      <w:r>
        <w:rPr>
          <w:rFonts w:ascii="Calibri" w:cs="Calibri" w:eastAsia="Calibri" w:hAnsi="Calibri"/>
          <w:b/>
          <w:bCs/>
          <w:color w:val="2E75B6"/>
          <w:sz w:val="25"/>
          <w:szCs w:val="25"/>
        </w:rPr>
        <w:t xml:space="preserve">6.2 Linking error</w:t>
      </w:r>
    </w:p>
    <w:p>
      <w:pPr>
        <w:bidi w:val="false"/>
        <w:spacing w:after="120" w:line="300"/>
        <w:jc w:val="left"/>
      </w:pPr>
      <w:r>
        <w:rPr>
          <w:rFonts w:ascii="Calibri" w:cs="Calibri" w:eastAsia="Calibri" w:hAnsi="Calibri"/>
          <w:sz w:val="22"/>
          <w:szCs w:val="22"/>
        </w:rPr>
        <w:t xml:space="preserve">Our calculation is an educational simplification. When comparing two cycles, some studies, such as PISA, add a third source called </w:t>
      </w:r>
      <w:r>
        <w:rPr>
          <w:rFonts w:ascii="Calibri" w:cs="Calibri" w:eastAsia="Calibri" w:hAnsi="Calibri"/>
          <w:b/>
          <w:bCs/>
          <w:sz w:val="22"/>
          <w:szCs w:val="22"/>
        </w:rPr>
        <w:t xml:space="preserve">linking error</w:t>
      </w:r>
      <w:r>
        <w:rPr>
          <w:rFonts w:ascii="Calibri" w:cs="Calibri" w:eastAsia="Calibri" w:hAnsi="Calibri"/>
          <w:sz w:val="22"/>
          <w:szCs w:val="22"/>
        </w:rPr>
        <w:t xml:space="preserve">, which enlarges the standard error of the change. It reflects the uncertainty in linking the scales of the two cycles to each other. TIMSS 2023, however, does not add it in the trend test. In both cases, a change that is not significant in our calculation remains not significant.</w:t>
      </w:r>
    </w:p>
    <w:p>
      <w:pPr>
        <w:pStyle w:val="Heading2"/>
        <w:bidi w:val="false"/>
        <w:spacing w:after="120" w:before="240"/>
        <w:jc w:val="left"/>
      </w:pPr>
      <w:r>
        <w:rPr>
          <w:rFonts w:ascii="Calibri" w:cs="Calibri" w:eastAsia="Calibri" w:hAnsi="Calibri"/>
          <w:b/>
          <w:bCs/>
          <w:color w:val="2E75B6"/>
          <w:sz w:val="25"/>
          <w:szCs w:val="25"/>
        </w:rPr>
        <w:t xml:space="preserve">6.3 What should be asked about the trend?</w:t>
      </w:r>
    </w:p>
    <w:p>
      <w:pPr>
        <w:pStyle w:val="ListParagraph"/>
        <w:numPr>
          <w:ilvl w:val="0"/>
          <w:numId w:val="3"/>
        </w:numPr>
        <w:bidi w:val="false"/>
        <w:spacing w:after="80" w:line="300"/>
        <w:jc w:val="left"/>
      </w:pPr>
      <w:r>
        <w:rPr>
          <w:rFonts w:ascii="Calibri" w:cs="Calibri" w:eastAsia="Calibri" w:hAnsi="Calibri"/>
          <w:sz w:val="22"/>
          <w:szCs w:val="22"/>
        </w:rPr>
        <w:t xml:space="preserve">Did the sample or the target population change between the two cycles (for example, the proportion of private schools or the exclusion of certain groups)?</w:t>
      </w:r>
    </w:p>
    <w:p>
      <w:pPr>
        <w:pStyle w:val="ListParagraph"/>
        <w:numPr>
          <w:ilvl w:val="0"/>
          <w:numId w:val="3"/>
        </w:numPr>
        <w:bidi w:val="false"/>
        <w:spacing w:after="80" w:line="300"/>
        <w:jc w:val="left"/>
      </w:pPr>
      <w:r>
        <w:rPr>
          <w:rFonts w:ascii="Calibri" w:cs="Calibri" w:eastAsia="Calibri" w:hAnsi="Calibri"/>
          <w:sz w:val="22"/>
          <w:szCs w:val="22"/>
        </w:rPr>
        <w:t xml:space="preserve">Did the administration mode change? TIMSS 2023 moved entirely to digital administration (von Davier et al., 2024), and any change in administration mode calls for caution in reading the trend, even though the study handles it with special linking procedures.</w:t>
      </w:r>
    </w:p>
    <w:p>
      <w:pPr>
        <w:pStyle w:val="ListParagraph"/>
        <w:numPr>
          <w:ilvl w:val="0"/>
          <w:numId w:val="3"/>
        </w:numPr>
        <w:bidi w:val="false"/>
        <w:spacing w:after="80" w:line="300"/>
        <w:jc w:val="left"/>
      </w:pPr>
      <w:r>
        <w:rPr>
          <w:rFonts w:ascii="Calibri" w:cs="Calibri" w:eastAsia="Calibri" w:hAnsi="Calibri"/>
          <w:sz w:val="22"/>
          <w:szCs w:val="22"/>
        </w:rPr>
        <w:t xml:space="preserve">Is the change in the mean accompanied by a change at the benchmarks? A rise in the mean may come from improvement among weak students or strong ones, and the decision differs.</w:t>
      </w:r>
    </w:p>
    <w:p>
      <w:pPr>
        <w:pStyle w:val="Heading1"/>
        <w:bidi w:val="false"/>
        <w:spacing w:after="160" w:before="360"/>
        <w:jc w:val="left"/>
      </w:pPr>
      <w:r>
        <w:rPr>
          <w:rFonts w:ascii="Calibri" w:cs="Calibri" w:eastAsia="Calibri" w:hAnsi="Calibri"/>
          <w:b/>
          <w:bCs/>
          <w:color w:val="1F4E79"/>
          <w:sz w:val="30"/>
          <w:szCs w:val="30"/>
        </w:rPr>
        <w:t xml:space="preserve">7. Contextual data: correlation is not causation</w:t>
      </w:r>
    </w:p>
    <w:p>
      <w:pPr>
        <w:pStyle w:val="Heading2"/>
        <w:bidi w:val="false"/>
        <w:spacing w:after="120" w:before="240"/>
        <w:jc w:val="left"/>
      </w:pPr>
      <w:r>
        <w:rPr>
          <w:rFonts w:ascii="Calibri" w:cs="Calibri" w:eastAsia="Calibri" w:hAnsi="Calibri"/>
          <w:b/>
          <w:bCs/>
          <w:color w:val="2E75B6"/>
          <w:sz w:val="25"/>
          <w:szCs w:val="25"/>
        </w:rPr>
        <w:t xml:space="preserve">7.1 An example from the workshop file</w:t>
      </w:r>
    </w:p>
    <w:p>
      <w:pPr>
        <w:bidi w:val="false"/>
        <w:spacing w:after="120" w:line="300"/>
        <w:jc w:val="left"/>
      </w:pPr>
      <w:r>
        <w:rPr>
          <w:rFonts w:ascii="Calibri" w:cs="Calibri" w:eastAsia="Calibri" w:hAnsi="Calibri"/>
          <w:sz w:val="22"/>
          <w:szCs w:val="22"/>
        </w:rPr>
        <w:t xml:space="preserve">The workshop file shows the performance of System D's students by home resources for learning: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3520"/>
        <w:gridCol w:w="3214"/>
      </w:tblGrid>
      <w:tr>
        <w:trPr>
          <w:cantSplit/>
          <w:tblHeader/>
        </w:trPr>
        <w:tc>
          <w:tcPr>
            <w:tcW w:type="dxa" w:w="29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Category</w:t>
            </w:r>
          </w:p>
        </w:tc>
        <w:tc>
          <w:tcPr>
            <w:tcW w:type="dxa" w:w="35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Percentage of students</w:t>
            </w:r>
          </w:p>
        </w:tc>
        <w:tc>
          <w:tcPr>
            <w:tcW w:type="dxa" w:w="32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(standard error)</w:t>
            </w:r>
          </w:p>
        </w:tc>
      </w:tr>
      <w:tr>
        <w:trPr>
          <w:cantSplit/>
        </w:trPr>
        <w:tc>
          <w:tcPr>
            <w:tcW w:type="dxa" w:w="2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Many resources</w:t>
            </w:r>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571 (4.2)</w:t>
            </w:r>
          </w:p>
        </w:tc>
      </w:tr>
      <w:tr>
        <w:trPr>
          <w:cantSplit/>
        </w:trPr>
        <w:tc>
          <w:tcPr>
            <w:tcW w:type="dxa" w:w="2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Some resources</w:t>
            </w:r>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67%</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516 (3.0)</w:t>
            </w:r>
          </w:p>
        </w:tc>
      </w:tr>
      <w:tr>
        <w:trPr>
          <w:cantSplit/>
        </w:trPr>
        <w:tc>
          <w:tcPr>
            <w:tcW w:type="dxa" w:w="2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Few resources</w:t>
            </w:r>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468 (5.1)</w:t>
            </w:r>
          </w:p>
        </w:tc>
      </w:tr>
    </w:tbl>
    <w:p>
      <w:pPr>
        <w:spacing w:after="120"/>
      </w:pPr>
    </w:p>
    <w:p>
      <w:pPr>
        <w:bidi w:val="false"/>
        <w:spacing w:after="120" w:line="300"/>
        <w:jc w:val="left"/>
      </w:pPr>
      <w:r>
        <w:rPr>
          <w:rFonts w:ascii="Calibri" w:cs="Calibri" w:eastAsia="Calibri" w:hAnsi="Calibri"/>
          <w:sz w:val="22"/>
          <w:szCs w:val="22"/>
        </w:rPr>
        <w:t xml:space="preserve">The difference between the two extremes is 103 points, i.e. about a full standard deviation on the scale, and the critical ratio is 15.6. The difference is large and undoubtedly significant.</w:t>
      </w:r>
    </w:p>
    <w:p>
      <w:pPr>
        <w:pStyle w:val="Heading2"/>
        <w:bidi w:val="false"/>
        <w:spacing w:after="120" w:before="240"/>
        <w:jc w:val="left"/>
      </w:pPr>
      <w:r>
        <w:rPr>
          <w:rFonts w:ascii="Calibri" w:cs="Calibri" w:eastAsia="Calibri" w:hAnsi="Calibri"/>
          <w:b/>
          <w:bCs/>
          <w:color w:val="2E75B6"/>
          <w:sz w:val="25"/>
          <w:szCs w:val="25"/>
        </w:rPr>
        <w:t xml:space="preserve">7.2 Consistency check</w:t>
      </w:r>
    </w:p>
    <w:p>
      <w:pPr>
        <w:bidi w:val="false"/>
        <w:spacing w:after="120" w:line="300"/>
        <w:jc w:val="left"/>
      </w:pPr>
      <w:r>
        <w:rPr>
          <w:rFonts w:ascii="Calibri" w:cs="Calibri" w:eastAsia="Calibri" w:hAnsi="Calibri"/>
          <w:sz w:val="22"/>
          <w:szCs w:val="22"/>
        </w:rPr>
        <w:t xml:space="preserve">Before interpreting, verify your reading. The mean weighted by the percentages of students should approximate the published mean of the system:</w:t>
      </w:r>
    </w:p>
    <w:p>
      <w:pPr>
        <w:shd w:fill="F2F6FA" w:color="auto" w:val="clear"/>
        <w:bidi w:val="false"/>
        <w:spacing w:after="160" w:before="80"/>
        <w:jc w:val="center"/>
      </w:pPr>
      <w:r>
        <w:rPr>
          <w:rFonts w:ascii="Cambria Math" w:cs="Calibri" w:hAnsi="Cambria Math"/>
          <w:i w:val="false"/>
          <w:iCs w:val="false"/>
          <w:sz w:val="24"/>
          <w:szCs w:val="24"/>
        </w:rPr>
        <w:t xml:space="preserve">0.18 × 571 + 0.67 × 516 + 0.15 × 468 = 518.7</w:t>
      </w:r>
    </w:p>
    <w:p>
      <w:pPr>
        <w:bidi w:val="false"/>
        <w:spacing w:after="120" w:line="300"/>
        <w:jc w:val="left"/>
      </w:pPr>
      <w:r>
        <w:rPr>
          <w:rFonts w:ascii="Calibri" w:cs="Calibri" w:eastAsia="Calibri" w:hAnsi="Calibri"/>
          <w:sz w:val="22"/>
          <w:szCs w:val="22"/>
        </w:rPr>
        <w:t xml:space="preserve">The result is 518.7, which is very close to the published mean of 519. This is consistent with the table covering almost all the system's students, and with our reading the columns correctly. The small difference is natural owing to rounding of the percentages, and may also result from students who did not answer the questionnaire question.</w:t>
      </w:r>
    </w:p>
    <w:p>
      <w:pPr>
        <w:pStyle w:val="Heading2"/>
        <w:bidi w:val="false"/>
        <w:spacing w:after="120" w:before="240"/>
        <w:jc w:val="left"/>
      </w:pPr>
      <w:r>
        <w:rPr>
          <w:rFonts w:ascii="Calibri" w:cs="Calibri" w:eastAsia="Calibri" w:hAnsi="Calibri"/>
          <w:b/>
          <w:bCs/>
          <w:color w:val="2E75B6"/>
          <w:sz w:val="25"/>
          <w:szCs w:val="25"/>
        </w:rPr>
        <w:t xml:space="preserve">7.3 Why do we not conclude a cause?</w:t>
      </w:r>
    </w:p>
    <w:p>
      <w:pPr>
        <w:bidi w:val="false"/>
        <w:spacing w:after="120" w:line="300"/>
        <w:jc w:val="left"/>
      </w:pPr>
      <w:r>
        <w:rPr>
          <w:rFonts w:ascii="Calibri" w:cs="Calibri" w:eastAsia="Calibri" w:hAnsi="Calibri"/>
          <w:sz w:val="22"/>
          <w:szCs w:val="22"/>
        </w:rPr>
        <w:t xml:space="preserve">The tempting sentence: "Providing home resources for learning raises achievement by 103 points." This is a causal sentence that the data do not allow, for three reasons:</w:t>
      </w:r>
    </w:p>
    <w:p>
      <w:pPr>
        <w:pStyle w:val="ListParagraph"/>
        <w:numPr>
          <w:ilvl w:val="0"/>
          <w:numId w:val="3"/>
        </w:numPr>
        <w:bidi w:val="false"/>
        <w:spacing w:after="80" w:line="300"/>
        <w:jc w:val="left"/>
      </w:pPr>
      <w:r>
        <w:rPr>
          <w:rFonts w:ascii="Calibri" w:cs="Calibri" w:eastAsia="Calibri" w:hAnsi="Calibri"/>
          <w:b/>
          <w:bCs/>
          <w:sz w:val="22"/>
          <w:szCs w:val="22"/>
        </w:rPr>
        <w:t xml:space="preserve">Confounding variables:</w:t>
      </w:r>
      <w:r>
        <w:rPr>
          <w:rFonts w:ascii="Calibri" w:cs="Calibri" w:eastAsia="Calibri" w:hAnsi="Calibri"/>
          <w:sz w:val="22"/>
          <w:szCs w:val="22"/>
        </w:rPr>
        <w:t xml:space="preserve"> Families with many resources differ in many other things: parents' education, family income, the type and location of the school, and the language at home. Any of these may explain part or most of the difference.</w:t>
      </w:r>
    </w:p>
    <w:p>
      <w:pPr>
        <w:pStyle w:val="ListParagraph"/>
        <w:numPr>
          <w:ilvl w:val="0"/>
          <w:numId w:val="3"/>
        </w:numPr>
        <w:bidi w:val="false"/>
        <w:spacing w:after="80" w:line="300"/>
        <w:jc w:val="left"/>
      </w:pPr>
      <w:r>
        <w:rPr>
          <w:rFonts w:ascii="Calibri" w:cs="Calibri" w:eastAsia="Calibri" w:hAnsi="Calibri"/>
          <w:b/>
          <w:bCs/>
          <w:sz w:val="22"/>
          <w:szCs w:val="22"/>
        </w:rPr>
        <w:t xml:space="preserve">The design is cross-sectional:</w:t>
      </w:r>
      <w:r>
        <w:rPr>
          <w:rFonts w:ascii="Calibri" w:cs="Calibri" w:eastAsia="Calibri" w:hAnsi="Calibri"/>
          <w:sz w:val="22"/>
          <w:szCs w:val="22"/>
        </w:rPr>
        <w:t xml:space="preserve"> The data were collected at a single time, not before and after an intervention.</w:t>
      </w:r>
    </w:p>
    <w:p>
      <w:pPr>
        <w:pStyle w:val="ListParagraph"/>
        <w:numPr>
          <w:ilvl w:val="0"/>
          <w:numId w:val="3"/>
        </w:numPr>
        <w:bidi w:val="false"/>
        <w:spacing w:after="80" w:line="300"/>
        <w:jc w:val="left"/>
      </w:pPr>
      <w:r>
        <w:rPr>
          <w:rFonts w:ascii="Calibri" w:cs="Calibri" w:eastAsia="Calibri" w:hAnsi="Calibri"/>
          <w:b/>
          <w:bCs/>
          <w:sz w:val="22"/>
          <w:szCs w:val="22"/>
        </w:rPr>
        <w:t xml:space="preserve">The resources measure itself is a composite indicator:</w:t>
      </w:r>
      <w:r>
        <w:rPr>
          <w:rFonts w:ascii="Calibri" w:cs="Calibri" w:eastAsia="Calibri" w:hAnsi="Calibri"/>
          <w:sz w:val="22"/>
          <w:szCs w:val="22"/>
        </w:rPr>
        <w:t xml:space="preserve"> The number of books at home does not mean that the books are what produce the effect. It may be a sign of a broader family environment.</w:t>
      </w:r>
    </w:p>
    <w:p>
      <w:pPr>
        <w:bidi w:val="false"/>
        <w:spacing w:after="120" w:line="300"/>
        <w:jc w:val="left"/>
      </w:pPr>
      <w:r>
        <w:rPr>
          <w:rFonts w:ascii="Calibri" w:cs="Calibri" w:eastAsia="Calibri" w:hAnsi="Calibri"/>
          <w:sz w:val="22"/>
          <w:szCs w:val="22"/>
        </w:rPr>
        <w:t xml:space="preserve">The correct wording: "The availability of home resources for learning is associated with higher performance. The difference between students with many and few resources is 103 points, but it most likely reflects multiple family and social factors, and does not by itself indicate an effect of the resources themselves."</w:t>
      </w:r>
    </w:p>
    <w:p>
      <w:pPr>
        <w:pStyle w:val="Heading2"/>
        <w:bidi w:val="false"/>
        <w:spacing w:after="120" w:before="240"/>
        <w:jc w:val="left"/>
      </w:pPr>
      <w:r>
        <w:rPr>
          <w:rFonts w:ascii="Calibri" w:cs="Calibri" w:eastAsia="Calibri" w:hAnsi="Calibri"/>
          <w:b/>
          <w:bCs/>
          <w:color w:val="2E75B6"/>
          <w:sz w:val="25"/>
          <w:szCs w:val="25"/>
        </w:rPr>
        <w:t xml:space="preserve">7.4 The value of contextual data nonetheless</w:t>
      </w:r>
    </w:p>
    <w:p>
      <w:pPr>
        <w:bidi w:val="false"/>
        <w:spacing w:after="120" w:line="300"/>
        <w:jc w:val="left"/>
      </w:pPr>
      <w:r>
        <w:rPr>
          <w:rFonts w:ascii="Calibri" w:cs="Calibri" w:eastAsia="Calibri" w:hAnsi="Calibri"/>
          <w:sz w:val="22"/>
          <w:szCs w:val="22"/>
        </w:rPr>
        <w:t xml:space="preserve">Contextual data do not prove the cause, but they reveal </w:t>
      </w:r>
      <w:r>
        <w:rPr>
          <w:rFonts w:ascii="Calibri" w:cs="Calibri" w:eastAsia="Calibri" w:hAnsi="Calibri"/>
          <w:b/>
          <w:bCs/>
          <w:sz w:val="22"/>
          <w:szCs w:val="22"/>
        </w:rPr>
        <w:t xml:space="preserve">who</w:t>
      </w:r>
      <w:r>
        <w:rPr>
          <w:rFonts w:ascii="Calibri" w:cs="Calibri" w:eastAsia="Calibri" w:hAnsi="Calibri"/>
          <w:sz w:val="22"/>
          <w:szCs w:val="22"/>
        </w:rPr>
        <w:t xml:space="preserve"> needs support and where the gaps are concentrated. 15% of System D's students are in the few-resources category, and their mean is 468, i.e. below the Intermediate benchmark (475). This is information suitable for directing support, even if we do not know the exact cause.</w:t>
      </w:r>
    </w:p>
    <w:p>
      <w:pPr>
        <w:bidi w:val="false"/>
        <w:spacing w:after="120" w:line="300"/>
        <w:jc w:val="left"/>
      </w:pPr>
      <w:r>
        <w:rPr>
          <w:rFonts w:ascii="Calibri" w:cs="Calibri" w:eastAsia="Calibri" w:hAnsi="Calibri"/>
          <w:sz w:val="22"/>
          <w:szCs w:val="22"/>
        </w:rPr>
        <w:t xml:space="preserve">Note also that the standard error of the few-resources category (5.1) is larger than the error of the middle category (3.0), because it has fewer students. The smaller the category, the less precise its estimate.</w:t>
      </w:r>
    </w:p>
    <w:p>
      <w:pPr>
        <w:pStyle w:val="Heading1"/>
        <w:bidi w:val="false"/>
        <w:spacing w:after="160" w:before="360"/>
        <w:jc w:val="left"/>
      </w:pPr>
      <w:r>
        <w:rPr>
          <w:rFonts w:ascii="Calibri" w:cs="Calibri" w:eastAsia="Calibri" w:hAnsi="Calibri"/>
          <w:b/>
          <w:bCs/>
          <w:color w:val="1F4E79"/>
          <w:sz w:val="30"/>
          <w:szCs w:val="30"/>
        </w:rPr>
        <w:t xml:space="preserve">8. Writing responsibly about results</w:t>
      </w:r>
    </w:p>
    <w:p>
      <w:pPr>
        <w:pStyle w:val="Heading2"/>
        <w:bidi w:val="false"/>
        <w:spacing w:after="120" w:before="240"/>
        <w:jc w:val="left"/>
      </w:pPr>
      <w:r>
        <w:rPr>
          <w:rFonts w:ascii="Calibri" w:cs="Calibri" w:eastAsia="Calibri" w:hAnsi="Calibri"/>
          <w:b/>
          <w:bCs/>
          <w:color w:val="2E75B6"/>
          <w:sz w:val="25"/>
          <w:szCs w:val="25"/>
        </w:rPr>
        <w:t xml:space="preserve">8.1 Avoiding overstatement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7"/>
        <w:gridCol w:w="5441"/>
      </w:tblGrid>
      <w:tr>
        <w:trPr>
          <w:cantSplit/>
          <w:tblHeader/>
        </w:trPr>
        <w:tc>
          <w:tcPr>
            <w:tcW w:type="dxa" w:w="41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Instead of writing</w:t>
            </w:r>
          </w:p>
        </w:tc>
        <w:tc>
          <w:tcPr>
            <w:tcW w:type="dxa" w:w="54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Write</w:t>
            </w:r>
          </w:p>
        </w:tc>
      </w:tr>
      <w:tr>
        <w:trPr>
          <w:cantSplit/>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A outperforms System B</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performance of Systems A and B does not differ significantly</w:t>
            </w:r>
          </w:p>
        </w:tc>
      </w:tr>
      <w:tr>
        <w:trPr>
          <w:cantSplit/>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D's performance improved by 8 points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D's mean rose by 8 points, and the rise is not statistically significant</w:t>
            </w:r>
          </w:p>
        </w:tc>
      </w:tr>
      <w:tr>
        <w:trPr>
          <w:cantSplit/>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59% of System A students are at the two top benchmarks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45% of System A students reached the High benchmark or above, of whom 14% reached Advanced</w:t>
            </w:r>
          </w:p>
        </w:tc>
      </w:tr>
      <w:tr>
        <w:trPr>
          <w:cantSplit/>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Home resources raise achievement</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availability of home resources is associated with higher performance</w:t>
            </w:r>
          </w:p>
        </w:tc>
      </w:tr>
      <w:tr>
        <w:trPr>
          <w:cantSplit/>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D fell from fourth to fifth place</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System D's mean does not differ significantly from the system ranked above it</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8.2 School level or system level?</w:t>
      </w:r>
    </w:p>
    <w:p>
      <w:pPr>
        <w:bidi w:val="false"/>
        <w:spacing w:after="120" w:line="300"/>
        <w:jc w:val="left"/>
      </w:pPr>
      <w:r>
        <w:rPr>
          <w:rFonts w:ascii="Calibri" w:cs="Calibri" w:eastAsia="Calibri" w:hAnsi="Calibri"/>
          <w:sz w:val="22"/>
          <w:szCs w:val="22"/>
        </w:rPr>
        <w:t xml:space="preserve">International study samples are designed to estimate the performance of the whole </w:t>
      </w:r>
      <w:r>
        <w:rPr>
          <w:rFonts w:ascii="Calibri" w:cs="Calibri" w:eastAsia="Calibri" w:hAnsi="Calibri"/>
          <w:b/>
          <w:bCs/>
          <w:sz w:val="22"/>
          <w:szCs w:val="22"/>
        </w:rPr>
        <w:t xml:space="preserve">system</w:t>
      </w:r>
      <w:r>
        <w:rPr>
          <w:rFonts w:ascii="Calibri" w:cs="Calibri" w:eastAsia="Calibri" w:hAnsi="Calibri"/>
          <w:sz w:val="22"/>
          <w:szCs w:val="22"/>
        </w:rPr>
        <w:t xml:space="preserve">, not the performance of a particular school. In each school, usually only one or two classes are tested, so the mean of a school in the sample is not a valid judgement on the school. Likewise, relationships between systems do not transfer to students or schools: if systems that allocate more time to science perform better, this does not mean that increasing the lessons in your school will raise its students' performance.</w:t>
      </w:r>
    </w:p>
    <w:p>
      <w:pPr>
        <w:pStyle w:val="Heading2"/>
        <w:bidi w:val="false"/>
        <w:spacing w:after="120" w:before="240"/>
        <w:jc w:val="left"/>
      </w:pPr>
      <w:r>
        <w:rPr>
          <w:rFonts w:ascii="Calibri" w:cs="Calibri" w:eastAsia="Calibri" w:hAnsi="Calibri"/>
          <w:b/>
          <w:bCs/>
          <w:color w:val="2E75B6"/>
          <w:sz w:val="25"/>
          <w:szCs w:val="25"/>
        </w:rPr>
        <w:t xml:space="preserve">8.3 Small groups</w:t>
      </w:r>
    </w:p>
    <w:p>
      <w:pPr>
        <w:bidi w:val="false"/>
        <w:spacing w:after="120" w:line="300"/>
        <w:jc w:val="left"/>
      </w:pPr>
      <w:r>
        <w:rPr>
          <w:rFonts w:ascii="Calibri" w:cs="Calibri" w:eastAsia="Calibri" w:hAnsi="Calibri"/>
          <w:sz w:val="22"/>
          <w:szCs w:val="22"/>
        </w:rPr>
        <w:t xml:space="preserve">When students are divided into small groups (by region, school type, or a rare contextual category), the standard error grows, and apparently large differences may become non-significant. Many reports put a warning mark on estimates based on a small number of students, or do not publish them. A practical rule: before you write about a group, ask how many students are in it, and what its standard error is.</w:t>
      </w:r>
    </w:p>
    <w:p>
      <w:pPr>
        <w:pStyle w:val="Heading2"/>
        <w:bidi w:val="false"/>
        <w:spacing w:after="120" w:before="240"/>
        <w:jc w:val="left"/>
      </w:pPr>
      <w:r>
        <w:rPr>
          <w:rFonts w:ascii="Calibri" w:cs="Calibri" w:eastAsia="Calibri" w:hAnsi="Calibri"/>
          <w:b/>
          <w:bCs/>
          <w:color w:val="2E75B6"/>
          <w:sz w:val="25"/>
          <w:szCs w:val="25"/>
        </w:rPr>
        <w:t xml:space="preserve">8.4 The policy memo</w:t>
      </w:r>
    </w:p>
    <w:p>
      <w:pPr>
        <w:bidi w:val="false"/>
        <w:spacing w:after="120" w:line="300"/>
        <w:jc w:val="left"/>
      </w:pPr>
      <w:r>
        <w:rPr>
          <w:rFonts w:ascii="Calibri" w:cs="Calibri" w:eastAsia="Calibri" w:hAnsi="Calibri"/>
          <w:sz w:val="22"/>
          <w:szCs w:val="22"/>
        </w:rPr>
        <w:t xml:space="preserve">This week's product is a one-page policy memo. A good memo:</w:t>
      </w:r>
    </w:p>
    <w:p>
      <w:pPr>
        <w:pStyle w:val="ListParagraph"/>
        <w:numPr>
          <w:ilvl w:val="0"/>
          <w:numId w:val="3"/>
        </w:numPr>
        <w:bidi w:val="false"/>
        <w:spacing w:after="80" w:line="300"/>
        <w:jc w:val="left"/>
      </w:pPr>
      <w:r>
        <w:rPr>
          <w:rFonts w:ascii="Calibri" w:cs="Calibri" w:eastAsia="Calibri" w:hAnsi="Calibri"/>
          <w:sz w:val="22"/>
          <w:szCs w:val="22"/>
        </w:rPr>
        <w:t xml:space="preserve">Begins with the key message in two sentences.</w:t>
      </w:r>
    </w:p>
    <w:p>
      <w:pPr>
        <w:pStyle w:val="ListParagraph"/>
        <w:numPr>
          <w:ilvl w:val="0"/>
          <w:numId w:val="3"/>
        </w:numPr>
        <w:bidi w:val="false"/>
        <w:spacing w:after="80" w:line="300"/>
        <w:jc w:val="left"/>
      </w:pPr>
      <w:r>
        <w:rPr>
          <w:rFonts w:ascii="Calibri" w:cs="Calibri" w:eastAsia="Calibri" w:hAnsi="Calibri"/>
          <w:sz w:val="22"/>
          <w:szCs w:val="22"/>
        </w:rPr>
        <w:t xml:space="preserve">Presents at most three findings, each with its number and its significance.</w:t>
      </w:r>
    </w:p>
    <w:p>
      <w:pPr>
        <w:pStyle w:val="ListParagraph"/>
        <w:numPr>
          <w:ilvl w:val="0"/>
          <w:numId w:val="3"/>
        </w:numPr>
        <w:bidi w:val="false"/>
        <w:spacing w:after="80" w:line="300"/>
        <w:jc w:val="left"/>
      </w:pPr>
      <w:r>
        <w:rPr>
          <w:rFonts w:ascii="Calibri" w:cs="Calibri" w:eastAsia="Calibri" w:hAnsi="Calibri"/>
          <w:sz w:val="22"/>
          <w:szCs w:val="22"/>
        </w:rPr>
        <w:t xml:space="preserve">Separates explicitly between what the data say and what they do not say.</w:t>
      </w:r>
    </w:p>
    <w:p>
      <w:pPr>
        <w:pStyle w:val="ListParagraph"/>
        <w:numPr>
          <w:ilvl w:val="0"/>
          <w:numId w:val="3"/>
        </w:numPr>
        <w:bidi w:val="false"/>
        <w:spacing w:after="80" w:line="300"/>
        <w:jc w:val="left"/>
      </w:pPr>
      <w:r>
        <w:rPr>
          <w:rFonts w:ascii="Calibri" w:cs="Calibri" w:eastAsia="Calibri" w:hAnsi="Calibri"/>
          <w:sz w:val="22"/>
          <w:szCs w:val="22"/>
        </w:rPr>
        <w:t xml:space="preserve">Proposes actions proportionate to the strength of the evidence: correlational data justify directing support and deeper study, not announcing a cause.</w:t>
      </w:r>
    </w:p>
    <w:p>
      <w:pPr>
        <w:pStyle w:val="ListParagraph"/>
        <w:numPr>
          <w:ilvl w:val="0"/>
          <w:numId w:val="3"/>
        </w:numPr>
        <w:bidi w:val="false"/>
        <w:spacing w:after="80" w:line="300"/>
        <w:jc w:val="left"/>
      </w:pPr>
      <w:r>
        <w:rPr>
          <w:rFonts w:ascii="Calibri" w:cs="Calibri" w:eastAsia="Calibri" w:hAnsi="Calibri"/>
          <w:sz w:val="22"/>
          <w:szCs w:val="22"/>
        </w:rPr>
        <w:t xml:space="preserve">Ends with the limitations of the data.</w:t>
      </w:r>
    </w:p>
    <w:p>
      <w:pPr>
        <w:pStyle w:val="Heading1"/>
        <w:bidi w:val="false"/>
        <w:spacing w:after="160" w:before="360"/>
        <w:jc w:val="left"/>
      </w:pPr>
      <w:r>
        <w:rPr>
          <w:rFonts w:ascii="Calibri" w:cs="Calibri" w:eastAsia="Calibri" w:hAnsi="Calibri"/>
          <w:b/>
          <w:bCs/>
          <w:color w:val="1F4E79"/>
          <w:sz w:val="30"/>
          <w:szCs w:val="30"/>
        </w:rPr>
        <w:t xml:space="preserve">9. Reading reports with Claude's help</w:t>
      </w:r>
    </w:p>
    <w:p>
      <w:pPr>
        <w:bidi w:val="false"/>
        <w:spacing w:after="120" w:line="300"/>
        <w:jc w:val="left"/>
      </w:pPr>
      <w:r>
        <w:rPr>
          <w:rFonts w:ascii="Calibri" w:cs="Calibri" w:eastAsia="Calibri" w:hAnsi="Calibri"/>
          <w:sz w:val="22"/>
          <w:szCs w:val="22"/>
        </w:rPr>
        <w:t xml:space="preserve">Claude is useful for summarising a long report and wording it for a specific audience, but its summaries have typical errors that you must look for.</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Summarising many tables in a short text in language a non-specialist understands.</w:t>
      </w:r>
    </w:p>
    <w:p>
      <w:pPr>
        <w:pStyle w:val="ListParagraph"/>
        <w:numPr>
          <w:ilvl w:val="0"/>
          <w:numId w:val="3"/>
        </w:numPr>
        <w:bidi w:val="false"/>
        <w:spacing w:after="80" w:line="300"/>
        <w:jc w:val="left"/>
      </w:pPr>
      <w:r>
        <w:rPr>
          <w:rFonts w:ascii="Calibri" w:cs="Calibri" w:eastAsia="Calibri" w:hAnsi="Calibri"/>
          <w:sz w:val="22"/>
          <w:szCs w:val="22"/>
        </w:rPr>
        <w:t xml:space="preserve">Rewording the same text for a different audience: a ministry, parents, or teachers.</w:t>
      </w:r>
    </w:p>
    <w:p>
      <w:pPr>
        <w:pStyle w:val="ListParagraph"/>
        <w:numPr>
          <w:ilvl w:val="0"/>
          <w:numId w:val="3"/>
        </w:numPr>
        <w:bidi w:val="false"/>
        <w:spacing w:after="80" w:line="300"/>
        <w:jc w:val="left"/>
      </w:pPr>
      <w:r>
        <w:rPr>
          <w:rFonts w:ascii="Calibri" w:cs="Calibri" w:eastAsia="Calibri" w:hAnsi="Calibri"/>
          <w:sz w:val="22"/>
          <w:szCs w:val="22"/>
        </w:rPr>
        <w:t xml:space="preserve">Computing critical ratios and conversions if explicitly asked to do so by running code.</w:t>
      </w:r>
    </w:p>
    <w:p>
      <w:pPr>
        <w:bidi w:val="false"/>
        <w:spacing w:after="120" w:line="300"/>
        <w:jc w:val="left"/>
      </w:pPr>
      <w:r>
        <w:rPr>
          <w:rFonts w:ascii="Calibri" w:cs="Calibri" w:eastAsia="Calibri" w:hAnsi="Calibri"/>
          <w:b/>
          <w:bCs/>
          <w:sz w:val="22"/>
          <w:szCs w:val="22"/>
        </w:rPr>
        <w:t xml:space="preserve">Its three typical errors: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Treating non-significant differences as if they were real:</w:t>
      </w:r>
      <w:r>
        <w:rPr>
          <w:rFonts w:ascii="Calibri" w:cs="Calibri" w:eastAsia="Calibri" w:hAnsi="Calibri"/>
          <w:sz w:val="22"/>
          <w:szCs w:val="22"/>
        </w:rPr>
        <w:t xml:space="preserve"> "System A is at the top, followed by System B", or "System D improved".</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Adding the cumulative percentages or reading them as if they were separate bands:</w:t>
      </w:r>
      <w:r>
        <w:rPr>
          <w:rFonts w:ascii="Calibri" w:cs="Calibri" w:eastAsia="Calibri" w:hAnsi="Calibri"/>
          <w:sz w:val="22"/>
          <w:szCs w:val="22"/>
        </w:rPr>
        <w:t xml:space="preserve"> "45% at the High benchmark".</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Causal language:</w:t>
      </w:r>
      <w:r>
        <w:rPr>
          <w:rFonts w:ascii="Calibri" w:cs="Calibri" w:eastAsia="Calibri" w:hAnsi="Calibri"/>
          <w:sz w:val="22"/>
          <w:szCs w:val="22"/>
        </w:rPr>
        <w:t xml:space="preserve"> "Home resources raise performance", or "Weak performance is due to...".</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sz w:val="22"/>
          <w:szCs w:val="22"/>
        </w:rPr>
        <w:t xml:space="preserve">Every comparative sentence: was its significance computed? Go back to the "Means" sheet.</w:t>
      </w:r>
    </w:p>
    <w:p>
      <w:pPr>
        <w:pStyle w:val="ListParagraph"/>
        <w:numPr>
          <w:ilvl w:val="0"/>
          <w:numId w:val="3"/>
        </w:numPr>
        <w:bidi w:val="false"/>
        <w:spacing w:after="80" w:line="300"/>
        <w:jc w:val="left"/>
      </w:pPr>
      <w:r>
        <w:rPr>
          <w:rFonts w:ascii="Calibri" w:cs="Calibri" w:eastAsia="Calibri" w:hAnsi="Calibri"/>
          <w:sz w:val="22"/>
          <w:szCs w:val="22"/>
        </w:rPr>
        <w:t xml:space="preserve">Every percentage: is it cumulative or within a band? Go back to the "Benchmarks" sheet.</w:t>
      </w:r>
    </w:p>
    <w:p>
      <w:pPr>
        <w:pStyle w:val="ListParagraph"/>
        <w:numPr>
          <w:ilvl w:val="0"/>
          <w:numId w:val="3"/>
        </w:numPr>
        <w:bidi w:val="false"/>
        <w:spacing w:after="80" w:line="300"/>
        <w:jc w:val="left"/>
      </w:pPr>
      <w:r>
        <w:rPr>
          <w:rFonts w:ascii="Calibri" w:cs="Calibri" w:eastAsia="Calibri" w:hAnsi="Calibri"/>
          <w:sz w:val="22"/>
          <w:szCs w:val="22"/>
        </w:rPr>
        <w:t xml:space="preserve">Every verb such as "raises", "leads to", "because of" or "is due to": do the data allow it?</w:t>
      </w:r>
    </w:p>
    <w:p>
      <w:pPr>
        <w:pStyle w:val="ListParagraph"/>
        <w:numPr>
          <w:ilvl w:val="0"/>
          <w:numId w:val="3"/>
        </w:numPr>
        <w:bidi w:val="false"/>
        <w:spacing w:after="80" w:line="300"/>
        <w:jc w:val="left"/>
      </w:pPr>
      <w:r>
        <w:rPr>
          <w:rFonts w:ascii="Calibri" w:cs="Calibri" w:eastAsia="Calibri" w:hAnsi="Calibri"/>
          <w:sz w:val="22"/>
          <w:szCs w:val="22"/>
        </w:rPr>
        <w:t xml:space="preserve">Every number in the summary: is it actually in the tables?</w:t>
      </w:r>
    </w:p>
    <w:p>
      <w:pPr>
        <w:bidi w:val="false"/>
        <w:spacing w:after="120" w:line="300"/>
        <w:jc w:val="left"/>
      </w:pPr>
      <w:r>
        <w:rPr>
          <w:rFonts w:ascii="Calibri" w:cs="Calibri" w:eastAsia="Calibri" w:hAnsi="Calibri"/>
          <w:sz w:val="22"/>
          <w:szCs w:val="22"/>
        </w:rPr>
        <w:t xml:space="preserve">The summary is adopted after it is matched against the tables, not before. The AI use level this week is 2: Documented collaboration, and you are responsible for every sentence in the memo.</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newspaper published: "The system rose three places in the international ranking." What three questions do you ask before commenting?</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Compute the critical ratio for the difference between Systems C and D (531 with an error of 2.9 and 519 with an error of 3.1). Is the difference significant? Did the two confidence intervals overlap?</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Convert the cumulative percentages for System H (1%, 9%, 33% and 64%) into percentages within the bands, and verify that they add up to 100%.</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Propose three confounding variables that may explain the relationship between home resources and performance in System D, and explain how each of them could explain the difference.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principal of a school that took part in the sample wants to announce that the school is "above the international average" based on the mean of its students in the study. What do you tell them?</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Why might System E need a different policy from System D, even though their means do not differ significantly?</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von Davier, M., Kennedy, A., Reynolds, K., Fishbein, B., Khorramdel, L., Aldrich, C., Bookbinder, A., Bezirhan, U., &amp; Yin, L. (2024). TIMSS 2023 International Results in Mathematics and Science. IEA / TIMSS &amp; PIRLS International Study Center, Boston College.</w:t>
      </w:r>
    </w:p>
    <w:p>
      <w:pPr>
        <w:bidi w:val="false"/>
        <w:spacing w:after="120" w:line="300"/>
        <w:jc w:val="left"/>
      </w:pPr>
      <w:r>
        <w:rPr>
          <w:rFonts w:ascii="Calibri" w:cs="Calibri" w:eastAsia="Calibri" w:hAnsi="Calibri"/>
          <w:sz w:val="22"/>
          <w:szCs w:val="22"/>
        </w:rPr>
        <w:t xml:space="preserve">It is sufficient to look at the chapters on the means, the benchmarks and the trend, and the way the significance tables are presented.</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Mullis, I. V. S., Martin, M. O., &amp; von Davier, M. (Eds.) (2021). TIMSS 2023 Assessment Frameworks. TIMSS &amp; PIRLS International Study Center, Boston College.</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Kane, M. T. (2013). Validating the interpretations and uses of test scores. Journal of Educational Measurement, 50(1), 1–73.</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3"/>
        <w:gridCol w:w="4735"/>
      </w:tblGrid>
      <w:tr>
        <w:trPr>
          <w:cantSplit/>
          <w:tblHeader/>
        </w:trPr>
        <w:tc>
          <w:tcPr>
            <w:tcW w:type="dxa" w:w="4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this course)</w:t>
            </w:r>
          </w:p>
        </w:tc>
        <w:tc>
          <w:tcPr>
            <w:tcW w:type="dxa" w:w="4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in the literature</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Midpoint of the scale</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Scale centrepoint</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(SE)</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Confidence interval</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Confidence interval</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Critical ratio</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Critical ratio (z)</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Statistical significance</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Statistical significance</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comparisons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comparisons</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International benchmarks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International benchmarks</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Cumulative percentages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Cumulative percentages</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Benchmark descriptor</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Benchmark description</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Trend</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Trend</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Linking error</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Linking error</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Plausible values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Plausible values</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Context questionnaires</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Context questionnaires</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Home resources for learning</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Home resources for learning</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Confounding variable</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Confounding variable</w:t>
            </w:r>
          </w:p>
        </w:tc>
      </w:tr>
      <w:tr>
        <w:trPr>
          <w:cantSplit/>
        </w:trPr>
        <w:tc>
          <w:tcPr>
            <w:tcW w:type="dxa" w:w="4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Policy memo</w:t>
            </w:r>
          </w:p>
        </w:tc>
        <w:tc>
          <w:tcPr>
            <w:tcW w:type="dxa" w:w="4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Policy brief</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13: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Lecture Notes</dc:title>
  <dc:creator>Emad Adel Fraij</dc:creator>
  <cp:lastModifiedBy>Un-named</cp:lastModifiedBy>
  <cp:revision>1</cp:revision>
  <dcterms:created xsi:type="dcterms:W3CDTF">2026-10-15T04:06:21.810Z</dcterms:created>
  <dcterms:modified xsi:type="dcterms:W3CDTF">2026-10-15T04:06:21.811Z</dcterms:modified>
</cp:coreProperties>
</file>

<file path=docProps/custom.xml><?xml version="1.0" encoding="utf-8"?>
<Properties xmlns="http://schemas.openxmlformats.org/officeDocument/2006/custom-properties" xmlns:vt="http://schemas.openxmlformats.org/officeDocument/2006/docPropsVTypes"/>
</file>