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15 — Oral Defense and Self-Reflection</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for the week · Educational Measurement and Evaluation course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Summarise the principles of validity, reliability and fairness in a single picture, and link each of them to a decision they made in their project.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Explain the course principle "Claude proposes, the student judges and documents, and the data decides." with examples from their own work.</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Describe their professional identity as an assessing teacher who uses AI without relinquishing judgement.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Write a reflection built on evidence from their portfolio, not on general impressions.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Evaluate their assessment practice with the help of the dimensions of the UNESCO AI competency framework for teachers.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Explain why the oral defense is considered valid evidence of understanding and ownership of the work, and know its limitations and ways of mitigating them.</w:t>
      </w:r>
    </w:p>
    <w:p>
      <w:pPr>
        <w:bidi w:val="false"/>
        <w:spacing w:after="120" w:line="300"/>
        <w:jc w:val="left"/>
      </w:pPr>
      <w:r>
        <w:rPr>
          <w:rFonts w:ascii="Calibri" w:cs="Calibri" w:eastAsia="Calibri" w:hAnsi="Calibri"/>
          <w:sz w:val="22"/>
          <w:szCs w:val="22"/>
        </w:rPr>
        <w:t xml:space="preserve">This week serves course outcome 7, and integrates outcomes 1 to 6. The lecture is shorter than usual, because most of the week's time is for the practical exam and the oral defense.</w:t>
      </w:r>
    </w:p>
    <w:p>
      <w:pPr>
        <w:pStyle w:val="Heading1"/>
        <w:bidi w:val="false"/>
        <w:spacing w:after="160" w:before="360"/>
        <w:jc w:val="left"/>
      </w:pPr>
      <w:r>
        <w:rPr>
          <w:rFonts w:ascii="Calibri" w:cs="Calibri" w:eastAsia="Calibri" w:hAnsi="Calibri"/>
          <w:b/>
          <w:bCs/>
          <w:color w:val="1F4E79"/>
          <w:sz w:val="30"/>
          <w:szCs w:val="30"/>
        </w:rPr>
        <w:t xml:space="preserve">1. The course in three questions</w:t>
      </w:r>
    </w:p>
    <w:p>
      <w:pPr>
        <w:bidi w:val="false"/>
        <w:spacing w:after="120" w:line="300"/>
        <w:jc w:val="left"/>
      </w:pPr>
      <w:r>
        <w:rPr>
          <w:rFonts w:ascii="Calibri" w:cs="Calibri" w:eastAsia="Calibri" w:hAnsi="Calibri"/>
          <w:sz w:val="22"/>
          <w:szCs w:val="22"/>
        </w:rPr>
        <w:t xml:space="preserve">We began the course with the situation of a teacher who received thirty similar essays, and asked: what do these scores measure now? Everything we studied after that was an attempt to answer three questions that any teacher asks of any assessment instrument: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88"/>
        <w:gridCol w:w="1154"/>
        <w:gridCol w:w="3688"/>
        <w:gridCol w:w="1108"/>
      </w:tblGrid>
      <w:tr>
        <w:trPr>
          <w:cantSplit/>
          <w:tblHeader/>
        </w:trPr>
        <w:tc>
          <w:tcPr>
            <w:tcW w:type="dxa" w:w="36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question</w:t>
            </w:r>
          </w:p>
        </w:tc>
        <w:tc>
          <w:tcPr>
            <w:tcW w:type="dxa" w:w="1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principle</w:t>
            </w:r>
          </w:p>
        </w:tc>
        <w:tc>
          <w:tcPr>
            <w:tcW w:type="dxa" w:w="36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we learned</w:t>
            </w:r>
          </w:p>
        </w:tc>
        <w:tc>
          <w:tcPr>
            <w:tcW w:type="dxa" w:w="11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Where we applied it</w:t>
            </w:r>
          </w:p>
        </w:tc>
      </w:tr>
      <w:tr>
        <w:trPr>
          <w:cantSplit/>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my interpretation of this score correct and useful for the decision?</w:t>
            </w:r>
          </w:p>
        </w:tc>
        <w:tc>
          <w:tcPr>
            <w:tcW w:type="dxa" w:w="1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Validity</w:t>
            </w:r>
          </w:p>
        </w:tc>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Validity is a property of interpretations and uses, not of the test paper, and we collect evidence for it from five sources</w:t>
            </w:r>
          </w:p>
        </w:tc>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Weeks 3, 6, 7 and 12</w:t>
            </w:r>
          </w:p>
        </w:tc>
      </w:tr>
      <w:tr>
        <w:trPr>
          <w:cantSplit/>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How much do I trust this particular student's score?</w:t>
            </w:r>
          </w:p>
        </w:tc>
        <w:tc>
          <w:tcPr>
            <w:tcW w:type="dxa" w:w="1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Reliability</w:t>
            </w:r>
          </w:p>
        </w:tc>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Every score contains measurement error, and the standard error tells us by how many points we might be wrong</w:t>
            </w:r>
          </w:p>
        </w:tc>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Weeks 4, 8, 10 and 11</w:t>
            </w:r>
          </w:p>
        </w:tc>
      </w:tr>
      <w:tr>
        <w:trPr>
          <w:cantSplit/>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the instrument measure the same thing for all students?</w:t>
            </w:r>
          </w:p>
        </w:tc>
        <w:tc>
          <w:tcPr>
            <w:tcW w:type="dxa" w:w="1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Fairness</w:t>
            </w:r>
          </w:p>
        </w:tc>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difference between two groups does not mean bias except after matching on ability, and unnecessary context adds variance unrelated to what we measure</w:t>
            </w:r>
          </w:p>
        </w:tc>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Weeks 5, 9 and 10</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1.1 Validity is an argument, not a stamp</w:t>
      </w:r>
    </w:p>
    <w:p>
      <w:pPr>
        <w:bidi w:val="false"/>
        <w:spacing w:after="120" w:line="300"/>
        <w:jc w:val="left"/>
      </w:pPr>
      <w:r>
        <w:rPr>
          <w:rFonts w:ascii="Calibri" w:cs="Calibri" w:eastAsia="Calibri" w:hAnsi="Calibri"/>
          <w:sz w:val="22"/>
          <w:szCs w:val="22"/>
        </w:rPr>
        <w:t xml:space="preserve">We learned from Messick (1989) and Kane (2013) to ask about the </w:t>
      </w:r>
      <w:r>
        <w:rPr>
          <w:rFonts w:ascii="Calibri" w:cs="Calibri" w:eastAsia="Calibri" w:hAnsi="Calibri"/>
          <w:b/>
          <w:bCs/>
          <w:sz w:val="22"/>
          <w:szCs w:val="22"/>
        </w:rPr>
        <w:t xml:space="preserve">interpretation</w:t>
      </w:r>
      <w:r>
        <w:rPr>
          <w:rFonts w:ascii="Calibri" w:cs="Calibri" w:eastAsia="Calibri" w:hAnsi="Calibri"/>
          <w:sz w:val="22"/>
          <w:szCs w:val="22"/>
        </w:rPr>
        <w:t xml:space="preserve">, not about the </w:t>
      </w:r>
      <w:r>
        <w:rPr>
          <w:rFonts w:ascii="Calibri" w:cs="Calibri" w:eastAsia="Calibri" w:hAnsi="Calibri"/>
          <w:b/>
          <w:bCs/>
          <w:sz w:val="22"/>
          <w:szCs w:val="22"/>
        </w:rPr>
        <w:t xml:space="preserve">test</w:t>
      </w:r>
      <w:r>
        <w:rPr>
          <w:rFonts w:ascii="Calibri" w:cs="Calibri" w:eastAsia="Calibri" w:hAnsi="Calibri"/>
          <w:sz w:val="22"/>
          <w:szCs w:val="22"/>
        </w:rPr>
        <w:t xml:space="preserve">. The same test may be valid for one interpretation and not for another. And the international Standards for testing (2014) group validity evidence into five sources: content, response processes, internal structure, relations to other variables, and the consequences of testing. The test blueprint in your project is content evidence, the item analysis is internal structure evidence, and the oral defense this week is evidence of response processes: how did you arrive at your decision?</w:t>
      </w:r>
    </w:p>
    <w:p>
      <w:pPr>
        <w:pStyle w:val="Heading2"/>
        <w:bidi w:val="false"/>
        <w:spacing w:after="120" w:before="240"/>
        <w:jc w:val="left"/>
      </w:pPr>
      <w:r>
        <w:rPr>
          <w:rFonts w:ascii="Calibri" w:cs="Calibri" w:eastAsia="Calibri" w:hAnsi="Calibri"/>
          <w:b/>
          <w:bCs/>
          <w:color w:val="2E75B6"/>
          <w:sz w:val="25"/>
          <w:szCs w:val="25"/>
        </w:rPr>
        <w:t xml:space="preserve">1.2 Reliability is a means, not an end</w:t>
      </w:r>
    </w:p>
    <w:p>
      <w:pPr>
        <w:bidi w:val="false"/>
        <w:spacing w:after="120" w:line="300"/>
        <w:jc w:val="left"/>
      </w:pPr>
      <w:r>
        <w:rPr>
          <w:rFonts w:ascii="Calibri" w:cs="Calibri" w:eastAsia="Calibri" w:hAnsi="Calibri"/>
          <w:sz w:val="22"/>
          <w:szCs w:val="22"/>
        </w:rPr>
        <w:t xml:space="preserve">The coefficient describes the group, and the decision is made about an individual. That is why the standard error of measurement was the teacher's most important tool in this course:</w:t>
      </w:r>
    </w:p>
    <w:p>
      <w:pPr>
        <w:shd w:fill="F2F6FA" w:color="auto" w:val="clear"/>
        <w:bidi w:val="false"/>
        <w:spacing w:after="160" w:before="80"/>
        <w:jc w:val="center"/>
      </w:pPr>
      <w:r>
        <w:rPr>
          <w:rFonts w:ascii="Cambria Math" w:cs="Calibri" w:hAnsi="Cambria Math"/>
          <w:i w:val="false"/>
          <w:iCs w:val="false"/>
          <w:sz w:val="24"/>
          <w:szCs w:val="24"/>
        </w:rPr>
        <w:t xml:space="preserve">SEM = S × √(1 − r)</w:t>
      </w:r>
    </w:p>
    <w:p>
      <w:pPr>
        <w:bidi w:val="false"/>
        <w:spacing w:after="120" w:line="300"/>
        <w:jc w:val="left"/>
      </w:pPr>
      <w:r>
        <w:rPr>
          <w:rFonts w:ascii="Calibri" w:cs="Calibri" w:eastAsia="Calibri" w:hAnsi="Calibri"/>
          <w:sz w:val="22"/>
          <w:szCs w:val="22"/>
        </w:rPr>
        <w:t xml:space="preserve">A student close to the pass mark needs additional evidence, not a quick judgement. This idea alone changes the way results are announced in any school.</w:t>
      </w:r>
    </w:p>
    <w:p>
      <w:pPr>
        <w:pStyle w:val="Heading2"/>
        <w:bidi w:val="false"/>
        <w:spacing w:after="120" w:before="240"/>
        <w:jc w:val="left"/>
      </w:pPr>
      <w:r>
        <w:rPr>
          <w:rFonts w:ascii="Calibri" w:cs="Calibri" w:eastAsia="Calibri" w:hAnsi="Calibri"/>
          <w:b/>
          <w:bCs/>
          <w:color w:val="2E75B6"/>
          <w:sz w:val="25"/>
          <w:szCs w:val="25"/>
        </w:rPr>
        <w:t xml:space="preserve">1.3 Fairness is part of validity</w:t>
      </w:r>
    </w:p>
    <w:p>
      <w:pPr>
        <w:bidi w:val="false"/>
        <w:spacing w:after="120" w:line="300"/>
        <w:jc w:val="left"/>
      </w:pPr>
      <w:r>
        <w:rPr>
          <w:rFonts w:ascii="Calibri" w:cs="Calibri" w:eastAsia="Calibri" w:hAnsi="Calibri"/>
          <w:sz w:val="22"/>
          <w:szCs w:val="22"/>
        </w:rPr>
        <w:t xml:space="preserve">An unfair item measures something extra that we do not want: language, travel experience, or culture. Controlled comparison (Dorans &amp; Kulick, 1986) taught us not to judge from the raw difference, and to review the item with experts before deleting it. And automated tools need the same check in subgroups, because the overall mean agreement may hide unfairness to a small group (Week 10).</w:t>
      </w:r>
    </w:p>
    <w:p>
      <w:pPr>
        <w:pStyle w:val="Heading1"/>
        <w:bidi w:val="false"/>
        <w:spacing w:after="160" w:before="360"/>
        <w:jc w:val="left"/>
      </w:pPr>
      <w:r>
        <w:rPr>
          <w:rFonts w:ascii="Calibri" w:cs="Calibri" w:eastAsia="Calibri" w:hAnsi="Calibri"/>
          <w:b/>
          <w:bCs/>
          <w:color w:val="1F4E79"/>
          <w:sz w:val="30"/>
          <w:szCs w:val="30"/>
        </w:rPr>
        <w:t xml:space="preserve">2. The running principle: "Claude proposes, the student judges and documents, and the data decides."</w:t>
      </w:r>
    </w:p>
    <w:p>
      <w:pPr>
        <w:bidi w:val="false"/>
        <w:spacing w:after="120" w:line="300"/>
        <w:jc w:val="left"/>
      </w:pPr>
      <w:r>
        <w:rPr>
          <w:rFonts w:ascii="Calibri" w:cs="Calibri" w:eastAsia="Calibri" w:hAnsi="Calibri"/>
          <w:sz w:val="22"/>
          <w:szCs w:val="22"/>
        </w:rPr>
        <w:t xml:space="preserve">This principle has recurred every week. Now we see it complete with its three parts:</w:t>
      </w:r>
    </w:p>
    <w:p>
      <w:pPr>
        <w:pStyle w:val="ListParagraph"/>
        <w:numPr>
          <w:ilvl w:val="0"/>
          <w:numId w:val="3"/>
        </w:numPr>
        <w:bidi w:val="false"/>
        <w:spacing w:after="80" w:line="300"/>
        <w:jc w:val="left"/>
      </w:pPr>
      <w:r>
        <w:rPr>
          <w:rFonts w:ascii="Calibri" w:cs="Calibri" w:eastAsia="Calibri" w:hAnsi="Calibri"/>
          <w:b/>
          <w:bCs/>
          <w:sz w:val="22"/>
          <w:szCs w:val="22"/>
        </w:rPr>
        <w:t xml:space="preserve">Claude proposes:</w:t>
      </w:r>
      <w:r>
        <w:rPr>
          <w:rFonts w:ascii="Calibri" w:cs="Calibri" w:eastAsia="Calibri" w:hAnsi="Calibri"/>
          <w:sz w:val="22"/>
          <w:szCs w:val="22"/>
        </w:rPr>
        <w:t xml:space="preserve"> It drafted outcomes, items, distractors and descriptors, and computed the indices by running code. It saved real time, but its proposals were a beginning, not an end.</w:t>
      </w:r>
    </w:p>
    <w:p>
      <w:pPr>
        <w:pStyle w:val="ListParagraph"/>
        <w:numPr>
          <w:ilvl w:val="0"/>
          <w:numId w:val="3"/>
        </w:numPr>
        <w:bidi w:val="false"/>
        <w:spacing w:after="80" w:line="300"/>
        <w:jc w:val="left"/>
      </w:pPr>
      <w:r>
        <w:rPr>
          <w:rFonts w:ascii="Calibri" w:cs="Calibri" w:eastAsia="Calibri" w:hAnsi="Calibri"/>
          <w:b/>
          <w:bCs/>
          <w:sz w:val="22"/>
          <w:szCs w:val="22"/>
        </w:rPr>
        <w:t xml:space="preserve">The student judges and documents:</w:t>
      </w:r>
      <w:r>
        <w:rPr>
          <w:rFonts w:ascii="Calibri" w:cs="Calibri" w:eastAsia="Calibri" w:hAnsi="Calibri"/>
          <w:sz w:val="22"/>
          <w:szCs w:val="22"/>
        </w:rPr>
        <w:t xml:space="preserve"> In every workshop there was a verification table and a decision table. The purpose was not to prove that Claude makes mistakes, but to prove that the decision is yours and that you know why you made it. The documented record is what turns use from dependence into collaboration.</w:t>
      </w:r>
    </w:p>
    <w:p>
      <w:pPr>
        <w:pStyle w:val="ListParagraph"/>
        <w:numPr>
          <w:ilvl w:val="0"/>
          <w:numId w:val="3"/>
        </w:numPr>
        <w:bidi w:val="false"/>
        <w:spacing w:after="80" w:line="300"/>
        <w:jc w:val="left"/>
      </w:pPr>
      <w:r>
        <w:rPr>
          <w:rFonts w:ascii="Calibri" w:cs="Calibri" w:eastAsia="Calibri" w:hAnsi="Calibri"/>
          <w:b/>
          <w:bCs/>
          <w:sz w:val="22"/>
          <w:szCs w:val="22"/>
        </w:rPr>
        <w:t xml:space="preserve">The data decide:</w:t>
      </w:r>
      <w:r>
        <w:rPr>
          <w:rFonts w:ascii="Calibri" w:cs="Calibri" w:eastAsia="Calibri" w:hAnsi="Calibri"/>
          <w:sz w:val="22"/>
          <w:szCs w:val="22"/>
        </w:rPr>
        <w:t xml:space="preserve"> When you disagreed with Claude, or with your colleague, the disagreement was not settled by whoever was more confident, but by the evidence: the student's answer and the text of the descriptor in calibration, the distractor analysis for the item whose key was in doubt, and the pre-test and post-test scores in action research.</w:t>
      </w:r>
    </w:p>
    <w:p>
      <w:pPr>
        <w:bidi w:val="false"/>
        <w:spacing w:after="120" w:line="300"/>
        <w:jc w:val="left"/>
      </w:pPr>
      <w:r>
        <w:rPr>
          <w:rFonts w:ascii="Calibri" w:cs="Calibri" w:eastAsia="Calibri" w:hAnsi="Calibri"/>
          <w:b/>
          <w:bCs/>
          <w:sz w:val="22"/>
          <w:szCs w:val="22"/>
        </w:rPr>
        <w:t xml:space="preserve">What does this mean outside the course?</w:t>
      </w:r>
      <w:r>
        <w:rPr>
          <w:rFonts w:ascii="Calibri" w:cs="Calibri" w:eastAsia="Calibri" w:hAnsi="Calibri"/>
          <w:sz w:val="22"/>
          <w:szCs w:val="22"/>
        </w:rPr>
        <w:t xml:space="preserve"> The principle is not specific to Claude alone. It applies to any source that proposes a decision to you: a textbook, a ready-made question bank, a results report, or an expert colleague. The question is always: what is the evidence? And who bears the decision?</w:t>
      </w:r>
    </w:p>
    <w:p>
      <w:pPr>
        <w:pStyle w:val="Heading1"/>
        <w:bidi w:val="false"/>
        <w:spacing w:after="160" w:before="360"/>
        <w:jc w:val="left"/>
      </w:pPr>
      <w:r>
        <w:rPr>
          <w:rFonts w:ascii="Calibri" w:cs="Calibri" w:eastAsia="Calibri" w:hAnsi="Calibri"/>
          <w:b/>
          <w:bCs/>
          <w:color w:val="1F4E79"/>
          <w:sz w:val="30"/>
          <w:szCs w:val="30"/>
        </w:rPr>
        <w:t xml:space="preserve">3. The identity of the assessing teacher with AI tools</w:t>
      </w:r>
    </w:p>
    <w:p>
      <w:pPr>
        <w:pStyle w:val="Heading2"/>
        <w:bidi w:val="false"/>
        <w:spacing w:after="120" w:before="240"/>
        <w:jc w:val="left"/>
      </w:pPr>
      <w:r>
        <w:rPr>
          <w:rFonts w:ascii="Calibri" w:cs="Calibri" w:eastAsia="Calibri" w:hAnsi="Calibri"/>
          <w:b/>
          <w:bCs/>
          <w:color w:val="2E75B6"/>
          <w:sz w:val="25"/>
          <w:szCs w:val="25"/>
        </w:rPr>
        <w:t xml:space="preserve">3.1 What has changed?</w:t>
      </w:r>
    </w:p>
    <w:p>
      <w:pPr>
        <w:bidi w:val="false"/>
        <w:spacing w:after="120" w:line="300"/>
        <w:jc w:val="left"/>
      </w:pPr>
      <w:r>
        <w:rPr>
          <w:rFonts w:ascii="Calibri" w:cs="Calibri" w:eastAsia="Calibri" w:hAnsi="Calibri"/>
          <w:sz w:val="22"/>
          <w:szCs w:val="22"/>
        </w:rPr>
        <w:t xml:space="preserve">Producing a test or marking an essay has become much faster. But what makes assessment professional has not changed: that you know what you are measuring, and why, what decision you will make, and who will be affected by it. Anthropic's report on instructors' use of Claude (August 2025) shows the gap clearly: 48.9% of grading conversations were heavily automation-oriented, even though the instructors themselves rated grading as the task AI performs least effectively. The data are from university education and from a single tool, so we do not generalise them, but they are enough to alert us to the temptation of delegation.</w:t>
      </w:r>
    </w:p>
    <w:p>
      <w:pPr>
        <w:pStyle w:val="Heading2"/>
        <w:bidi w:val="false"/>
        <w:spacing w:after="120" w:before="240"/>
        <w:jc w:val="left"/>
      </w:pPr>
      <w:r>
        <w:rPr>
          <w:rFonts w:ascii="Calibri" w:cs="Calibri" w:eastAsia="Calibri" w:hAnsi="Calibri"/>
          <w:b/>
          <w:bCs/>
          <w:color w:val="2E75B6"/>
          <w:sz w:val="25"/>
          <w:szCs w:val="25"/>
        </w:rPr>
        <w:t xml:space="preserve">3.2 Four roles that are not delegated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8"/>
        <w:gridCol w:w="4174"/>
        <w:gridCol w:w="4176"/>
      </w:tblGrid>
      <w:tr>
        <w:trPr>
          <w:cantSplit/>
          <w:tblHeader/>
        </w:trPr>
        <w:tc>
          <w:tcPr>
            <w:tcW w:type="dxa" w:w="12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role</w:t>
            </w:r>
          </w:p>
        </w:tc>
        <w:tc>
          <w:tcPr>
            <w:tcW w:type="dxa" w:w="41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means</w:t>
            </w:r>
          </w:p>
        </w:tc>
        <w:tc>
          <w:tcPr>
            <w:tcW w:type="dxa" w:w="41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An example from the course</w:t>
            </w:r>
          </w:p>
        </w:tc>
      </w:tr>
      <w:tr>
        <w:trPr>
          <w:cantSplit/>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designer</w:t>
            </w:r>
          </w:p>
        </w:tc>
        <w:tc>
          <w:tcPr>
            <w:tcW w:type="dxa" w:w="4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Decides what to measure and why before writing any item</w:t>
            </w:r>
          </w:p>
        </w:tc>
        <w:tc>
          <w:tcPr>
            <w:tcW w:type="dxa" w:w="4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test blueprint and its weights justified by the curriculum</w:t>
            </w:r>
          </w:p>
        </w:tc>
      </w:tr>
      <w:tr>
        <w:trPr>
          <w:cantSplit/>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judge</w:t>
            </w:r>
          </w:p>
        </w:tc>
        <w:tc>
          <w:tcPr>
            <w:tcW w:type="dxa" w:w="4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Gives the score and bears responsibility for it</w:t>
            </w:r>
          </w:p>
        </w:tc>
        <w:tc>
          <w:tcPr>
            <w:tcW w:type="dxa" w:w="4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Calibrating the rubric before relying on any marker, whether human or automated</w:t>
            </w:r>
          </w:p>
        </w:tc>
      </w:tr>
      <w:tr>
        <w:trPr>
          <w:cantSplit/>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interpreter</w:t>
            </w:r>
          </w:p>
        </w:tc>
        <w:tc>
          <w:tcPr>
            <w:tcW w:type="dxa" w:w="4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Reads the numbers in their context and knows their limits</w:t>
            </w:r>
          </w:p>
        </w:tc>
        <w:tc>
          <w:tcPr>
            <w:tcW w:type="dxa" w:w="4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decision on a very easy item depends on the importance of the objective, not on the number alone</w:t>
            </w:r>
          </w:p>
        </w:tc>
      </w:tr>
      <w:tr>
        <w:trPr>
          <w:cantSplit/>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ethical guardian</w:t>
            </w:r>
          </w:p>
        </w:tc>
        <w:tc>
          <w:tcPr>
            <w:tcW w:type="dxa" w:w="4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Protects their students' data and ensures the fairness of the instrument for every group</w:t>
            </w:r>
          </w:p>
        </w:tc>
        <w:tc>
          <w:tcPr>
            <w:tcW w:type="dxa" w:w="4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Replacing names with codes, and checking subgroups</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3.3 The UAE context</w:t>
      </w:r>
    </w:p>
    <w:p>
      <w:pPr>
        <w:bidi w:val="false"/>
        <w:spacing w:after="120" w:line="300"/>
        <w:jc w:val="left"/>
      </w:pPr>
      <w:r>
        <w:rPr>
          <w:rFonts w:ascii="Calibri" w:cs="Calibri" w:eastAsia="Calibri" w:hAnsi="Calibri"/>
          <w:sz w:val="22"/>
          <w:szCs w:val="22"/>
        </w:rPr>
        <w:t xml:space="preserve">The Ministry of Education (May 2025) announced the introduction of an AI curriculum in public schools from kindergarten to Grade 12 starting from 2025 – 2026. Today's teacher will assess students who use these tools, and will be asked to design tasks whose scores remain valid. Their professional identity is no longer only "the one who writes the test", but "the one who ensures that the score means what is said about it".</w:t>
      </w:r>
    </w:p>
    <w:p>
      <w:pPr>
        <w:pStyle w:val="Heading1"/>
        <w:bidi w:val="false"/>
        <w:spacing w:after="160" w:before="360"/>
        <w:jc w:val="left"/>
      </w:pPr>
      <w:r>
        <w:rPr>
          <w:rFonts w:ascii="Calibri" w:cs="Calibri" w:eastAsia="Calibri" w:hAnsi="Calibri"/>
          <w:b/>
          <w:bCs/>
          <w:color w:val="1F4E79"/>
          <w:sz w:val="30"/>
          <w:szCs w:val="30"/>
        </w:rPr>
        <w:t xml:space="preserve">4. Reflective practice</w:t>
      </w:r>
    </w:p>
    <w:p>
      <w:pPr>
        <w:pStyle w:val="Heading2"/>
        <w:bidi w:val="false"/>
        <w:spacing w:after="120" w:before="240"/>
        <w:jc w:val="left"/>
      </w:pPr>
      <w:r>
        <w:rPr>
          <w:rFonts w:ascii="Calibri" w:cs="Calibri" w:eastAsia="Calibri" w:hAnsi="Calibri"/>
          <w:b/>
          <w:bCs/>
          <w:color w:val="2E75B6"/>
          <w:sz w:val="25"/>
          <w:szCs w:val="25"/>
        </w:rPr>
        <w:t xml:space="preserve">4.1 Schön's idea</w:t>
      </w:r>
    </w:p>
    <w:p>
      <w:pPr>
        <w:bidi w:val="false"/>
        <w:spacing w:after="120" w:line="300"/>
        <w:jc w:val="left"/>
      </w:pPr>
      <w:r>
        <w:rPr>
          <w:rFonts w:ascii="Calibri" w:cs="Calibri" w:eastAsia="Calibri" w:hAnsi="Calibri"/>
          <w:sz w:val="22"/>
          <w:szCs w:val="22"/>
        </w:rPr>
        <w:t xml:space="preserve">Schön (1983) holds that the competent professional does not apply rules mechanically, because real work situations are ambiguous and unique and do not match the books. What distinguishes them is their ability to think about their work. Schön distinguishes between two types:</w:t>
      </w:r>
    </w:p>
    <w:p>
      <w:pPr>
        <w:pStyle w:val="ListParagraph"/>
        <w:numPr>
          <w:ilvl w:val="0"/>
          <w:numId w:val="3"/>
        </w:numPr>
        <w:bidi w:val="false"/>
        <w:spacing w:after="80" w:line="300"/>
        <w:jc w:val="left"/>
      </w:pPr>
      <w:r>
        <w:rPr>
          <w:rFonts w:ascii="Calibri" w:cs="Calibri" w:eastAsia="Calibri" w:hAnsi="Calibri"/>
          <w:b/>
          <w:bCs/>
          <w:sz w:val="22"/>
          <w:szCs w:val="22"/>
        </w:rPr>
        <w:t xml:space="preserve">Reflection-in-action:</w:t>
      </w:r>
      <w:r>
        <w:rPr>
          <w:rFonts w:ascii="Calibri" w:cs="Calibri" w:eastAsia="Calibri" w:hAnsi="Calibri"/>
          <w:sz w:val="22"/>
          <w:szCs w:val="22"/>
        </w:rPr>
        <w:t xml:space="preserve"> You think while you work, and adjust your plan in the moment. A teacher notices that no one understood the question he asked, so he rewords it immediately.</w:t>
      </w:r>
    </w:p>
    <w:p>
      <w:pPr>
        <w:pStyle w:val="ListParagraph"/>
        <w:numPr>
          <w:ilvl w:val="0"/>
          <w:numId w:val="3"/>
        </w:numPr>
        <w:bidi w:val="false"/>
        <w:spacing w:after="80" w:line="300"/>
        <w:jc w:val="left"/>
      </w:pPr>
      <w:r>
        <w:rPr>
          <w:rFonts w:ascii="Calibri" w:cs="Calibri" w:eastAsia="Calibri" w:hAnsi="Calibri"/>
          <w:b/>
          <w:bCs/>
          <w:sz w:val="22"/>
          <w:szCs w:val="22"/>
        </w:rPr>
        <w:t xml:space="preserve">Reflection-on-action after it has occurred:</w:t>
      </w:r>
      <w:r>
        <w:rPr>
          <w:rFonts w:ascii="Calibri" w:cs="Calibri" w:eastAsia="Calibri" w:hAnsi="Calibri"/>
          <w:sz w:val="22"/>
          <w:szCs w:val="22"/>
        </w:rPr>
        <w:t xml:space="preserve"> You return to what happened, and ask why it happened, and what changed in your understanding. This is what the reflective essay asks of you.</w:t>
      </w:r>
    </w:p>
    <w:p>
      <w:pPr>
        <w:bidi w:val="false"/>
        <w:spacing w:after="120" w:line="300"/>
        <w:jc w:val="left"/>
      </w:pPr>
      <w:r>
        <w:rPr>
          <w:rFonts w:ascii="Calibri" w:cs="Calibri" w:eastAsia="Calibri" w:hAnsi="Calibri"/>
          <w:sz w:val="22"/>
          <w:szCs w:val="22"/>
        </w:rPr>
        <w:t xml:space="preserve">And Schön describes an important part of reflection as </w:t>
      </w:r>
      <w:r>
        <w:rPr>
          <w:rFonts w:ascii="Calibri" w:cs="Calibri" w:eastAsia="Calibri" w:hAnsi="Calibri"/>
          <w:b/>
          <w:bCs/>
          <w:sz w:val="22"/>
          <w:szCs w:val="22"/>
        </w:rPr>
        <w:t xml:space="preserve">problem reframing</w:t>
      </w:r>
      <w:r>
        <w:rPr>
          <w:rFonts w:ascii="Calibri" w:cs="Calibri" w:eastAsia="Calibri" w:hAnsi="Calibri"/>
          <w:sz w:val="22"/>
          <w:szCs w:val="22"/>
        </w:rPr>
        <w:t xml:space="preserve">: seeing the situation in a different way. In Week 11, for example, item 7 with negative discrimination appeared to be "a bad item to be deleted", then the distractor analysis reframed it: "a wrong key to be corrected".</w:t>
      </w:r>
    </w:p>
    <w:p>
      <w:pPr>
        <w:pStyle w:val="Heading2"/>
        <w:bidi w:val="false"/>
        <w:spacing w:after="120" w:before="240"/>
        <w:jc w:val="left"/>
      </w:pPr>
      <w:r>
        <w:rPr>
          <w:rFonts w:ascii="Calibri" w:cs="Calibri" w:eastAsia="Calibri" w:hAnsi="Calibri"/>
          <w:b/>
          <w:bCs/>
          <w:color w:val="2E75B6"/>
          <w:sz w:val="25"/>
          <w:szCs w:val="25"/>
        </w:rPr>
        <w:t xml:space="preserve">4.2 Descriptive reflection and critical reflection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8"/>
        <w:gridCol w:w="4174"/>
        <w:gridCol w:w="4176"/>
      </w:tblGrid>
      <w:tr>
        <w:trPr>
          <w:cantSplit/>
          <w:tblHeader/>
        </w:trPr>
        <w:tc>
          <w:tcPr>
            <w:tcW w:type="dxa" w:w="12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Type</w:t>
            </w:r>
          </w:p>
        </w:tc>
        <w:tc>
          <w:tcPr>
            <w:tcW w:type="dxa" w:w="41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looks like</w:t>
            </w:r>
          </w:p>
        </w:tc>
        <w:tc>
          <w:tcPr>
            <w:tcW w:type="dxa" w:w="41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w:t>
            </w:r>
          </w:p>
        </w:tc>
      </w:tr>
      <w:tr>
        <w:trPr>
          <w:cantSplit/>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Descriptive</w:t>
            </w:r>
          </w:p>
        </w:tc>
        <w:tc>
          <w:tcPr>
            <w:tcW w:type="dxa" w:w="4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Recounts what happened</w:t>
            </w:r>
          </w:p>
        </w:tc>
        <w:tc>
          <w:tcPr>
            <w:tcW w:type="dxa" w:w="4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 analysed the items of my test and used Claude"</w:t>
            </w:r>
          </w:p>
        </w:tc>
      </w:tr>
      <w:tr>
        <w:trPr>
          <w:cantSplit/>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Analytical</w:t>
            </w:r>
          </w:p>
        </w:tc>
        <w:tc>
          <w:tcPr>
            <w:tcW w:type="dxa" w:w="4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Explains why it happened, and draws on evidence</w:t>
            </w:r>
          </w:p>
        </w:tc>
        <w:tc>
          <w:tcPr>
            <w:tcW w:type="dxa" w:w="4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discrimination of item 7 in the Week 11 data was negative, and the distractor analysis showed that high achievers chose a single option, so I reviewed the key"</w:t>
            </w:r>
          </w:p>
        </w:tc>
      </w:tr>
      <w:tr>
        <w:trPr>
          <w:cantSplit/>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Critical</w:t>
            </w:r>
          </w:p>
        </w:tc>
        <w:tc>
          <w:tcPr>
            <w:tcW w:type="dxa" w:w="41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Links the event to a change in understanding or practice, and questions assumptions</w:t>
            </w:r>
          </w:p>
        </w:tc>
        <w:tc>
          <w:tcPr>
            <w:tcW w:type="dxa" w:w="4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 used to assume that a statistically weak item is badly worded. I now start with the key, and ask about the importance of the objective before any deletion"</w:t>
            </w:r>
          </w:p>
        </w:tc>
      </w:tr>
    </w:tbl>
    <w:p>
      <w:pPr>
        <w:spacing w:after="120"/>
      </w:pPr>
    </w:p>
    <w:p>
      <w:pPr>
        <w:bidi w:val="false"/>
        <w:spacing w:after="120" w:line="300"/>
        <w:jc w:val="left"/>
      </w:pPr>
      <w:r>
        <w:rPr>
          <w:rFonts w:ascii="Calibri" w:cs="Calibri" w:eastAsia="Calibri" w:hAnsi="Calibri"/>
          <w:sz w:val="22"/>
          <w:szCs w:val="22"/>
        </w:rPr>
        <w:t xml:space="preserve">A good reflective essay is not content with description. Every paragraph in it answers three questions: What happened? What is the evidence? What changed in my practice?</w:t>
      </w:r>
    </w:p>
    <w:p>
      <w:pPr>
        <w:pStyle w:val="Heading2"/>
        <w:bidi w:val="false"/>
        <w:spacing w:after="120" w:before="240"/>
        <w:jc w:val="left"/>
      </w:pPr>
      <w:r>
        <w:rPr>
          <w:rFonts w:ascii="Calibri" w:cs="Calibri" w:eastAsia="Calibri" w:hAnsi="Calibri"/>
          <w:b/>
          <w:bCs/>
          <w:color w:val="2E75B6"/>
          <w:sz w:val="25"/>
          <w:szCs w:val="25"/>
        </w:rPr>
        <w:t xml:space="preserve">4.3 Where is the evidence?</w:t>
      </w:r>
    </w:p>
    <w:p>
      <w:pPr>
        <w:bidi w:val="false"/>
        <w:spacing w:after="120" w:line="300"/>
        <w:jc w:val="left"/>
      </w:pPr>
      <w:r>
        <w:rPr>
          <w:rFonts w:ascii="Calibri" w:cs="Calibri" w:eastAsia="Calibri" w:hAnsi="Calibri"/>
          <w:sz w:val="22"/>
          <w:szCs w:val="22"/>
        </w:rPr>
        <w:t xml:space="preserve">The portfolio is the source of evidence. A reflection that does not refer to a specific product from the portfolio, or to a number from your data, or to a decision documented in your log, remains an impression. Write: "In the decision table (Week 11)..." not "I learned a lot about item analysis".</w:t>
      </w:r>
    </w:p>
    <w:p>
      <w:pPr>
        <w:pStyle w:val="Heading1"/>
        <w:bidi w:val="false"/>
        <w:spacing w:after="160" w:before="360"/>
        <w:jc w:val="left"/>
      </w:pPr>
      <w:r>
        <w:rPr>
          <w:rFonts w:ascii="Calibri" w:cs="Calibri" w:eastAsia="Calibri" w:hAnsi="Calibri"/>
          <w:b/>
          <w:bCs/>
          <w:color w:val="1F4E79"/>
          <w:sz w:val="30"/>
          <w:szCs w:val="30"/>
        </w:rPr>
        <w:t xml:space="preserve">5. Self-assessment: the UNESCO framework as a mirror</w:t>
      </w:r>
    </w:p>
    <w:p>
      <w:pPr>
        <w:bidi w:val="false"/>
        <w:spacing w:after="120" w:line="300"/>
        <w:jc w:val="left"/>
      </w:pPr>
      <w:r>
        <w:rPr>
          <w:rFonts w:ascii="Calibri" w:cs="Calibri" w:eastAsia="Calibri" w:hAnsi="Calibri"/>
          <w:sz w:val="22"/>
          <w:szCs w:val="22"/>
        </w:rPr>
        <w:t xml:space="preserve">UNESCO issued an AI competency framework for teachers (Miao &amp; Cukurova, 2024) comprising 15 competencies in five dimensions, and three levels: acquire, then deepen, then create. We said in Week 1 that we aim to move from acquire to deepen. Now we use the five dimensions as a mirror in which we see our assessment practice: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7"/>
        <w:gridCol w:w="3945"/>
        <w:gridCol w:w="3946"/>
      </w:tblGrid>
      <w:tr>
        <w:trPr>
          <w:cantSplit/>
          <w:tblHeader/>
        </w:trPr>
        <w:tc>
          <w:tcPr>
            <w:tcW w:type="dxa" w:w="17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Dimension</w:t>
            </w:r>
          </w:p>
        </w:tc>
        <w:tc>
          <w:tcPr>
            <w:tcW w:type="dxa" w:w="39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mirror question in assessment</w:t>
            </w:r>
          </w:p>
        </w:tc>
        <w:tc>
          <w:tcPr>
            <w:tcW w:type="dxa" w:w="39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Possible evidence from the portfolio</w:t>
            </w:r>
          </w:p>
        </w:tc>
      </w:tr>
      <w:tr>
        <w:trPr>
          <w:cantSplit/>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Human-centred mindset</w:t>
            </w:r>
          </w:p>
        </w:tc>
        <w:tc>
          <w:tcPr>
            <w:tcW w:type="dxa" w:w="3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Did the assessment decision remain mine, and did I put the student's interest before the speed of completion?</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decision table, and the decision on the student close to the cut score</w:t>
            </w:r>
          </w:p>
        </w:tc>
      </w:tr>
      <w:tr>
        <w:trPr>
          <w:cantSplit/>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Ethics of AI</w:t>
            </w:r>
          </w:p>
        </w:tc>
        <w:tc>
          <w:tcPr>
            <w:tcW w:type="dxa" w:w="3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Did I disclose, protect the data, and check fairness?</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pledge, the use log, and the fairness report</w:t>
            </w:r>
          </w:p>
        </w:tc>
      </w:tr>
      <w:tr>
        <w:trPr>
          <w:cantSplit/>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foundations and applications</w:t>
            </w:r>
          </w:p>
        </w:tc>
        <w:tc>
          <w:tcPr>
            <w:tcW w:type="dxa" w:w="3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I understand why Claude sometimes gets numbers and references wrong?</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verification logs and the matching of values</w:t>
            </w:r>
          </w:p>
        </w:tc>
      </w:tr>
      <w:tr>
        <w:trPr>
          <w:cantSplit/>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pedagogy</w:t>
            </w:r>
          </w:p>
        </w:tc>
        <w:tc>
          <w:tcPr>
            <w:tcW w:type="dxa" w:w="3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Did I design tasks that remain valid when my students use the tool?</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task classification table, and the performance task</w:t>
            </w:r>
          </w:p>
        </w:tc>
      </w:tr>
      <w:tr>
        <w:trPr>
          <w:cantSplit/>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for professional learning</w:t>
            </w:r>
          </w:p>
        </w:tc>
        <w:tc>
          <w:tcPr>
            <w:tcW w:type="dxa" w:w="3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Did I use it to develop myself, not only to shorten my work?</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reflective essay and the development plan</w:t>
            </w:r>
          </w:p>
        </w:tc>
      </w:tr>
    </w:tbl>
    <w:p>
      <w:pPr>
        <w:spacing w:after="120"/>
      </w:pPr>
    </w:p>
    <w:p>
      <w:pPr>
        <w:bidi w:val="false"/>
        <w:spacing w:after="120" w:line="300"/>
        <w:jc w:val="left"/>
      </w:pPr>
      <w:r>
        <w:rPr>
          <w:rFonts w:ascii="Calibri" w:cs="Calibri" w:eastAsia="Calibri" w:hAnsi="Calibri"/>
          <w:b/>
          <w:bCs/>
          <w:sz w:val="22"/>
          <w:szCs w:val="22"/>
        </w:rPr>
        <w:t xml:space="preserve">A methodological note:</w:t>
      </w:r>
      <w:r>
        <w:rPr>
          <w:rFonts w:ascii="Calibri" w:cs="Calibri" w:eastAsia="Calibri" w:hAnsi="Calibri"/>
          <w:sz w:val="22"/>
          <w:szCs w:val="22"/>
        </w:rPr>
        <w:t xml:space="preserve"> The framework was developed to describe teachers' AI competencies in general, not as a standardised instrument for evaluating assessment practice. Using it as a mirror here is an educational choice of the course, not the application of a validated scale. We therefore do not compute a score from it, but use it to ask questions and look for evidence for each answer.</w:t>
      </w:r>
    </w:p>
    <w:p>
      <w:pPr>
        <w:bidi w:val="false"/>
        <w:spacing w:after="120" w:line="300"/>
        <w:jc w:val="left"/>
      </w:pPr>
      <w:r>
        <w:rPr>
          <w:rFonts w:ascii="Calibri" w:cs="Calibri" w:eastAsia="Calibri" w:hAnsi="Calibri"/>
          <w:b/>
          <w:bCs/>
          <w:sz w:val="22"/>
          <w:szCs w:val="22"/>
        </w:rPr>
        <w:t xml:space="preserve">Self-assessment is itself assessment.</w:t>
      </w:r>
      <w:r>
        <w:rPr>
          <w:rFonts w:ascii="Calibri" w:cs="Calibri" w:eastAsia="Calibri" w:hAnsi="Calibri"/>
          <w:sz w:val="22"/>
          <w:szCs w:val="22"/>
        </w:rPr>
        <w:t xml:space="preserve"> What we have learned applies to it: it needs clear criteria, evidence, and awareness of bias. The tendency towards self-inflation or towards excessive modesty is a known source of error. The remedy is to link every judgement on yourself to evidence that others can see.</w:t>
      </w:r>
    </w:p>
    <w:p>
      <w:pPr>
        <w:pStyle w:val="Heading1"/>
        <w:bidi w:val="false"/>
        <w:spacing w:after="160" w:before="360"/>
        <w:jc w:val="left"/>
      </w:pPr>
      <w:r>
        <w:rPr>
          <w:rFonts w:ascii="Calibri" w:cs="Calibri" w:eastAsia="Calibri" w:hAnsi="Calibri"/>
          <w:b/>
          <w:bCs/>
          <w:color w:val="1F4E79"/>
          <w:sz w:val="30"/>
          <w:szCs w:val="30"/>
        </w:rPr>
        <w:t xml:space="preserve">6. The oral defense: why do we trust it? And what are its limitations?</w:t>
      </w:r>
    </w:p>
    <w:p>
      <w:pPr>
        <w:pStyle w:val="Heading2"/>
        <w:bidi w:val="false"/>
        <w:spacing w:after="120" w:before="240"/>
        <w:jc w:val="left"/>
      </w:pPr>
      <w:r>
        <w:rPr>
          <w:rFonts w:ascii="Calibri" w:cs="Calibri" w:eastAsia="Calibri" w:hAnsi="Calibri"/>
          <w:b/>
          <w:bCs/>
          <w:color w:val="2E75B6"/>
          <w:sz w:val="25"/>
          <w:szCs w:val="25"/>
        </w:rPr>
        <w:t xml:space="preserve">6.1 Evidence of ownership and understanding</w:t>
      </w:r>
    </w:p>
    <w:p>
      <w:pPr>
        <w:bidi w:val="false"/>
        <w:spacing w:after="120" w:line="300"/>
        <w:jc w:val="left"/>
      </w:pPr>
      <w:r>
        <w:rPr>
          <w:rFonts w:ascii="Calibri" w:cs="Calibri" w:eastAsia="Calibri" w:hAnsi="Calibri"/>
          <w:sz w:val="22"/>
          <w:szCs w:val="22"/>
        </w:rPr>
        <w:t xml:space="preserve">When any student can produce a polished report with the help of a tool, the question becomes: do they understand what they wrote? Did they make the decisions themselves? The oral defense answers directly, because it is a dialogue: the examiner asks, then follows up, then asks for an example or an explanation of a particular number. It is not enough here to have memorised the text; you must know why you wrote it.</w:t>
      </w:r>
    </w:p>
    <w:p>
      <w:pPr>
        <w:bidi w:val="false"/>
        <w:spacing w:after="120" w:line="300"/>
        <w:jc w:val="left"/>
      </w:pPr>
      <w:r>
        <w:rPr>
          <w:rFonts w:ascii="Calibri" w:cs="Calibri" w:eastAsia="Calibri" w:hAnsi="Calibri"/>
          <w:sz w:val="22"/>
          <w:szCs w:val="22"/>
        </w:rPr>
        <w:t xml:space="preserve">In the language of validity: our interpretation of the project score is "this student is able to build a test, analyse it and make justified decisions". The written project alone is not enough to support this interpretation when AI tools are available. The defense adds evidence from response processes: we hear how the student thinks.</w:t>
      </w:r>
    </w:p>
    <w:p>
      <w:pPr>
        <w:pStyle w:val="Heading2"/>
        <w:bidi w:val="false"/>
        <w:spacing w:after="120" w:before="240"/>
        <w:jc w:val="left"/>
      </w:pPr>
      <w:r>
        <w:rPr>
          <w:rFonts w:ascii="Calibri" w:cs="Calibri" w:eastAsia="Calibri" w:hAnsi="Calibri"/>
          <w:b/>
          <w:bCs/>
          <w:color w:val="2E75B6"/>
          <w:sz w:val="25"/>
          <w:szCs w:val="25"/>
        </w:rPr>
        <w:t xml:space="preserve">6.2 Dimensions of oral assessment</w:t>
      </w:r>
    </w:p>
    <w:p>
      <w:pPr>
        <w:bidi w:val="false"/>
        <w:spacing w:after="120" w:line="300"/>
        <w:jc w:val="left"/>
      </w:pPr>
      <w:r>
        <w:rPr>
          <w:rFonts w:ascii="Calibri" w:cs="Calibri" w:eastAsia="Calibri" w:hAnsi="Calibri"/>
          <w:sz w:val="22"/>
          <w:szCs w:val="22"/>
        </w:rPr>
        <w:t xml:space="preserve">Joughin (1998) identified dimensions with which any oral assessment can be described, including: the type of content measured (knowledge and understanding, problem-solving ability, communication competence, or personal qualities), the mode of interaction (from one-way presentation to full dialogue), authenticity (the closeness of the situation to real work situations), the degree of structure (from specific closed questions to open questions), who assesses (self, peers or the instructor), and the extent to which orality itself is central to the assessment. A description of our defense using these dimensions: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9"/>
        <w:gridCol w:w="7239"/>
      </w:tblGrid>
      <w:tr>
        <w:trPr>
          <w:cantSplit/>
          <w:tblHeader/>
        </w:trPr>
        <w:tc>
          <w:tcPr>
            <w:tcW w:type="dxa" w:w="23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Dimension</w:t>
            </w:r>
          </w:p>
        </w:tc>
        <w:tc>
          <w:tcPr>
            <w:tcW w:type="dxa" w:w="72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position of our defense on it</w:t>
            </w:r>
          </w:p>
        </w:tc>
      </w:tr>
      <w:tr>
        <w:trPr>
          <w:cantSplit/>
        </w:trPr>
        <w:tc>
          <w:tcPr>
            <w:tcW w:type="dxa" w:w="2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 measured</w:t>
            </w:r>
          </w:p>
        </w:tc>
        <w:tc>
          <w:tcPr>
            <w:tcW w:type="dxa" w:w="7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Understanding and its application: defending design and analysis decisions, not public-speaking skill</w:t>
            </w:r>
          </w:p>
        </w:tc>
      </w:tr>
      <w:tr>
        <w:trPr>
          <w:cantSplit/>
        </w:trPr>
        <w:tc>
          <w:tcPr>
            <w:tcW w:type="dxa" w:w="2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Interaction</w:t>
            </w:r>
          </w:p>
        </w:tc>
        <w:tc>
          <w:tcPr>
            <w:tcW w:type="dxa" w:w="7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short presentation (3 minutes) then dialogue</w:t>
            </w:r>
          </w:p>
        </w:tc>
      </w:tr>
      <w:tr>
        <w:trPr>
          <w:cantSplit/>
        </w:trPr>
        <w:tc>
          <w:tcPr>
            <w:tcW w:type="dxa" w:w="2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Authenticity</w:t>
            </w:r>
          </w:p>
        </w:tc>
        <w:tc>
          <w:tcPr>
            <w:tcW w:type="dxa" w:w="7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High: the material is the student's real test and their class data</w:t>
            </w:r>
          </w:p>
        </w:tc>
      </w:tr>
      <w:tr>
        <w:trPr>
          <w:cantSplit/>
        </w:trPr>
        <w:tc>
          <w:tcPr>
            <w:tcW w:type="dxa" w:w="2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Structure</w:t>
            </w:r>
          </w:p>
        </w:tc>
        <w:tc>
          <w:tcPr>
            <w:tcW w:type="dxa" w:w="7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Semi-structured: a published question bank, and free follow-up questions</w:t>
            </w:r>
          </w:p>
        </w:tc>
      </w:tr>
      <w:tr>
        <w:trPr>
          <w:cantSplit/>
        </w:trPr>
        <w:tc>
          <w:tcPr>
            <w:tcW w:type="dxa" w:w="2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Who assesses</w:t>
            </w:r>
          </w:p>
        </w:tc>
        <w:tc>
          <w:tcPr>
            <w:tcW w:type="dxa" w:w="7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instructor, and a second examiner where possible</w:t>
            </w:r>
          </w:p>
        </w:tc>
      </w:tr>
      <w:tr>
        <w:trPr>
          <w:cantSplit/>
        </w:trPr>
        <w:tc>
          <w:tcPr>
            <w:tcW w:type="dxa" w:w="2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Orality</w:t>
            </w:r>
          </w:p>
        </w:tc>
        <w:tc>
          <w:tcPr>
            <w:tcW w:type="dxa" w:w="7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Orality is a means, not an end: fluency is not assessed, but the substance of the explanation</w:t>
            </w:r>
          </w:p>
        </w:tc>
      </w:tr>
    </w:tbl>
    <w:p>
      <w:pPr>
        <w:spacing w:after="120"/>
      </w:pPr>
    </w:p>
    <w:p>
      <w:pPr>
        <w:bidi w:val="false"/>
        <w:spacing w:after="120" w:line="300"/>
        <w:jc w:val="left"/>
      </w:pPr>
      <w:r>
        <w:rPr>
          <w:rFonts w:ascii="Calibri" w:cs="Calibri" w:eastAsia="Calibri" w:hAnsi="Calibri"/>
          <w:sz w:val="22"/>
          <w:szCs w:val="22"/>
        </w:rPr>
        <w:t xml:space="preserve">The last dimension is important for fairness: we are not measuring the skill of speaking before a panel, but understanding. Any score affected by fluency alone adds variance unrelated to what we measure.</w:t>
      </w:r>
    </w:p>
    <w:p>
      <w:pPr>
        <w:pStyle w:val="Heading2"/>
        <w:bidi w:val="false"/>
        <w:spacing w:after="120" w:before="240"/>
        <w:jc w:val="left"/>
      </w:pPr>
      <w:r>
        <w:rPr>
          <w:rFonts w:ascii="Calibri" w:cs="Calibri" w:eastAsia="Calibri" w:hAnsi="Calibri"/>
          <w:b/>
          <w:bCs/>
          <w:color w:val="2E75B6"/>
          <w:sz w:val="25"/>
          <w:szCs w:val="25"/>
        </w:rPr>
        <w:t xml:space="preserve">6.3 Limitations and ways of mitigating them</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2"/>
        <w:gridCol w:w="3557"/>
        <w:gridCol w:w="4529"/>
      </w:tblGrid>
      <w:tr>
        <w:trPr>
          <w:cantSplit/>
          <w:tblHeader/>
        </w:trPr>
        <w:tc>
          <w:tcPr>
            <w:tcW w:type="dxa" w:w="15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Limitation</w:t>
            </w:r>
          </w:p>
        </w:tc>
        <w:tc>
          <w:tcPr>
            <w:tcW w:type="dxa" w:w="35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Why it threatens validity or fairness</w:t>
            </w:r>
          </w:p>
        </w:tc>
        <w:tc>
          <w:tcPr>
            <w:tcW w:type="dxa" w:w="45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Way of mitigating it</w:t>
            </w:r>
          </w:p>
        </w:tc>
      </w:tr>
      <w:tr>
        <w:trPr>
          <w:cantSplit/>
        </w:trPr>
        <w:tc>
          <w:tcPr>
            <w:tcW w:type="dxa" w:w="1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Anxiety</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anxious student may know but not show what they know</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protocol, the rubric and the question bank published in Week 13, a practice defense in pairs (7 minutes) in Week 14, and starting with a presentation the student knows</w:t>
            </w:r>
          </w:p>
        </w:tc>
      </w:tr>
      <w:tr>
        <w:trPr>
          <w:cantSplit/>
        </w:trPr>
        <w:tc>
          <w:tcPr>
            <w:tcW w:type="dxa" w:w="1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Language</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Verbal expression is not what we measure</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Accepting the answer in simple language, rewording the question on request, and not counting language errors</w:t>
            </w:r>
          </w:p>
        </w:tc>
      </w:tr>
      <w:tr>
        <w:trPr>
          <w:cantSplit/>
        </w:trPr>
        <w:tc>
          <w:tcPr>
            <w:tcW w:type="dxa" w:w="1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Reliability of scoring</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single examiner and a small number of questions</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rubric with criteria and descriptors, questions from specified categories, and a second examiner or an audio recording with permission where possible</w:t>
            </w:r>
          </w:p>
        </w:tc>
      </w:tr>
      <w:tr>
        <w:trPr>
          <w:cantSplit/>
        </w:trPr>
        <w:tc>
          <w:tcPr>
            <w:tcW w:type="dxa" w:w="1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Examiner bias</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first impression or prior knowledge of the student</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Scoring each criterion with its evidence, and recording notes during the defense, not after it</w:t>
            </w:r>
          </w:p>
        </w:tc>
      </w:tr>
      <w:tr>
        <w:trPr>
          <w:cantSplit/>
        </w:trPr>
        <w:tc>
          <w:tcPr>
            <w:tcW w:type="dxa" w:w="1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Narrow sampling</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Eight minutes do not cover the whole project</w:t>
            </w:r>
          </w:p>
        </w:tc>
        <w:tc>
          <w:tcPr>
            <w:tcW w:type="dxa" w:w="4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Combining it with the written project and the practical exam: judgement from more than one source</w:t>
            </w: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7. The two tracks: why the practical exam and the defense without AI?</w:t>
      </w:r>
    </w:p>
    <w:p>
      <w:pPr>
        <w:bidi w:val="false"/>
        <w:spacing w:after="120" w:line="300"/>
        <w:jc w:val="left"/>
      </w:pPr>
      <w:r>
        <w:rPr>
          <w:rFonts w:ascii="Calibri" w:cs="Calibri" w:eastAsia="Calibri" w:hAnsi="Calibri"/>
          <w:sz w:val="22"/>
          <w:szCs w:val="22"/>
        </w:rPr>
        <w:t xml:space="preserve">The University of Sydney approach with which we began the course divides assessment into a </w:t>
      </w:r>
      <w:r>
        <w:rPr>
          <w:rFonts w:ascii="Calibri" w:cs="Calibri" w:eastAsia="Calibri" w:hAnsi="Calibri"/>
          <w:b/>
          <w:bCs/>
          <w:sz w:val="22"/>
          <w:szCs w:val="22"/>
        </w:rPr>
        <w:t xml:space="preserve">secure track</w:t>
      </w:r>
      <w:r>
        <w:rPr>
          <w:rFonts w:ascii="Calibri" w:cs="Calibri" w:eastAsia="Calibri" w:hAnsi="Calibri"/>
          <w:sz w:val="22"/>
          <w:szCs w:val="22"/>
        </w:rPr>
        <w:t xml:space="preserve"> that measures the student's individual ability under supervised conditions without AI, and an </w:t>
      </w:r>
      <w:r>
        <w:rPr>
          <w:rFonts w:ascii="Calibri" w:cs="Calibri" w:eastAsia="Calibri" w:hAnsi="Calibri"/>
          <w:b/>
          <w:bCs/>
          <w:sz w:val="22"/>
          <w:szCs w:val="22"/>
        </w:rPr>
        <w:t xml:space="preserve">open track</w:t>
      </w:r>
      <w:r>
        <w:rPr>
          <w:rFonts w:ascii="Calibri" w:cs="Calibri" w:eastAsia="Calibri" w:hAnsi="Calibri"/>
          <w:sz w:val="22"/>
          <w:szCs w:val="22"/>
        </w:rPr>
        <w:t xml:space="preserve"> in which the tool is allowed with documentation, and in which the student's skill in using it and judging it is measured.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1"/>
        <w:gridCol w:w="4243"/>
        <w:gridCol w:w="4244"/>
      </w:tblGrid>
      <w:tr>
        <w:trPr>
          <w:cantSplit/>
          <w:tblHeader/>
        </w:trPr>
        <w:tc>
          <w:tcPr>
            <w:tcW w:type="dxa" w:w="11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Track</w:t>
            </w:r>
          </w:p>
        </w:tc>
        <w:tc>
          <w:tcPr>
            <w:tcW w:type="dxa" w:w="42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 our course</w:t>
            </w:r>
          </w:p>
        </w:tc>
        <w:tc>
          <w:tcPr>
            <w:tcW w:type="dxa" w:w="42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measures</w:t>
            </w:r>
          </w:p>
        </w:tc>
      </w:tr>
      <w:tr>
        <w:trPr>
          <w:cantSplit/>
        </w:trPr>
        <w:tc>
          <w:tcPr>
            <w:tcW w:type="dxa" w:w="1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Secure (level 0)</w:t>
            </w:r>
          </w:p>
        </w:tc>
        <w:tc>
          <w:tcPr>
            <w:tcW w:type="dxa" w:w="4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midterm exam, the exit tickets, the practical exam, and the oral defense</w:t>
            </w:r>
          </w:p>
        </w:tc>
        <w:tc>
          <w:tcPr>
            <w:tcW w:type="dxa" w:w="4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Your individual understanding: do you compute, interpret and decide on your own?</w:t>
            </w:r>
          </w:p>
        </w:tc>
      </w:tr>
      <w:tr>
        <w:trPr>
          <w:cantSplit/>
        </w:trPr>
        <w:tc>
          <w:tcPr>
            <w:tcW w:type="dxa" w:w="1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Open (levels 1 – 3)</w:t>
            </w:r>
          </w:p>
        </w:tc>
        <w:tc>
          <w:tcPr>
            <w:tcW w:type="dxa" w:w="4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workshops, the integrated test project, the action research, and the portfolio</w:t>
            </w:r>
          </w:p>
        </w:tc>
        <w:tc>
          <w:tcPr>
            <w:tcW w:type="dxa" w:w="4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Your skill in using the tool, your verification of it, and your documentation</w:t>
            </w:r>
          </w:p>
        </w:tc>
      </w:tr>
    </w:tbl>
    <w:p>
      <w:pPr>
        <w:spacing w:after="120"/>
      </w:pPr>
    </w:p>
    <w:p>
      <w:pPr>
        <w:bidi w:val="false"/>
        <w:spacing w:after="120" w:line="300"/>
        <w:jc w:val="left"/>
      </w:pPr>
      <w:r>
        <w:rPr>
          <w:rFonts w:ascii="Calibri" w:cs="Calibri" w:eastAsia="Calibri" w:hAnsi="Calibri"/>
          <w:sz w:val="22"/>
          <w:szCs w:val="22"/>
        </w:rPr>
        <w:t xml:space="preserve">The two tracks are complementary, not competing. The open track alone does not tell us who understood, and the secure track alone does not tell us who works well with the tool as they will work in their school. And the United Arab Emirates University (2025) policy goes in the same direction: it prohibits generative AI in exams whose questions are not seen in advance, requires disclosure, and treats undeclared use as plagiarism.</w:t>
      </w:r>
    </w:p>
    <w:p>
      <w:pPr>
        <w:bidi w:val="false"/>
        <w:spacing w:after="120" w:line="300"/>
        <w:jc w:val="left"/>
      </w:pPr>
      <w:r>
        <w:rPr>
          <w:rFonts w:ascii="Calibri" w:cs="Calibri" w:eastAsia="Calibri" w:hAnsi="Calibri"/>
          <w:b/>
          <w:bCs/>
          <w:sz w:val="22"/>
          <w:szCs w:val="22"/>
        </w:rPr>
        <w:t xml:space="preserve">The lesson for your class:</w:t>
      </w:r>
      <w:r>
        <w:rPr>
          <w:rFonts w:ascii="Calibri" w:cs="Calibri" w:eastAsia="Calibri" w:hAnsi="Calibri"/>
          <w:sz w:val="22"/>
          <w:szCs w:val="22"/>
        </w:rPr>
        <w:t xml:space="preserve"> Ask about every assessment task in your school: which track is it in? If it is in the open track, does it measure what you want? And if it is in the secure track, is the output worth the cost of supervision?</w:t>
      </w:r>
    </w:p>
    <w:p>
      <w:pPr>
        <w:pStyle w:val="Heading1"/>
        <w:bidi w:val="false"/>
        <w:spacing w:after="160" w:before="360"/>
        <w:jc w:val="left"/>
      </w:pPr>
      <w:r>
        <w:rPr>
          <w:rFonts w:ascii="Calibri" w:cs="Calibri" w:eastAsia="Calibri" w:hAnsi="Calibri"/>
          <w:b/>
          <w:bCs/>
          <w:color w:val="1F4E79"/>
          <w:sz w:val="30"/>
          <w:szCs w:val="30"/>
        </w:rPr>
        <w:t xml:space="preserve">8. Questions for review and discussion</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Choose one decision from your project, and show which of the three principles (validity, reliability, fairness) was most present in it.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Write a descriptive reflection sentence about a week of the course, then turn it into a critical reflection sentence built on evidence.</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In which dimensions of the UNESCO framework do you see yourself at the acquire level, and in which have you moved to deepen? What is your evidence?</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A student in your class produced a polished report that you doubt they wrote themselves. Design a five-minute oral defense with which you verify their understanding without accusing them.</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A colleague says: "The oral defense is unfair to the anxious student, so let us cancel it." Discuss their view by weighing validity against fairness.</w:t>
      </w:r>
    </w:p>
    <w:p>
      <w:pPr>
        <w:pStyle w:val="Heading1"/>
        <w:bidi w:val="false"/>
        <w:spacing w:after="160" w:before="360"/>
        <w:jc w:val="left"/>
      </w:pPr>
      <w:r>
        <w:rPr>
          <w:rFonts w:ascii="Calibri" w:cs="Calibri" w:eastAsia="Calibri" w:hAnsi="Calibri"/>
          <w:b/>
          <w:bCs/>
          <w:color w:val="1F4E79"/>
          <w:sz w:val="30"/>
          <w:szCs w:val="30"/>
        </w:rPr>
        <w:t xml:space="preserve">9.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Schön, D. A. (1983). The Reflective Practitioner: How Professionals Think in Action. Basic Books.</w:t>
      </w:r>
    </w:p>
    <w:p>
      <w:pPr>
        <w:bidi w:val="false"/>
        <w:spacing w:after="120" w:line="300"/>
        <w:jc w:val="left"/>
      </w:pPr>
      <w:r>
        <w:rPr>
          <w:rFonts w:ascii="Calibri" w:cs="Calibri" w:eastAsia="Calibri" w:hAnsi="Calibri"/>
          <w:sz w:val="22"/>
          <w:szCs w:val="22"/>
        </w:rPr>
        <w:t xml:space="preserve">The chapters on reflection-in-action and problem reframing.</w:t>
      </w:r>
    </w:p>
    <w:p>
      <w:pPr>
        <w:bidi w:val="false"/>
        <w:spacing w:after="120" w:line="300"/>
        <w:jc w:val="left"/>
      </w:pPr>
      <w:r>
        <w:rPr>
          <w:rFonts w:ascii="Calibri" w:cs="Calibri" w:eastAsia="Calibri" w:hAnsi="Calibri"/>
          <w:sz w:val="22"/>
          <w:szCs w:val="22"/>
        </w:rPr>
        <w:t xml:space="preserve">Joughin, G. (1998). Dimensions of oral assessment. Assessment &amp; Evaluation in Higher Education, 23(4), 367–378.</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Miao, F., &amp; Cukurova, M. (2024). AI Competency Framework for Teachers. UNESCO.</w:t>
      </w:r>
    </w:p>
    <w:p>
      <w:pPr>
        <w:bidi w:val="false"/>
        <w:spacing w:after="120" w:line="300"/>
        <w:jc w:val="left"/>
      </w:pPr>
      <w:r>
        <w:rPr>
          <w:rFonts w:ascii="Calibri" w:cs="Calibri" w:eastAsia="Calibri" w:hAnsi="Calibri"/>
          <w:sz w:val="22"/>
          <w:szCs w:val="22"/>
        </w:rPr>
        <w:t xml:space="preserve">AERA, APA, &amp; NCME (2014). Standards for Educational and Psychological Testing. AERA.</w:t>
      </w:r>
    </w:p>
    <w:p>
      <w:pPr>
        <w:bidi w:val="false"/>
        <w:spacing w:after="120" w:line="300"/>
        <w:jc w:val="left"/>
      </w:pPr>
      <w:r>
        <w:rPr>
          <w:rFonts w:ascii="Calibri" w:cs="Calibri" w:eastAsia="Calibri" w:hAnsi="Calibri"/>
          <w:sz w:val="22"/>
          <w:szCs w:val="22"/>
        </w:rPr>
        <w:t xml:space="preserve">Kane, M. T. (2013). Validating the interpretations and uses of test scores. Journal of Educational Measurement, 50(1), 1–73.</w:t>
      </w:r>
    </w:p>
    <w:p>
      <w:pPr>
        <w:bidi w:val="false"/>
        <w:spacing w:after="120" w:line="300"/>
        <w:jc w:val="left"/>
      </w:pPr>
      <w:r>
        <w:rPr>
          <w:rFonts w:ascii="Calibri" w:cs="Calibri" w:eastAsia="Calibri" w:hAnsi="Calibri"/>
          <w:sz w:val="22"/>
          <w:szCs w:val="22"/>
        </w:rPr>
        <w:t xml:space="preserve">Anthropic (2025, August). Anthropic Education Report: How educators use Claude.</w:t>
      </w:r>
    </w:p>
    <w:p>
      <w:pPr>
        <w:bidi w:val="false"/>
        <w:spacing w:after="120" w:line="300"/>
        <w:jc w:val="left"/>
      </w:pPr>
      <w:r>
        <w:rPr>
          <w:rFonts w:ascii="Calibri" w:cs="Calibri" w:eastAsia="Calibri" w:hAnsi="Calibri"/>
          <w:sz w:val="22"/>
          <w:szCs w:val="22"/>
        </w:rPr>
        <w:t xml:space="preserve">UAE University (2025). Generative AI Usage by Students Policy.</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89"/>
        <w:gridCol w:w="4449"/>
      </w:tblGrid>
      <w:tr>
        <w:trPr>
          <w:cantSplit/>
          <w:tblHeader/>
        </w:trPr>
        <w:tc>
          <w:tcPr>
            <w:tcW w:type="dxa" w:w="51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(as used in this course)</w:t>
            </w:r>
          </w:p>
        </w:tc>
        <w:tc>
          <w:tcPr>
            <w:tcW w:type="dxa" w:w="44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Equivalent in the literature</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Reflective practice</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Reflective practice</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Reflection-in-action</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Reflection-in-action</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Reflection-on-action after it has occurred</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Reflection-on-action</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Problem reframing</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Problem reframing</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Self-assessment</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Self-assessment</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Oral assessment</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Oral assessment</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Oral defense</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Oral defence (viva)</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Ownership of the work</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Authorship</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Portfolio</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Portfolio</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Secure track and open track</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Secure lane / open lane</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competency framework for teachers</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AI Competency Framework for Teachers</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Professional identity</w:t>
            </w:r>
          </w:p>
        </w:tc>
        <w:tc>
          <w:tcPr>
            <w:tcW w:type="dxa" w:w="44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Professional identity</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15: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15: Lecture Notes</dc:title>
  <dc:creator>Emad Adel Fraij</dc:creator>
  <cp:lastModifiedBy>Un-named</cp:lastModifiedBy>
  <cp:revision>1</cp:revision>
  <dcterms:created xsi:type="dcterms:W3CDTF">2026-10-15T04:06:26.217Z</dcterms:created>
  <dcterms:modified xsi:type="dcterms:W3CDTF">2026-10-15T04:06:26.217Z</dcterms:modified>
</cp:coreProperties>
</file>

<file path=docProps/custom.xml><?xml version="1.0" encoding="utf-8"?>
<Properties xmlns="http://schemas.openxmlformats.org/officeDocument/2006/custom-properties" xmlns:vt="http://schemas.openxmlformats.org/officeDocument/2006/docPropsVTypes"/>
</file>