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Integer*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r>
        <w:t>* = May change this to a String soon</w:t>
      </w: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(logical path to image)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lastRenderedPageBreak/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6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CB313B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  <w:bookmarkStart w:id="0" w:name="_GoBack"/>
      <w:bookmarkEnd w:id="0"/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F2C08"/>
    <w:rsid w:val="00381BCA"/>
    <w:rsid w:val="004F6204"/>
    <w:rsid w:val="005A3C03"/>
    <w:rsid w:val="005D7D73"/>
    <w:rsid w:val="00690012"/>
    <w:rsid w:val="00830DE7"/>
    <w:rsid w:val="00881208"/>
    <w:rsid w:val="00885ACD"/>
    <w:rsid w:val="008A0E5F"/>
    <w:rsid w:val="008E029C"/>
    <w:rsid w:val="009776DE"/>
    <w:rsid w:val="009D2BBF"/>
    <w:rsid w:val="00A61845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hardware/SensorManag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8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12</cp:revision>
  <cp:lastPrinted>2013-03-20T13:13:00Z</cp:lastPrinted>
  <dcterms:created xsi:type="dcterms:W3CDTF">2013-03-15T15:11:00Z</dcterms:created>
  <dcterms:modified xsi:type="dcterms:W3CDTF">2013-03-31T17:45:00Z</dcterms:modified>
</cp:coreProperties>
</file>