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1F3F"/>
          <w:sz w:val="48"/>
        </w:rPr>
        <w:t>ManOSalwaKnot — Full Business Model</w:t>
      </w:r>
    </w:p>
    <w:p>
      <w:r>
        <w:rPr>
          <w:rFonts w:ascii="Arial" w:hAnsi="Arial"/>
          <w:b/>
          <w:color w:val="4CAF50"/>
          <w:sz w:val="24"/>
        </w:rPr>
        <w:t>Updated Professional Version · PRD v1.1 Aligned · B2B-First Hybrid Model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z w:val="21"/>
              </w:rPr>
              <w:t xml:space="preserve">[Core Business Model] </w:t>
            </w:r>
            <w:r>
              <w:rPr>
                <w:rFonts w:ascii="Arial" w:hAnsi="Arial"/>
                <w:sz w:val="21"/>
              </w:rPr>
              <w:t>ManOSalwaKnot is a B2B-first, hybrid food-surplus redistribution platform that helps food businesses and institutions reduce surplus-food waste through trusted redistribution, assisted by premium AI/software capabilities, optional audience reach, and third-party delivery coordination.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1F3F"/>
          <w:sz w:val="32"/>
        </w:rPr>
        <w:t>1. Executive Summary</w:t>
      </w:r>
    </w:p>
    <w:p>
      <w:r>
        <w:rPr>
          <w:sz w:val="21"/>
        </w:rPr>
        <w:t>ManOSalwaKnot is positioned as a food-waste reduction and coordination platform rather than simply a food-sharing application. Its core value is to connect surplus-food providers with verified recipients while embedding trust, food-safety workflows, traceability, reservation, pickup coordination, and operational visibility.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Premium B2B AI/software packages: </w:t>
      </w:r>
      <w:r>
        <w:rPr>
          <w:rFonts w:ascii="Arial" w:hAnsi="Arial"/>
          <w:color w:val="323232"/>
          <w:sz w:val="21"/>
        </w:rPr>
        <w:t>Monthly/annual subscription for advanced AI listing, copilot, and waste reporting.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Audience Reach / Promotion: </w:t>
      </w:r>
      <w:r>
        <w:rPr>
          <w:rFonts w:ascii="Arial" w:hAnsi="Arial"/>
          <w:color w:val="323232"/>
          <w:sz w:val="21"/>
        </w:rPr>
        <w:t>Targeted visibility to nearby verified rescuers without selling raw personal data.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Third-Party Delivery Coordination: </w:t>
      </w:r>
      <w:r>
        <w:rPr>
          <w:rFonts w:ascii="Arial" w:hAnsi="Arial"/>
          <w:color w:val="323232"/>
          <w:sz w:val="21"/>
        </w:rPr>
        <w:t>Commission or platform fee per completed third-party handover.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Surplus Transaction Fees: </w:t>
      </w:r>
      <w:r>
        <w:rPr>
          <w:rFonts w:ascii="Arial" w:hAnsi="Arial"/>
          <w:color w:val="323232"/>
          <w:sz w:val="21"/>
        </w:rPr>
        <w:t>Modest commission on discounted clearance listings.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Institutional Contracts: </w:t>
      </w:r>
      <w:r>
        <w:rPr>
          <w:rFonts w:ascii="Arial" w:hAnsi="Arial"/>
          <w:color w:val="323232"/>
          <w:sz w:val="21"/>
        </w:rPr>
        <w:t>Managed waste dashboards, CSR compliance, and bulk routing for universities and hotels.</w:t>
      </w:r>
    </w:p>
    <w:p>
      <w:pPr>
        <w:pStyle w:val="Heading1"/>
      </w:pPr>
      <w:r>
        <w:rPr>
          <w:rFonts w:ascii="Arial" w:hAnsi="Arial"/>
          <w:b/>
          <w:color w:val="001F3F"/>
          <w:sz w:val="32"/>
        </w:rPr>
        <w:t>2. Nine-Block Business Model Canvas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1F3F"/>
          </w:tcPr>
          <w:p>
            <w:r>
              <w:rPr>
                <w:b/>
                <w:color w:val="FFFFFF"/>
              </w:rPr>
              <w:t>Key Partners &amp; Activities</w:t>
            </w:r>
          </w:p>
        </w:tc>
        <w:tc>
          <w:tcPr>
            <w:tcW w:type="dxa" w:w="3312"/>
            <w:shd w:fill="001F3F"/>
          </w:tcPr>
          <w:p>
            <w:r>
              <w:rPr>
                <w:b/>
                <w:color w:val="FFFFFF"/>
              </w:rPr>
              <w:t>Value Proposition &amp; Relationships</w:t>
            </w:r>
          </w:p>
        </w:tc>
        <w:tc>
          <w:tcPr>
            <w:tcW w:type="dxa" w:w="3312"/>
            <w:shd w:fill="001F3F"/>
          </w:tcPr>
          <w:p>
            <w:r>
              <w:rPr>
                <w:b/>
                <w:color w:val="FFFFFF"/>
              </w:rPr>
              <w:t>Customer Segments &amp; Revenue</w:t>
            </w:r>
          </w:p>
        </w:tc>
      </w:tr>
      <w:tr>
        <w:tc>
          <w:tcPr>
            <w:tcW w:type="dxa" w:w="3312"/>
          </w:tcPr>
          <w:p>
            <w:r>
              <w:t>• Partners: Restaurants, caterers, bakeries, hostels, delivery partners, food safety bodies, cloud providers.</w:t>
              <w:br/>
              <w:t>• Activities: Surplus listing, verification, AI moderation, reservation vouchers, delivery coordination.</w:t>
            </w:r>
          </w:p>
        </w:tc>
        <w:tc>
          <w:tcPr>
            <w:tcW w:type="dxa" w:w="3312"/>
          </w:tcPr>
          <w:p>
            <w:r>
              <w:t>• Value Prop: Kitchens monetize edible surplus &amp; reduce waste costs. Recipient families &amp; students access nutritious meals at 50-70% discount.</w:t>
              <w:br/>
              <w:t>• Relationships: Self-service app, AI copilot, audit logs.</w:t>
            </w:r>
          </w:p>
        </w:tc>
        <w:tc>
          <w:tcPr>
            <w:tcW w:type="dxa" w:w="3312"/>
          </w:tcPr>
          <w:p>
            <w:r>
              <w:t>• Segments: Commercial kitchens, wedding halls, university hostels, NGOs, individual rescuers.</w:t>
              <w:br/>
              <w:t>• Revenue: B2B SaaS, delivery commission, promotion, CSR institutional contracts.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001F3F"/>
          <w:sz w:val="32"/>
        </w:rPr>
        <w:t>3. Revenue Architecture &amp; Monetization Tiers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Community Tier (Free): </w:t>
      </w:r>
      <w:r>
        <w:rPr>
          <w:rFonts w:ascii="Arial" w:hAnsi="Arial"/>
          <w:color w:val="323232"/>
          <w:sz w:val="21"/>
        </w:rPr>
        <w:t>Free listing, discovery, safety checklists, basic pickup reservation voucher.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Business Starter: </w:t>
      </w:r>
      <w:r>
        <w:rPr>
          <w:rFonts w:ascii="Arial" w:hAnsi="Arial"/>
          <w:color w:val="323232"/>
          <w:sz w:val="21"/>
        </w:rPr>
        <w:t>AI listing assistant, inventory analytics, priority customer support.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Business Pro: </w:t>
      </w:r>
      <w:r>
        <w:rPr>
          <w:rFonts w:ascii="Arial" w:hAnsi="Arial"/>
          <w:color w:val="323232"/>
          <w:sz w:val="21"/>
        </w:rPr>
        <w:t>AI audience insights, dynamic pricing guide, coordination workspace, advanced waste reporting.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Institutional Tier: </w:t>
      </w:r>
      <w:r>
        <w:rPr>
          <w:rFonts w:ascii="Arial" w:hAnsi="Arial"/>
          <w:color w:val="323232"/>
          <w:sz w:val="21"/>
        </w:rPr>
        <w:t>Bulk automated redistribution routing, CSR tax reporting, dedicated compliance dashboards.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