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01F3F"/>
          <w:sz w:val="48"/>
        </w:rPr>
        <w:t>ManOSalwaKnot — Hackathon Pitch &amp; Technical Methodology</w:t>
      </w:r>
    </w:p>
    <w:p>
      <w:r>
        <w:rPr>
          <w:rFonts w:ascii="Arial" w:hAnsi="Arial"/>
          <w:b/>
          <w:color w:val="4CAF50"/>
          <w:sz w:val="24"/>
        </w:rPr>
        <w:t>Social Category · Pak Angels Final Hackathon · In Partnership with iCodeGuru &amp; Aspire Pakistan</w:t>
      </w:r>
    </w:p>
    <w:p/>
    <w:tbl>
      <w:tblPr>
        <w:tblW w:type="auto" w:w="0"/>
        <w:tblLook w:firstColumn="1" w:firstRow="1" w:lastColumn="0" w:lastRow="0" w:noHBand="0" w:noVBand="1" w:val="04A0"/>
      </w:tblPr>
      <w:tblGrid>
        <w:gridCol w:w="9936"/>
      </w:tblGrid>
      <w:tr>
        <w:tc>
          <w:tcPr>
            <w:tcW w:type="dxa" w:w="9936"/>
            <w:shd w:fill="E8F5E9"/>
            <w:tcMar>
              <w:top w:w="140" w:type="dxa"/>
              <w:bottom w:w="140" w:type="dxa"/>
              <w:left w:w="200" w:type="dxa"/>
              <w:right w:w="200" w:type="dxa"/>
            </w:tcMar>
          </w:tcPr>
          <w:p>
            <w:r>
              <w:rPr>
                <w:rFonts w:ascii="Arial" w:hAnsi="Arial"/>
                <w:b/>
                <w:color w:val="2E7D32"/>
                <w:sz w:val="21"/>
              </w:rPr>
              <w:t xml:space="preserve">[Team Information] </w:t>
            </w:r>
            <w:r>
              <w:rPr>
                <w:rFonts w:ascii="Arial" w:hAnsi="Arial"/>
                <w:sz w:val="21"/>
              </w:rPr>
              <w:t>Team Members: Eman Aslam Khan (Team Leader), Muhammad Tanveer (Team Member), Tehniat Fatima Khan (Team Member), Sahil Kumar (Team Member).</w:t>
            </w:r>
          </w:p>
        </w:tc>
      </w:tr>
    </w:tbl>
    <w:p/>
    <w:p>
      <w:pPr>
        <w:pStyle w:val="Heading1"/>
      </w:pPr>
      <w:r>
        <w:rPr>
          <w:rFonts w:ascii="Arial" w:hAnsi="Arial"/>
          <w:b/>
          <w:color w:val="001F3F"/>
          <w:sz w:val="32"/>
        </w:rPr>
        <w:t>1. Problem Statement</w:t>
      </w:r>
    </w:p>
    <w:p>
      <w:r>
        <w:rPr>
          <w:sz w:val="21"/>
        </w:rPr>
        <w:t>36M+ tonnes of edible food are wasted every year in Pakistan and South Asia, while millions of families face food insecurity. Kitchens have no fast liquidation channel, food photos are difficult to trust, and checkout friction delays pickup.</w:t>
      </w:r>
    </w:p>
    <w:p>
      <w:pPr>
        <w:pStyle w:val="Heading1"/>
      </w:pPr>
      <w:r>
        <w:rPr>
          <w:rFonts w:ascii="Arial" w:hAnsi="Arial"/>
          <w:b/>
          <w:color w:val="001F3F"/>
          <w:sz w:val="32"/>
        </w:rPr>
        <w:t>2. UN Sustainable Development Goals (SDG Alignment)</w:t>
      </w:r>
    </w:p>
    <w:p>
      <w:pPr>
        <w:pStyle w:val="ListBullet"/>
      </w:pPr>
      <w:r>
        <w:rPr>
          <w:rFonts w:ascii="Arial" w:hAnsi="Arial"/>
          <w:b/>
          <w:color w:val="001F3F"/>
          <w:sz w:val="21"/>
        </w:rPr>
        <w:t xml:space="preserve">SDG 2: Zero Hunger: </w:t>
      </w:r>
      <w:r>
        <w:rPr>
          <w:rFonts w:ascii="Arial" w:hAnsi="Arial"/>
          <w:color w:val="323232"/>
          <w:sz w:val="21"/>
        </w:rPr>
        <w:t>Directly routes wholesome, nutritious food to low-income families and students at affordable rates.</w:t>
      </w:r>
    </w:p>
    <w:p>
      <w:pPr>
        <w:pStyle w:val="ListBullet"/>
      </w:pPr>
      <w:r>
        <w:rPr>
          <w:rFonts w:ascii="Arial" w:hAnsi="Arial"/>
          <w:b/>
          <w:color w:val="001F3F"/>
          <w:sz w:val="21"/>
        </w:rPr>
        <w:t xml:space="preserve">SDG 11: Sustainable Cities: </w:t>
      </w:r>
      <w:r>
        <w:rPr>
          <w:rFonts w:ascii="Arial" w:hAnsi="Arial"/>
          <w:color w:val="323232"/>
          <w:sz w:val="21"/>
        </w:rPr>
        <w:t>Establishes circular food redistribution infrastructure across metropolitan hubs.</w:t>
      </w:r>
    </w:p>
    <w:p>
      <w:pPr>
        <w:pStyle w:val="ListBullet"/>
      </w:pPr>
      <w:r>
        <w:rPr>
          <w:rFonts w:ascii="Arial" w:hAnsi="Arial"/>
          <w:b/>
          <w:color w:val="001F3F"/>
          <w:sz w:val="21"/>
        </w:rPr>
        <w:t xml:space="preserve">SDG 12: Responsible Consumption: </w:t>
      </w:r>
      <w:r>
        <w:rPr>
          <w:rFonts w:ascii="Arial" w:hAnsi="Arial"/>
          <w:color w:val="323232"/>
          <w:sz w:val="21"/>
        </w:rPr>
        <w:t>Eliminates preventable organic waste and reduces methane landfill emissions.</w:t>
      </w:r>
    </w:p>
    <w:p>
      <w:pPr>
        <w:pStyle w:val="Heading1"/>
      </w:pPr>
      <w:r>
        <w:rPr>
          <w:rFonts w:ascii="Arial" w:hAnsi="Arial"/>
          <w:b/>
          <w:color w:val="001F3F"/>
          <w:sz w:val="32"/>
        </w:rPr>
        <w:t>3. Multi-Agent AI Methodology</w:t>
      </w:r>
    </w:p>
    <w:p>
      <w:pPr>
        <w:pStyle w:val="ListBullet"/>
      </w:pPr>
      <w:r>
        <w:rPr>
          <w:rFonts w:ascii="Arial" w:hAnsi="Arial"/>
          <w:b/>
          <w:color w:val="001F3F"/>
          <w:sz w:val="21"/>
        </w:rPr>
        <w:t xml:space="preserve">Agent 1 — Salwa Assistant: </w:t>
      </w:r>
      <w:r>
        <w:rPr>
          <w:rFonts w:ascii="Arial" w:hAnsi="Arial"/>
          <w:color w:val="323232"/>
          <w:sz w:val="21"/>
        </w:rPr>
        <w:t>ReAct conversational agent using Groq Llama-3.3 70B with custom search, budget, distance, and vendor lookup tools.</w:t>
      </w:r>
    </w:p>
    <w:p>
      <w:pPr>
        <w:pStyle w:val="ListBullet"/>
      </w:pPr>
      <w:r>
        <w:rPr>
          <w:rFonts w:ascii="Arial" w:hAnsi="Arial"/>
          <w:b/>
          <w:color w:val="001F3F"/>
          <w:sz w:val="21"/>
        </w:rPr>
        <w:t xml:space="preserve">Agent 2 — Quality Inspector: </w:t>
      </w:r>
      <w:r>
        <w:rPr>
          <w:rFonts w:ascii="Arial" w:hAnsi="Arial"/>
          <w:color w:val="323232"/>
          <w:sz w:val="21"/>
        </w:rPr>
        <w:t>Gemini 2.5 Flash scans packaging integrity and freshness; Tavily cross-references vendor public hygiene track record.</w:t>
      </w:r>
    </w:p>
    <w:p>
      <w:pPr>
        <w:pStyle w:val="ListBullet"/>
      </w:pPr>
      <w:r>
        <w:rPr>
          <w:rFonts w:ascii="Arial" w:hAnsi="Arial"/>
          <w:b/>
          <w:color w:val="001F3F"/>
          <w:sz w:val="21"/>
        </w:rPr>
        <w:t xml:space="preserve">Agent 3 — Budget &amp; Portion Matchmaker: </w:t>
      </w:r>
      <w:r>
        <w:rPr>
          <w:rFonts w:ascii="Arial" w:hAnsi="Arial"/>
          <w:color w:val="323232"/>
          <w:sz w:val="21"/>
        </w:rPr>
        <w:t>Ranks listings based on price-per-person and calorie value; advises commercial kitchens on optimal markdown discounts.</w:t>
      </w:r>
    </w:p>
    <w:p>
      <w:pPr>
        <w:pStyle w:val="ListBullet"/>
      </w:pPr>
      <w:r>
        <w:rPr>
          <w:rFonts w:ascii="Arial" w:hAnsi="Arial"/>
          <w:b/>
          <w:color w:val="001F3F"/>
          <w:sz w:val="21"/>
        </w:rPr>
        <w:t xml:space="preserve">Agent 4 — Geo-Alert Agent: </w:t>
      </w:r>
      <w:r>
        <w:rPr>
          <w:rFonts w:ascii="Arial" w:hAnsi="Arial"/>
          <w:color w:val="323232"/>
          <w:sz w:val="21"/>
        </w:rPr>
        <w:t>Calculates Haversine distance and fires transactional emails via Resend to subscribers within radius.</w:t>
      </w:r>
    </w:p>
    <w:p>
      <w:pPr>
        <w:pStyle w:val="Heading1"/>
      </w:pPr>
      <w:r>
        <w:rPr>
          <w:rFonts w:ascii="Arial" w:hAnsi="Arial"/>
          <w:b/>
          <w:color w:val="001F3F"/>
          <w:sz w:val="32"/>
        </w:rPr>
        <w:t>4. Technology Stack Table</w:t>
      </w:r>
    </w:p>
    <w:tbl>
      <w:tblPr>
        <w:tblW w:type="auto" w:w="0"/>
        <w:tblLook w:firstColumn="1" w:firstRow="1" w:lastColumn="0" w:lastRow="0" w:noHBand="0" w:noVBand="1" w:val="04A0"/>
      </w:tblPr>
      <w:tblGrid>
        <w:gridCol w:w="3312"/>
        <w:gridCol w:w="3312"/>
        <w:gridCol w:w="3312"/>
      </w:tblGrid>
      <w:tr>
        <w:tc>
          <w:tcPr>
            <w:tcW w:type="dxa" w:w="3312"/>
            <w:shd w:fill="001F3F"/>
          </w:tcPr>
          <w:p>
            <w:r>
              <w:rPr>
                <w:b/>
                <w:color w:val="FFFFFF"/>
              </w:rPr>
              <w:t>Component</w:t>
            </w:r>
          </w:p>
        </w:tc>
        <w:tc>
          <w:tcPr>
            <w:tcW w:type="dxa" w:w="3312"/>
            <w:shd w:fill="001F3F"/>
          </w:tcPr>
          <w:p>
            <w:r>
              <w:rPr>
                <w:b/>
                <w:color w:val="FFFFFF"/>
              </w:rPr>
              <w:t>Technology</w:t>
            </w:r>
          </w:p>
        </w:tc>
        <w:tc>
          <w:tcPr>
            <w:tcW w:type="dxa" w:w="3312"/>
            <w:shd w:fill="001F3F"/>
          </w:tcPr>
          <w:p>
            <w:r>
              <w:rPr>
                <w:b/>
                <w:color w:val="FFFFFF"/>
              </w:rPr>
              <w:t>Role</w:t>
            </w:r>
          </w:p>
        </w:tc>
      </w:tr>
      <w:tr>
        <w:tc>
          <w:tcPr>
            <w:tcW w:type="dxa" w:w="3312"/>
          </w:tcPr>
          <w:p>
            <w:r>
              <w:t>Frontend</w:t>
            </w:r>
          </w:p>
        </w:tc>
        <w:tc>
          <w:tcPr>
            <w:tcW w:type="dxa" w:w="3312"/>
          </w:tcPr>
          <w:p>
            <w:r>
              <w:t>React 18, Vite, TypeScript, Tailwind CSS</w:t>
            </w:r>
          </w:p>
        </w:tc>
        <w:tc>
          <w:tcPr>
            <w:tcW w:type="dxa" w:w="3312"/>
          </w:tcPr>
          <w:p>
            <w:r>
              <w:t>Single Page Application, live feed, mobile responsive</w:t>
            </w:r>
          </w:p>
        </w:tc>
      </w:tr>
      <w:tr>
        <w:tc>
          <w:tcPr>
            <w:tcW w:type="dxa" w:w="3312"/>
          </w:tcPr>
          <w:p>
            <w:r>
              <w:t>Backend API</w:t>
            </w:r>
          </w:p>
        </w:tc>
        <w:tc>
          <w:tcPr>
            <w:tcW w:type="dxa" w:w="3312"/>
          </w:tcPr>
          <w:p>
            <w:r>
              <w:t>FastAPI (Python 3.12), Uvicorn</w:t>
            </w:r>
          </w:p>
        </w:tc>
        <w:tc>
          <w:tcPr>
            <w:tcW w:type="dxa" w:w="3312"/>
          </w:tcPr>
          <w:p>
            <w:r>
              <w:t>High-throughput asynchronous REST microservices</w:t>
            </w:r>
          </w:p>
        </w:tc>
      </w:tr>
      <w:tr>
        <w:tc>
          <w:tcPr>
            <w:tcW w:type="dxa" w:w="3312"/>
          </w:tcPr>
          <w:p>
            <w:r>
              <w:t>Database &amp; Auth</w:t>
            </w:r>
          </w:p>
        </w:tc>
        <w:tc>
          <w:tcPr>
            <w:tcW w:type="dxa" w:w="3312"/>
          </w:tcPr>
          <w:p>
            <w:r>
              <w:t>Supabase (PostgreSQL 15, Row Level Security)</w:t>
            </w:r>
          </w:p>
        </w:tc>
        <w:tc>
          <w:tcPr>
            <w:tcW w:type="dxa" w:w="3312"/>
          </w:tcPr>
          <w:p>
            <w:r>
              <w:t>Data persistence, user authentication, storage buckets</w:t>
            </w:r>
          </w:p>
        </w:tc>
      </w:tr>
      <w:tr>
        <w:tc>
          <w:tcPr>
            <w:tcW w:type="dxa" w:w="3312"/>
          </w:tcPr>
          <w:p>
            <w:r>
              <w:t>Agent Framework</w:t>
            </w:r>
          </w:p>
        </w:tc>
        <w:tc>
          <w:tcPr>
            <w:tcW w:type="dxa" w:w="3312"/>
          </w:tcPr>
          <w:p>
            <w:r>
              <w:t>LangChain &amp; LangGraph</w:t>
            </w:r>
          </w:p>
        </w:tc>
        <w:tc>
          <w:tcPr>
            <w:tcW w:type="dxa" w:w="3312"/>
          </w:tcPr>
          <w:p>
            <w:r>
              <w:t>Multi-agent tool orchestration and structured reasoning</w:t>
            </w:r>
          </w:p>
        </w:tc>
      </w:tr>
      <w:tr>
        <w:tc>
          <w:tcPr>
            <w:tcW w:type="dxa" w:w="3312"/>
          </w:tcPr>
          <w:p>
            <w:r>
              <w:t>LLM Inference</w:t>
            </w:r>
          </w:p>
        </w:tc>
        <w:tc>
          <w:tcPr>
            <w:tcW w:type="dxa" w:w="3312"/>
          </w:tcPr>
          <w:p>
            <w:r>
              <w:t>Groq Cloud (Llama-3.3 70B Versatile)</w:t>
            </w:r>
          </w:p>
        </w:tc>
        <w:tc>
          <w:tcPr>
            <w:tcW w:type="dxa" w:w="3312"/>
          </w:tcPr>
          <w:p>
            <w:r>
              <w:t>Sub-second bilingual natural language understanding</w:t>
            </w:r>
          </w:p>
        </w:tc>
      </w:tr>
      <w:tr>
        <w:tc>
          <w:tcPr>
            <w:tcW w:type="dxa" w:w="3312"/>
          </w:tcPr>
          <w:p>
            <w:r>
              <w:t>Computer Vision</w:t>
            </w:r>
          </w:p>
        </w:tc>
        <w:tc>
          <w:tcPr>
            <w:tcW w:type="dxa" w:w="3312"/>
          </w:tcPr>
          <w:p>
            <w:r>
              <w:t>Google Gemini 2.5 Flash Vision</w:t>
            </w:r>
          </w:p>
        </w:tc>
        <w:tc>
          <w:tcPr>
            <w:tcW w:type="dxa" w:w="3312"/>
          </w:tcPr>
          <w:p>
            <w:r>
              <w:t>Multimodal visual inspection of food packaging and freshness</w:t>
            </w:r>
          </w:p>
        </w:tc>
      </w:tr>
      <w:tr>
        <w:tc>
          <w:tcPr>
            <w:tcW w:type="dxa" w:w="3312"/>
          </w:tcPr>
          <w:p>
            <w:r>
              <w:t>Web Research</w:t>
            </w:r>
          </w:p>
        </w:tc>
        <w:tc>
          <w:tcPr>
            <w:tcW w:type="dxa" w:w="3312"/>
          </w:tcPr>
          <w:p>
            <w:r>
              <w:t>Tavily AI Search API</w:t>
            </w:r>
          </w:p>
        </w:tc>
        <w:tc>
          <w:tcPr>
            <w:tcW w:type="dxa" w:w="3312"/>
          </w:tcPr>
          <w:p>
            <w:r>
              <w:t>Real-time kitchen hygiene and reputation cross-referencing</w:t>
            </w:r>
          </w:p>
        </w:tc>
      </w:tr>
      <w:tr>
        <w:tc>
          <w:tcPr>
            <w:tcW w:type="dxa" w:w="3312"/>
          </w:tcPr>
          <w:p>
            <w:r>
              <w:t>Caching</w:t>
            </w:r>
          </w:p>
        </w:tc>
        <w:tc>
          <w:tcPr>
            <w:tcW w:type="dxa" w:w="3312"/>
          </w:tcPr>
          <w:p>
            <w:r>
              <w:t>Upstash Redis</w:t>
            </w:r>
          </w:p>
        </w:tc>
        <w:tc>
          <w:tcPr>
            <w:tcW w:type="dxa" w:w="3312"/>
          </w:tcPr>
          <w:p>
            <w:r>
              <w:t>Distributed session cache and chat history persistence</w:t>
            </w:r>
          </w:p>
        </w:tc>
      </w:tr>
      <w:tr>
        <w:tc>
          <w:tcPr>
            <w:tcW w:type="dxa" w:w="3312"/>
          </w:tcPr>
          <w:p>
            <w:r>
              <w:t>Notifications</w:t>
            </w:r>
          </w:p>
        </w:tc>
        <w:tc>
          <w:tcPr>
            <w:tcW w:type="dxa" w:w="3312"/>
          </w:tcPr>
          <w:p>
            <w:r>
              <w:t>Resend API</w:t>
            </w:r>
          </w:p>
        </w:tc>
        <w:tc>
          <w:tcPr>
            <w:tcW w:type="dxa" w:w="3312"/>
          </w:tcPr>
          <w:p>
            <w:r>
              <w:t>Transactional email delivery for surplus drop alerts</w:t>
            </w:r>
          </w:p>
        </w:tc>
      </w:tr>
      <w:tr>
        <w:tc>
          <w:tcPr>
            <w:tcW w:type="dxa" w:w="3312"/>
          </w:tcPr>
          <w:p>
            <w:r>
              <w:t>Hosting</w:t>
            </w:r>
          </w:p>
        </w:tc>
        <w:tc>
          <w:tcPr>
            <w:tcW w:type="dxa" w:w="3312"/>
          </w:tcPr>
          <w:p>
            <w:r>
              <w:t>Vercel (Frontend) &amp; Render (Backend)</w:t>
            </w:r>
          </w:p>
        </w:tc>
        <w:tc>
          <w:tcPr>
            <w:tcW w:type="dxa" w:w="3312"/>
          </w:tcPr>
          <w:p>
            <w:r>
              <w:t>Global CDN delivery and automated CI/CD deployments</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