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1F3F"/>
          <w:sz w:val="48"/>
        </w:rPr>
        <w:t>ManOSalwaKnot — Product Requirements Document</w:t>
      </w:r>
    </w:p>
    <w:p>
      <w:r>
        <w:rPr>
          <w:rFonts w:ascii="Arial" w:hAnsi="Arial"/>
          <w:b/>
          <w:color w:val="4CAF50"/>
          <w:sz w:val="24"/>
        </w:rPr>
        <w:t>Concise Edition · v0.1 · Draft for Review · 4 October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rFonts w:ascii="Arial" w:hAnsi="Arial"/>
                <w:b/>
                <w:color w:val="2E7D32"/>
                <w:sz w:val="21"/>
              </w:rPr>
              <w:t xml:space="preserve">[Document Control] </w:t>
            </w:r>
            <w:r>
              <w:rPr>
                <w:rFonts w:ascii="Arial" w:hAnsi="Arial"/>
                <w:sz w:val="21"/>
              </w:rPr>
              <w:t>AI-assisted food rescue and surplus-food redistribution platform for Pakistan. Pickup-first MVP with Third-Party Delivery in V2. Stack: React/Vite/Tailwind, FastAPI, Supabase, Redis, LangChain, Groq, Gemini 2.5 Flash, Tavily, Resend.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01F3F"/>
          <w:sz w:val="32"/>
        </w:rPr>
        <w:t>1. Executive Summary &amp; Vision</w:t>
      </w:r>
    </w:p>
    <w:p>
      <w:r>
        <w:rPr>
          <w:sz w:val="21"/>
        </w:rPr>
        <w:t>Vision: Make surplus food easy to rescue, trusted to discover, and simple to redistribute.</w:t>
        <w:br/>
        <w:t>Mission: Reduce avoidable food waste in Pakistan through trusted digital infrastructure that moves surplus quickly to people and organizations that can use it.</w:t>
      </w:r>
    </w:p>
    <w:p>
      <w:pPr>
        <w:pStyle w:val="Heading1"/>
      </w:pPr>
      <w:r>
        <w:rPr>
          <w:rFonts w:ascii="Arial" w:hAnsi="Arial"/>
          <w:b/>
          <w:color w:val="001F3F"/>
          <w:sz w:val="32"/>
        </w:rPr>
        <w:t>2. Functional Requirements (FR-01 to FR-27)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FR-01 User Authentication: </w:t>
      </w:r>
      <w:r>
        <w:rPr>
          <w:rFonts w:ascii="Arial" w:hAnsi="Arial"/>
          <w:color w:val="323232"/>
          <w:sz w:val="21"/>
        </w:rPr>
        <w:t>Role-based authentication via Supabase Auth with individual and restaurant account types.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FR-02 Role Selection: </w:t>
      </w:r>
      <w:r>
        <w:rPr>
          <w:rFonts w:ascii="Arial" w:hAnsi="Arial"/>
          <w:color w:val="323232"/>
          <w:sz w:val="21"/>
        </w:rPr>
        <w:t>Distinct onboarding flows for food donors (restaurants/kitchens) and food rescuers (individuals).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FR-05 Surplus Food Publishing: </w:t>
      </w:r>
      <w:r>
        <w:rPr>
          <w:rFonts w:ascii="Arial" w:hAnsi="Arial"/>
          <w:color w:val="323232"/>
          <w:sz w:val="21"/>
        </w:rPr>
        <w:t>Food name, photo, portions, unit, price, expiry window, and pickup instructions.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FR-08 Live Discovery Feed &amp; Map: </w:t>
      </w:r>
      <w:r>
        <w:rPr>
          <w:rFonts w:ascii="Arial" w:hAnsi="Arial"/>
          <w:color w:val="323232"/>
          <w:sz w:val="21"/>
        </w:rPr>
        <w:t>Interactive map and cards showing price, portions left, distance, and trust badges.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FR-10 1-Click Reservation Voucher: </w:t>
      </w:r>
      <w:r>
        <w:rPr>
          <w:rFonts w:ascii="Arial" w:hAnsi="Arial"/>
          <w:color w:val="323232"/>
          <w:sz w:val="21"/>
        </w:rPr>
        <w:t>One-touch reservation issuing encrypted voucher reference #RSV-XXXX.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FR-12 Cash on Pickup: </w:t>
      </w:r>
      <w:r>
        <w:rPr>
          <w:rFonts w:ascii="Arial" w:hAnsi="Arial"/>
          <w:color w:val="323232"/>
          <w:sz w:val="21"/>
        </w:rPr>
        <w:t>Guarantees zero-friction checkout for time-sensitive meals.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FR-14 Geo-Targeted Alerts: </w:t>
      </w:r>
      <w:r>
        <w:rPr>
          <w:rFonts w:ascii="Arial" w:hAnsi="Arial"/>
          <w:color w:val="323232"/>
          <w:sz w:val="21"/>
        </w:rPr>
        <w:t>Instant email notifications sent via Resend API to nearby subscribers within configured radius.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FR-17 Ask Salwa AI: </w:t>
      </w:r>
      <w:r>
        <w:rPr>
          <w:rFonts w:ascii="Arial" w:hAnsi="Arial"/>
          <w:color w:val="323232"/>
          <w:sz w:val="21"/>
        </w:rPr>
        <w:t>Bilingual conversational assistant (English &amp; Roman Urdu) grounded in real database listings.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FR-18 AI Budget Matchmaker: </w:t>
      </w:r>
      <w:r>
        <w:rPr>
          <w:rFonts w:ascii="Arial" w:hAnsi="Arial"/>
          <w:color w:val="323232"/>
          <w:sz w:val="21"/>
        </w:rPr>
        <w:t>Optimizes calorie and protein portions for exact user budget (PKR) and party size.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FR-19 AI Quality Inspector: </w:t>
      </w:r>
      <w:r>
        <w:rPr>
          <w:rFonts w:ascii="Arial" w:hAnsi="Arial"/>
          <w:color w:val="323232"/>
          <w:sz w:val="21"/>
        </w:rPr>
        <w:t>Gemini 2.5 Flash Vision inspects photos for packaging cleanliness, spoilage signs, and hygiene seals.</w:t>
      </w:r>
    </w:p>
    <w:p>
      <w:pPr>
        <w:pStyle w:val="Heading1"/>
      </w:pPr>
      <w:r>
        <w:rPr>
          <w:rFonts w:ascii="Arial" w:hAnsi="Arial"/>
          <w:b/>
          <w:color w:val="001F3F"/>
          <w:sz w:val="32"/>
        </w:rPr>
        <w:t>3. AI Guardrails (AI-G1 to AI-G6)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AI-G1 Authoritative Data: </w:t>
      </w:r>
      <w:r>
        <w:rPr>
          <w:rFonts w:ascii="Arial" w:hAnsi="Arial"/>
          <w:color w:val="323232"/>
          <w:sz w:val="21"/>
        </w:rPr>
        <w:t>Never invent listings, prices, or restaurants; answer only from live database records.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AI-G2 No Safety Certification: </w:t>
      </w:r>
      <w:r>
        <w:rPr>
          <w:rFonts w:ascii="Arial" w:hAnsi="Arial"/>
          <w:color w:val="323232"/>
          <w:sz w:val="21"/>
        </w:rPr>
        <w:t>AI must never certify food as safe from an image alone; mandatory advisory notice displayed.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AI-G3 Human In The Loop: </w:t>
      </w:r>
      <w:r>
        <w:rPr>
          <w:rFonts w:ascii="Arial" w:hAnsi="Arial"/>
          <w:color w:val="323232"/>
          <w:sz w:val="21"/>
        </w:rPr>
        <w:t>AI draft listing output must remain fully editable by the human donor prior to publishing.</w:t>
      </w:r>
    </w:p>
    <w:p>
      <w:pPr>
        <w:pStyle w:val="ListBullet"/>
      </w:pPr>
      <w:r>
        <w:rPr>
          <w:rFonts w:ascii="Arial" w:hAnsi="Arial"/>
          <w:b/>
          <w:color w:val="001F3F"/>
          <w:sz w:val="21"/>
        </w:rPr>
        <w:t xml:space="preserve">AI-G6 Core Loop Resiliency: </w:t>
      </w:r>
      <w:r>
        <w:rPr>
          <w:rFonts w:ascii="Arial" w:hAnsi="Arial"/>
          <w:color w:val="323232"/>
          <w:sz w:val="21"/>
        </w:rPr>
        <w:t>Core marketplace browse, reserve, and pickup flows must remain 100% operational if AI APIs are offline.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