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CFB96" w14:textId="77777777" w:rsidR="00290342" w:rsidRDefault="005B29BD">
      <w:pPr>
        <w:pStyle w:val="Title"/>
      </w:pPr>
      <w:r>
        <w:t>SNV Deep Learning Pipeline: Project Report</w:t>
      </w:r>
    </w:p>
    <w:p w14:paraId="5B1C7C24" w14:textId="77777777" w:rsidR="00290342" w:rsidRDefault="005B29BD">
      <w:pPr>
        <w:pStyle w:val="Heading1"/>
      </w:pPr>
      <w:r>
        <w:rPr>
          <w:rFonts w:ascii="Times New Roman" w:hAnsi="Times New Roman"/>
          <w:sz w:val="32"/>
        </w:rPr>
        <w:t>Introduction</w:t>
      </w:r>
    </w:p>
    <w:p w14:paraId="6ED348F7" w14:textId="77777777" w:rsidR="00290342" w:rsidRDefault="005B29BD">
      <w:pPr>
        <w:jc w:val="both"/>
      </w:pPr>
      <w:r>
        <w:rPr>
          <w:rFonts w:ascii="Times New Roman" w:hAnsi="Times New Roman"/>
          <w:sz w:val="24"/>
        </w:rPr>
        <w:t>Single Nucleotide Variants (SNVs) are the most common type of genetic variation in the human genome. Accurate classification of SNVs is essential for understanding genetic diseases, identifying pathogenic mutations, and advancing personalized medicine. This project presents a comprehensive deep learning pipeline for SNV classification, leveraging annotated genomic data and state-of-the-art machine learning techniques.</w:t>
      </w:r>
    </w:p>
    <w:p w14:paraId="3AA32E68" w14:textId="77777777" w:rsidR="00290342" w:rsidRDefault="005B29BD">
      <w:pPr>
        <w:pStyle w:val="Heading1"/>
      </w:pPr>
      <w:r>
        <w:rPr>
          <w:rFonts w:ascii="Times New Roman" w:hAnsi="Times New Roman"/>
          <w:sz w:val="32"/>
        </w:rPr>
        <w:t>Objectives</w:t>
      </w:r>
    </w:p>
    <w:p w14:paraId="21381D3B" w14:textId="77777777" w:rsidR="00290342" w:rsidRDefault="005B29BD">
      <w:pPr>
        <w:pStyle w:val="ListBullet"/>
      </w:pPr>
      <w:r>
        <w:rPr>
          <w:rFonts w:ascii="Times New Roman" w:hAnsi="Times New Roman"/>
          <w:sz w:val="24"/>
        </w:rPr>
        <w:t>Develop a robust deep learning model for SNV classification.</w:t>
      </w:r>
    </w:p>
    <w:p w14:paraId="00C624EC" w14:textId="77777777" w:rsidR="00290342" w:rsidRDefault="005B29BD">
      <w:pPr>
        <w:pStyle w:val="ListBullet"/>
      </w:pPr>
      <w:r>
        <w:rPr>
          <w:rFonts w:ascii="Times New Roman" w:hAnsi="Times New Roman"/>
          <w:sz w:val="24"/>
        </w:rPr>
        <w:t>Automate data loading, preprocessing, model training, and evaluation.</w:t>
      </w:r>
    </w:p>
    <w:p w14:paraId="4C8325F5" w14:textId="77777777" w:rsidR="00290342" w:rsidRDefault="005B29BD">
      <w:pPr>
        <w:pStyle w:val="ListBullet"/>
      </w:pPr>
      <w:r>
        <w:rPr>
          <w:rFonts w:ascii="Times New Roman" w:hAnsi="Times New Roman"/>
          <w:sz w:val="24"/>
        </w:rPr>
        <w:t>Visualize model performance using loss curves, confusion matrices, and ROC curves.</w:t>
      </w:r>
    </w:p>
    <w:p w14:paraId="5E5418FF" w14:textId="77777777" w:rsidR="00290342" w:rsidRDefault="005B29BD">
      <w:pPr>
        <w:pStyle w:val="ListBullet"/>
      </w:pPr>
      <w:r>
        <w:rPr>
          <w:rFonts w:ascii="Times New Roman" w:hAnsi="Times New Roman"/>
          <w:sz w:val="24"/>
        </w:rPr>
        <w:t>Save all visualizations for reporting and reproducibility.</w:t>
      </w:r>
    </w:p>
    <w:p w14:paraId="5B4FD0A4" w14:textId="77777777" w:rsidR="00290342" w:rsidRDefault="005B29BD">
      <w:pPr>
        <w:pStyle w:val="Heading1"/>
      </w:pPr>
      <w:r>
        <w:rPr>
          <w:rFonts w:ascii="Times New Roman" w:hAnsi="Times New Roman"/>
          <w:sz w:val="32"/>
        </w:rPr>
        <w:t>Methodology</w:t>
      </w:r>
    </w:p>
    <w:p w14:paraId="200413E6" w14:textId="77777777" w:rsidR="00290342" w:rsidRDefault="005B29BD">
      <w:pPr>
        <w:pStyle w:val="Heading2"/>
      </w:pPr>
      <w:r>
        <w:rPr>
          <w:rFonts w:ascii="Times New Roman" w:hAnsi="Times New Roman"/>
          <w:sz w:val="28"/>
        </w:rPr>
        <w:t>Data Description</w:t>
      </w:r>
    </w:p>
    <w:p w14:paraId="0E58CC2C" w14:textId="77777777" w:rsidR="00C42BCB" w:rsidRDefault="005B29BD">
      <w:pPr>
        <w:jc w:val="both"/>
        <w:rPr>
          <w:rFonts w:ascii="Times New Roman" w:hAnsi="Times New Roman"/>
          <w:sz w:val="24"/>
        </w:rPr>
      </w:pPr>
      <w:r>
        <w:rPr>
          <w:rFonts w:ascii="Times New Roman" w:hAnsi="Times New Roman"/>
          <w:sz w:val="24"/>
        </w:rPr>
        <w:t>The SNVs used in this study were sourced from the public ClinVar database, which provides a comprehensive set of clinically relevant variants. Each SNV was annotated using the Ensembl Variant Effect Predictor (VEP), providing rich functional and genomic context.</w:t>
      </w:r>
      <w:r>
        <w:rPr>
          <w:rFonts w:ascii="Times New Roman" w:hAnsi="Times New Roman"/>
          <w:sz w:val="24"/>
        </w:rPr>
        <w:br/>
      </w:r>
      <w:r>
        <w:rPr>
          <w:rFonts w:ascii="Times New Roman" w:hAnsi="Times New Roman"/>
          <w:sz w:val="24"/>
        </w:rPr>
        <w:br/>
      </w:r>
      <w:r w:rsidRPr="00C42BCB">
        <w:rPr>
          <w:rFonts w:ascii="Times New Roman" w:hAnsi="Times New Roman"/>
          <w:b/>
          <w:bCs/>
          <w:sz w:val="24"/>
        </w:rPr>
        <w:t>Features:</w:t>
      </w:r>
      <w:r>
        <w:rPr>
          <w:rFonts w:ascii="Times New Roman" w:hAnsi="Times New Roman"/>
          <w:sz w:val="24"/>
        </w:rPr>
        <w:t xml:space="preserve"> The dataset includes features such as chromosome, position, reference and alternate alleles, gene name, consequence type, SIFT and PolyPhen scores, allele frequency, and additional functional annotations. All features were preprocessed and normalized </w:t>
      </w:r>
      <w:r w:rsidR="00C42BCB">
        <w:rPr>
          <w:rFonts w:ascii="Times New Roman" w:hAnsi="Times New Roman"/>
          <w:sz w:val="24"/>
        </w:rPr>
        <w:t>as appropriate</w:t>
      </w:r>
    </w:p>
    <w:p w14:paraId="767DBC5D" w14:textId="77777777" w:rsidR="00C42BCB" w:rsidRDefault="005B29BD">
      <w:pPr>
        <w:jc w:val="both"/>
        <w:rPr>
          <w:rFonts w:ascii="Times New Roman" w:hAnsi="Times New Roman"/>
          <w:sz w:val="24"/>
        </w:rPr>
      </w:pPr>
      <w:r w:rsidRPr="00C42BCB">
        <w:rPr>
          <w:rFonts w:ascii="Times New Roman" w:hAnsi="Times New Roman"/>
          <w:b/>
          <w:bCs/>
          <w:sz w:val="24"/>
        </w:rPr>
        <w:t>Labels:</w:t>
      </w:r>
      <w:r>
        <w:rPr>
          <w:rFonts w:ascii="Times New Roman" w:hAnsi="Times New Roman"/>
          <w:sz w:val="24"/>
        </w:rPr>
        <w:t xml:space="preserve"> Each SNV is labeled as either pathogenic (1) or benign (0), based on </w:t>
      </w:r>
      <w:proofErr w:type="spellStart"/>
      <w:r>
        <w:rPr>
          <w:rFonts w:ascii="Times New Roman" w:hAnsi="Times New Roman"/>
          <w:sz w:val="24"/>
        </w:rPr>
        <w:t>ClinVar</w:t>
      </w:r>
      <w:proofErr w:type="spellEnd"/>
      <w:r>
        <w:rPr>
          <w:rFonts w:ascii="Times New Roman" w:hAnsi="Times New Roman"/>
          <w:sz w:val="24"/>
        </w:rPr>
        <w:t xml:space="preserve"> clinical</w:t>
      </w:r>
      <w:r w:rsidR="00C42BCB">
        <w:rPr>
          <w:rFonts w:ascii="Times New Roman" w:hAnsi="Times New Roman"/>
          <w:sz w:val="24"/>
        </w:rPr>
        <w:t xml:space="preserve"> significance annotation</w:t>
      </w:r>
    </w:p>
    <w:p w14:paraId="577C1CBE" w14:textId="733FED41" w:rsidR="00290342" w:rsidRDefault="005B29BD">
      <w:pPr>
        <w:jc w:val="both"/>
      </w:pPr>
      <w:r w:rsidRPr="00C42BCB">
        <w:rPr>
          <w:rFonts w:ascii="Times New Roman" w:hAnsi="Times New Roman"/>
          <w:b/>
          <w:bCs/>
          <w:sz w:val="24"/>
        </w:rPr>
        <w:t>Dataset:</w:t>
      </w:r>
      <w:r>
        <w:rPr>
          <w:rFonts w:ascii="Times New Roman" w:hAnsi="Times New Roman"/>
          <w:sz w:val="24"/>
        </w:rPr>
        <w:t xml:space="preserve"> annotated_snv_data.csv contains the final feature matrix and labels used for model training and evaluation.</w:t>
      </w:r>
    </w:p>
    <w:p w14:paraId="4F679C15" w14:textId="77777777" w:rsidR="00290342" w:rsidRDefault="005B29BD">
      <w:pPr>
        <w:pStyle w:val="Heading2"/>
      </w:pPr>
      <w:r>
        <w:rPr>
          <w:rFonts w:ascii="Times New Roman" w:hAnsi="Times New Roman"/>
          <w:sz w:val="28"/>
        </w:rPr>
        <w:lastRenderedPageBreak/>
        <w:t>Pipeline Overview</w:t>
      </w:r>
    </w:p>
    <w:p w14:paraId="54DBC385" w14:textId="77777777" w:rsidR="00290342" w:rsidRDefault="005B29BD">
      <w:pPr>
        <w:pStyle w:val="ListNumber"/>
      </w:pPr>
      <w:r w:rsidRPr="00C42BCB">
        <w:rPr>
          <w:rFonts w:ascii="Times New Roman" w:hAnsi="Times New Roman"/>
          <w:b/>
          <w:bCs/>
          <w:sz w:val="24"/>
        </w:rPr>
        <w:t>Data loading and preprocessing</w:t>
      </w:r>
      <w:r>
        <w:rPr>
          <w:rFonts w:ascii="Times New Roman" w:hAnsi="Times New Roman"/>
          <w:sz w:val="24"/>
        </w:rPr>
        <w:t>: The annotated CSV is loaded, features are normalized, and data is split into training and test sets.</w:t>
      </w:r>
    </w:p>
    <w:p w14:paraId="0DE8A2C1" w14:textId="77777777" w:rsidR="00290342" w:rsidRDefault="005B29BD">
      <w:pPr>
        <w:pStyle w:val="ListNumber"/>
      </w:pPr>
      <w:r w:rsidRPr="00C42BCB">
        <w:rPr>
          <w:rFonts w:ascii="Times New Roman" w:hAnsi="Times New Roman"/>
          <w:b/>
          <w:bCs/>
          <w:sz w:val="24"/>
        </w:rPr>
        <w:t>Model architecture:</w:t>
      </w:r>
      <w:r>
        <w:rPr>
          <w:rFonts w:ascii="Times New Roman" w:hAnsi="Times New Roman"/>
          <w:sz w:val="24"/>
        </w:rPr>
        <w:t xml:space="preserve"> An artificial neural network (ANN) with two hidden layers (64 and 32 neurons, respectively), ReLU activations, and dropout layers (0.3 and 0.2) for regularization. The output layer uses a sigmoid activation for binary classification.</w:t>
      </w:r>
    </w:p>
    <w:p w14:paraId="30B88CFF" w14:textId="77777777" w:rsidR="00290342" w:rsidRDefault="005B29BD">
      <w:pPr>
        <w:pStyle w:val="ListNumber"/>
      </w:pPr>
      <w:r w:rsidRPr="00C42BCB">
        <w:rPr>
          <w:rFonts w:ascii="Times New Roman" w:hAnsi="Times New Roman"/>
          <w:b/>
          <w:bCs/>
          <w:sz w:val="24"/>
        </w:rPr>
        <w:t>Model training:</w:t>
      </w:r>
      <w:r>
        <w:rPr>
          <w:rFonts w:ascii="Times New Roman" w:hAnsi="Times New Roman"/>
          <w:sz w:val="24"/>
        </w:rPr>
        <w:t xml:space="preserve"> The model is trained using the Adam optimizer and binary cross-entropy loss. Early stopping is used to prevent overfitting.</w:t>
      </w:r>
    </w:p>
    <w:p w14:paraId="3305E608" w14:textId="77777777" w:rsidR="00290342" w:rsidRDefault="005B29BD">
      <w:pPr>
        <w:pStyle w:val="ListNumber"/>
      </w:pPr>
      <w:r w:rsidRPr="00C42BCB">
        <w:rPr>
          <w:rFonts w:ascii="Times New Roman" w:hAnsi="Times New Roman"/>
          <w:b/>
          <w:bCs/>
          <w:sz w:val="24"/>
        </w:rPr>
        <w:t>Evaluation:</w:t>
      </w:r>
      <w:r>
        <w:rPr>
          <w:rFonts w:ascii="Times New Roman" w:hAnsi="Times New Roman"/>
          <w:sz w:val="24"/>
        </w:rPr>
        <w:t xml:space="preserve"> Model performance is assessed using accuracy, precision, recall, F1-score, ROC AUC, and confusion matrix.</w:t>
      </w:r>
    </w:p>
    <w:p w14:paraId="0456A11E" w14:textId="77777777" w:rsidR="00290342" w:rsidRDefault="005B29BD">
      <w:pPr>
        <w:pStyle w:val="ListNumber"/>
      </w:pPr>
      <w:r w:rsidRPr="00C42BCB">
        <w:rPr>
          <w:rFonts w:ascii="Times New Roman" w:hAnsi="Times New Roman"/>
          <w:b/>
          <w:bCs/>
          <w:sz w:val="24"/>
        </w:rPr>
        <w:t>Visualization:</w:t>
      </w:r>
      <w:r>
        <w:rPr>
          <w:rFonts w:ascii="Times New Roman" w:hAnsi="Times New Roman"/>
          <w:sz w:val="24"/>
        </w:rPr>
        <w:t xml:space="preserve"> Training loss curve, confusion matrix plot, and ROC curve are generated to interpret model performance.</w:t>
      </w:r>
    </w:p>
    <w:p w14:paraId="0A6FB812" w14:textId="77777777" w:rsidR="00290342" w:rsidRDefault="005B29BD">
      <w:pPr>
        <w:pStyle w:val="Heading1"/>
      </w:pPr>
      <w:r>
        <w:rPr>
          <w:rFonts w:ascii="Times New Roman" w:hAnsi="Times New Roman"/>
          <w:sz w:val="32"/>
        </w:rPr>
        <w:t>Results</w:t>
      </w:r>
    </w:p>
    <w:p w14:paraId="7AF5388B" w14:textId="77777777" w:rsidR="00290342" w:rsidRDefault="005B29BD">
      <w:pPr>
        <w:pStyle w:val="Heading2"/>
      </w:pPr>
      <w:r>
        <w:rPr>
          <w:rFonts w:ascii="Times New Roman" w:hAnsi="Times New Roman"/>
          <w:sz w:val="28"/>
        </w:rPr>
        <w:t>Performance Metrics</w:t>
      </w:r>
    </w:p>
    <w:p w14:paraId="2C871A91" w14:textId="77777777" w:rsidR="00290342" w:rsidRDefault="005B29BD">
      <w:pPr>
        <w:jc w:val="both"/>
      </w:pPr>
      <w:r>
        <w:rPr>
          <w:rFonts w:ascii="Times New Roman" w:hAnsi="Times New Roman"/>
          <w:sz w:val="24"/>
        </w:rPr>
        <w:t>The model achieved the following metrics on the test set:</w:t>
      </w:r>
    </w:p>
    <w:tbl>
      <w:tblPr>
        <w:tblStyle w:val="TableGrid"/>
        <w:tblW w:w="0" w:type="auto"/>
        <w:tblLook w:val="04A0" w:firstRow="1" w:lastRow="0" w:firstColumn="1" w:lastColumn="0" w:noHBand="0" w:noVBand="1"/>
      </w:tblPr>
      <w:tblGrid>
        <w:gridCol w:w="1728"/>
        <w:gridCol w:w="1728"/>
        <w:gridCol w:w="1728"/>
        <w:gridCol w:w="1728"/>
        <w:gridCol w:w="1728"/>
      </w:tblGrid>
      <w:tr w:rsidR="00290342" w14:paraId="251F7341" w14:textId="77777777">
        <w:tc>
          <w:tcPr>
            <w:tcW w:w="1728" w:type="dxa"/>
          </w:tcPr>
          <w:p w14:paraId="56130012" w14:textId="77777777" w:rsidR="00290342" w:rsidRDefault="005B29BD">
            <w:r>
              <w:rPr>
                <w:rFonts w:ascii="Times New Roman" w:hAnsi="Times New Roman"/>
                <w:sz w:val="24"/>
              </w:rPr>
              <w:t>Accuracy</w:t>
            </w:r>
          </w:p>
        </w:tc>
        <w:tc>
          <w:tcPr>
            <w:tcW w:w="1728" w:type="dxa"/>
          </w:tcPr>
          <w:p w14:paraId="31F692C0" w14:textId="77777777" w:rsidR="00290342" w:rsidRDefault="005B29BD">
            <w:r>
              <w:rPr>
                <w:rFonts w:ascii="Times New Roman" w:hAnsi="Times New Roman"/>
                <w:sz w:val="24"/>
              </w:rPr>
              <w:t>Precision</w:t>
            </w:r>
          </w:p>
        </w:tc>
        <w:tc>
          <w:tcPr>
            <w:tcW w:w="1728" w:type="dxa"/>
          </w:tcPr>
          <w:p w14:paraId="5B688BEB" w14:textId="77777777" w:rsidR="00290342" w:rsidRDefault="005B29BD">
            <w:r>
              <w:rPr>
                <w:rFonts w:ascii="Times New Roman" w:hAnsi="Times New Roman"/>
                <w:sz w:val="24"/>
              </w:rPr>
              <w:t>Recall</w:t>
            </w:r>
          </w:p>
        </w:tc>
        <w:tc>
          <w:tcPr>
            <w:tcW w:w="1728" w:type="dxa"/>
          </w:tcPr>
          <w:p w14:paraId="54CC8ABD" w14:textId="77777777" w:rsidR="00290342" w:rsidRDefault="005B29BD">
            <w:r>
              <w:rPr>
                <w:rFonts w:ascii="Times New Roman" w:hAnsi="Times New Roman"/>
                <w:sz w:val="24"/>
              </w:rPr>
              <w:t>F1-score</w:t>
            </w:r>
          </w:p>
        </w:tc>
        <w:tc>
          <w:tcPr>
            <w:tcW w:w="1728" w:type="dxa"/>
          </w:tcPr>
          <w:p w14:paraId="45F362BB" w14:textId="77777777" w:rsidR="00290342" w:rsidRDefault="005B29BD">
            <w:r>
              <w:rPr>
                <w:rFonts w:ascii="Times New Roman" w:hAnsi="Times New Roman"/>
                <w:sz w:val="24"/>
              </w:rPr>
              <w:t>ROC AUC</w:t>
            </w:r>
          </w:p>
        </w:tc>
      </w:tr>
      <w:tr w:rsidR="00290342" w14:paraId="04EDE90A" w14:textId="77777777">
        <w:tc>
          <w:tcPr>
            <w:tcW w:w="1728" w:type="dxa"/>
          </w:tcPr>
          <w:p w14:paraId="42955DDA" w14:textId="77777777" w:rsidR="00290342" w:rsidRDefault="005B29BD">
            <w:r>
              <w:rPr>
                <w:rFonts w:ascii="Times New Roman" w:hAnsi="Times New Roman"/>
                <w:sz w:val="24"/>
              </w:rPr>
              <w:t>0.87</w:t>
            </w:r>
          </w:p>
        </w:tc>
        <w:tc>
          <w:tcPr>
            <w:tcW w:w="1728" w:type="dxa"/>
          </w:tcPr>
          <w:p w14:paraId="773E5AD8" w14:textId="77777777" w:rsidR="00290342" w:rsidRDefault="005B29BD">
            <w:r>
              <w:rPr>
                <w:rFonts w:ascii="Times New Roman" w:hAnsi="Times New Roman"/>
                <w:sz w:val="24"/>
              </w:rPr>
              <w:t>0.85</w:t>
            </w:r>
          </w:p>
        </w:tc>
        <w:tc>
          <w:tcPr>
            <w:tcW w:w="1728" w:type="dxa"/>
          </w:tcPr>
          <w:p w14:paraId="2E300AD4" w14:textId="77777777" w:rsidR="00290342" w:rsidRDefault="005B29BD">
            <w:r>
              <w:rPr>
                <w:rFonts w:ascii="Times New Roman" w:hAnsi="Times New Roman"/>
                <w:sz w:val="24"/>
              </w:rPr>
              <w:t>0.88</w:t>
            </w:r>
          </w:p>
        </w:tc>
        <w:tc>
          <w:tcPr>
            <w:tcW w:w="1728" w:type="dxa"/>
          </w:tcPr>
          <w:p w14:paraId="041C3253" w14:textId="77777777" w:rsidR="00290342" w:rsidRDefault="005B29BD">
            <w:r>
              <w:rPr>
                <w:rFonts w:ascii="Times New Roman" w:hAnsi="Times New Roman"/>
                <w:sz w:val="24"/>
              </w:rPr>
              <w:t>0.86</w:t>
            </w:r>
          </w:p>
        </w:tc>
        <w:tc>
          <w:tcPr>
            <w:tcW w:w="1728" w:type="dxa"/>
          </w:tcPr>
          <w:p w14:paraId="48C33C52" w14:textId="77777777" w:rsidR="00290342" w:rsidRDefault="005B29BD">
            <w:r>
              <w:rPr>
                <w:rFonts w:ascii="Times New Roman" w:hAnsi="Times New Roman"/>
                <w:sz w:val="24"/>
              </w:rPr>
              <w:t>0.92</w:t>
            </w:r>
          </w:p>
        </w:tc>
      </w:tr>
    </w:tbl>
    <w:p w14:paraId="3611D08B" w14:textId="77777777" w:rsidR="00290342" w:rsidRDefault="00290342"/>
    <w:p w14:paraId="5884F761" w14:textId="77777777" w:rsidR="00290342" w:rsidRDefault="005B29BD">
      <w:pPr>
        <w:pStyle w:val="Heading1"/>
      </w:pPr>
      <w:r>
        <w:rPr>
          <w:rFonts w:ascii="Times New Roman" w:hAnsi="Times New Roman"/>
          <w:sz w:val="32"/>
        </w:rPr>
        <w:t>Visualizations</w:t>
      </w:r>
    </w:p>
    <w:p w14:paraId="001323DA" w14:textId="77777777" w:rsidR="00290342" w:rsidRDefault="005B29BD">
      <w:pPr>
        <w:jc w:val="center"/>
      </w:pPr>
      <w:r>
        <w:rPr>
          <w:noProof/>
        </w:rPr>
        <w:drawing>
          <wp:inline distT="0" distB="0" distL="0" distR="0" wp14:anchorId="03B5F2D6" wp14:editId="7631A21A">
            <wp:extent cx="41148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loss.png"/>
                    <pic:cNvPicPr/>
                  </pic:nvPicPr>
                  <pic:blipFill>
                    <a:blip r:embed="rId6"/>
                    <a:stretch>
                      <a:fillRect/>
                    </a:stretch>
                  </pic:blipFill>
                  <pic:spPr>
                    <a:xfrm>
                      <a:off x="0" y="0"/>
                      <a:ext cx="4114800" cy="2571750"/>
                    </a:xfrm>
                    <a:prstGeom prst="rect">
                      <a:avLst/>
                    </a:prstGeom>
                  </pic:spPr>
                </pic:pic>
              </a:graphicData>
            </a:graphic>
          </wp:inline>
        </w:drawing>
      </w:r>
    </w:p>
    <w:p w14:paraId="0DFB98A6" w14:textId="562E3072" w:rsidR="00290342" w:rsidRDefault="005B29BD" w:rsidP="005B29BD">
      <w:pPr>
        <w:jc w:val="center"/>
      </w:pPr>
      <w:r>
        <w:rPr>
          <w:rFonts w:ascii="Times New Roman" w:hAnsi="Times New Roman"/>
          <w:i/>
        </w:rPr>
        <w:t>Figure 1: Training loss curve. A decreasing loss indicates effective learning, while a plateau or increase may suggest overfitting or underfitting.</w:t>
      </w:r>
    </w:p>
    <w:p w14:paraId="081BD048" w14:textId="77777777" w:rsidR="00290342" w:rsidRDefault="00290342"/>
    <w:p w14:paraId="2E120192" w14:textId="77777777" w:rsidR="00290342" w:rsidRDefault="005B29BD">
      <w:pPr>
        <w:jc w:val="center"/>
      </w:pPr>
      <w:r>
        <w:rPr>
          <w:noProof/>
        </w:rPr>
        <w:drawing>
          <wp:inline distT="0" distB="0" distL="0" distR="0" wp14:anchorId="6924BFA5" wp14:editId="41D9150D">
            <wp:extent cx="4114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png"/>
                    <pic:cNvPicPr/>
                  </pic:nvPicPr>
                  <pic:blipFill>
                    <a:blip r:embed="rId7"/>
                    <a:stretch>
                      <a:fillRect/>
                    </a:stretch>
                  </pic:blipFill>
                  <pic:spPr>
                    <a:xfrm>
                      <a:off x="0" y="0"/>
                      <a:ext cx="4114800" cy="4114800"/>
                    </a:xfrm>
                    <a:prstGeom prst="rect">
                      <a:avLst/>
                    </a:prstGeom>
                  </pic:spPr>
                </pic:pic>
              </a:graphicData>
            </a:graphic>
          </wp:inline>
        </w:drawing>
      </w:r>
    </w:p>
    <w:p w14:paraId="03D30659" w14:textId="77777777" w:rsidR="00290342" w:rsidRDefault="005B29BD">
      <w:pPr>
        <w:jc w:val="center"/>
      </w:pPr>
      <w:r>
        <w:rPr>
          <w:rFonts w:ascii="Times New Roman" w:hAnsi="Times New Roman"/>
          <w:i/>
        </w:rPr>
        <w:t>Figure 3: ROC curve. The ROC curve illustrates the trade-off between sensitivity and specificity. A curve closer to the top-left corner and a higher AUC value indicate better model performance.</w:t>
      </w:r>
    </w:p>
    <w:p w14:paraId="51A742AC" w14:textId="77777777" w:rsidR="00290342" w:rsidRDefault="00290342"/>
    <w:p w14:paraId="18B59F1F" w14:textId="77777777" w:rsidR="00290342" w:rsidRDefault="005B29BD">
      <w:pPr>
        <w:pStyle w:val="Heading1"/>
      </w:pPr>
      <w:r>
        <w:rPr>
          <w:rFonts w:ascii="Times New Roman" w:hAnsi="Times New Roman"/>
          <w:sz w:val="32"/>
        </w:rPr>
        <w:t>Conclusion</w:t>
      </w:r>
    </w:p>
    <w:p w14:paraId="0AA62B8D" w14:textId="77777777" w:rsidR="00290342" w:rsidRDefault="005B29BD">
      <w:pPr>
        <w:jc w:val="both"/>
      </w:pPr>
      <w:r>
        <w:rPr>
          <w:rFonts w:ascii="Times New Roman" w:hAnsi="Times New Roman"/>
          <w:sz w:val="24"/>
        </w:rPr>
        <w:t>This SNV Deep Learning Pipeline provides a robust, automated, and interpretable approach to SNV classification. The modular design allows for easy extension, such as incorporating additional features or advanced neural architectures. The visual outputs facilitate model interpretation and communication of results.</w:t>
      </w:r>
      <w:r>
        <w:rPr>
          <w:rFonts w:ascii="Times New Roman" w:hAnsi="Times New Roman"/>
          <w:sz w:val="24"/>
        </w:rPr>
        <w:br/>
        <w:t>Future work: Integrating more genomic features, experimenting with advanced models, and deploying the pipeline for clinical or research use.</w:t>
      </w:r>
    </w:p>
    <w:p w14:paraId="1BC72433" w14:textId="2EC994FD" w:rsidR="00290342" w:rsidRDefault="00290342">
      <w:pPr>
        <w:jc w:val="both"/>
      </w:pPr>
    </w:p>
    <w:sectPr w:rsidR="002903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258407">
    <w:abstractNumId w:val="8"/>
  </w:num>
  <w:num w:numId="2" w16cid:durableId="919951124">
    <w:abstractNumId w:val="6"/>
  </w:num>
  <w:num w:numId="3" w16cid:durableId="524490365">
    <w:abstractNumId w:val="5"/>
  </w:num>
  <w:num w:numId="4" w16cid:durableId="281620112">
    <w:abstractNumId w:val="4"/>
  </w:num>
  <w:num w:numId="5" w16cid:durableId="1583761983">
    <w:abstractNumId w:val="7"/>
  </w:num>
  <w:num w:numId="6" w16cid:durableId="1620449174">
    <w:abstractNumId w:val="3"/>
  </w:num>
  <w:num w:numId="7" w16cid:durableId="410322590">
    <w:abstractNumId w:val="2"/>
  </w:num>
  <w:num w:numId="8" w16cid:durableId="516506686">
    <w:abstractNumId w:val="1"/>
  </w:num>
  <w:num w:numId="9" w16cid:durableId="5415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342"/>
    <w:rsid w:val="0029639D"/>
    <w:rsid w:val="00326F90"/>
    <w:rsid w:val="005B29BD"/>
    <w:rsid w:val="00643FE6"/>
    <w:rsid w:val="00AA1D8D"/>
    <w:rsid w:val="00B47730"/>
    <w:rsid w:val="00C42B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AB685FE-02DF-43BE-B2DD-227509B9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Eman Fatima</cp:lastModifiedBy>
  <cp:revision>3</cp:revision>
  <dcterms:created xsi:type="dcterms:W3CDTF">2013-12-23T23:15:00Z</dcterms:created>
  <dcterms:modified xsi:type="dcterms:W3CDTF">2025-07-16T19:28:00Z</dcterms:modified>
  <cp:category/>
</cp:coreProperties>
</file>