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28C" w:rsidRPr="001F528C" w:rsidRDefault="001F528C" w:rsidP="001F52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ind w:left="0"/>
        <w:jc w:val="both"/>
        <w:rPr>
          <w:rFonts w:asciiTheme="majorHAnsi" w:hAnsiTheme="majorHAnsi" w:cs="CMR10"/>
          <w:b/>
          <w:bCs/>
          <w:color w:val="000000"/>
          <w:u w:val="single"/>
        </w:rPr>
      </w:pPr>
      <w:r w:rsidRPr="001F528C">
        <w:rPr>
          <w:rFonts w:asciiTheme="majorHAnsi" w:hAnsiTheme="majorHAnsi" w:cs="CMR10"/>
          <w:b/>
          <w:bCs/>
          <w:color w:val="000000"/>
          <w:u w:val="single"/>
        </w:rPr>
        <w:t>Customer Engagem</w:t>
      </w:r>
      <w:r w:rsidRPr="001F528C">
        <w:rPr>
          <w:rFonts w:asciiTheme="majorHAnsi" w:hAnsiTheme="majorHAnsi" w:cs="CMR10"/>
          <w:b/>
          <w:bCs/>
          <w:color w:val="000000"/>
          <w:u w:val="single"/>
        </w:rPr>
        <w:t>ent Value:</w:t>
      </w:r>
    </w:p>
    <w:p w:rsidR="00995BC6" w:rsidRPr="00995BC6" w:rsidRDefault="00995BC6" w:rsidP="00995BC6">
      <w:p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  <w:r w:rsidRPr="00995BC6">
        <w:rPr>
          <w:rFonts w:asciiTheme="majorHAnsi" w:hAnsiTheme="majorHAnsi" w:cs="CMR10"/>
          <w:color w:val="000000"/>
        </w:rPr>
        <w:t>Customer Engagement Value (CEV) is a comprehensive term that measures a customer's</w:t>
      </w:r>
      <w:r>
        <w:rPr>
          <w:rFonts w:asciiTheme="majorHAnsi" w:hAnsiTheme="majorHAnsi" w:cs="CMR10"/>
          <w:color w:val="000000"/>
        </w:rPr>
        <w:t xml:space="preserve"> total engagement within a fi</w:t>
      </w:r>
      <w:r w:rsidRPr="00995BC6">
        <w:rPr>
          <w:rFonts w:asciiTheme="majorHAnsi" w:hAnsiTheme="majorHAnsi" w:cs="CMR10"/>
          <w:color w:val="000000"/>
        </w:rPr>
        <w:t>rm in direct marketing. It captures both the transactional</w:t>
      </w:r>
      <w:r>
        <w:rPr>
          <w:rFonts w:asciiTheme="majorHAnsi" w:hAnsiTheme="majorHAnsi" w:cs="CMR10"/>
          <w:color w:val="000000"/>
        </w:rPr>
        <w:t xml:space="preserve"> </w:t>
      </w:r>
      <w:r w:rsidRPr="00995BC6">
        <w:rPr>
          <w:rFonts w:asciiTheme="majorHAnsi" w:hAnsiTheme="majorHAnsi" w:cs="CMR10"/>
          <w:color w:val="000000"/>
        </w:rPr>
        <w:t>(i.e., Purchasing behavior), and non-transactional (i.e., non-purchasing behavior) of a</w:t>
      </w:r>
      <w:r>
        <w:rPr>
          <w:rFonts w:asciiTheme="majorHAnsi" w:hAnsiTheme="majorHAnsi" w:cs="CMR10"/>
          <w:color w:val="000000"/>
        </w:rPr>
        <w:t xml:space="preserve"> </w:t>
      </w:r>
      <w:r w:rsidRPr="00995BC6">
        <w:rPr>
          <w:rFonts w:asciiTheme="majorHAnsi" w:hAnsiTheme="majorHAnsi" w:cs="CMR10"/>
          <w:color w:val="000000"/>
        </w:rPr>
        <w:t>customer. Consequently, it consists of four main components; Customer Lifetime Value</w:t>
      </w:r>
      <w:r>
        <w:rPr>
          <w:rFonts w:asciiTheme="majorHAnsi" w:hAnsiTheme="majorHAnsi" w:cs="CMR10"/>
          <w:color w:val="000000"/>
        </w:rPr>
        <w:t xml:space="preserve"> </w:t>
      </w:r>
      <w:r w:rsidRPr="00995BC6">
        <w:rPr>
          <w:rFonts w:asciiTheme="majorHAnsi" w:hAnsiTheme="majorHAnsi" w:cs="CMR10"/>
          <w:color w:val="000000"/>
        </w:rPr>
        <w:t>(i.e., CLV) that measures purchasing behavior of a customer. Three other components</w:t>
      </w:r>
      <w:r>
        <w:rPr>
          <w:rFonts w:asciiTheme="majorHAnsi" w:hAnsiTheme="majorHAnsi" w:cs="CMR10"/>
          <w:color w:val="000000"/>
        </w:rPr>
        <w:t xml:space="preserve"> </w:t>
      </w:r>
      <w:r w:rsidRPr="00995BC6">
        <w:rPr>
          <w:rFonts w:asciiTheme="majorHAnsi" w:hAnsiTheme="majorHAnsi" w:cs="CMR10"/>
          <w:color w:val="000000"/>
        </w:rPr>
        <w:t>capture customer's non-purchasing behavior (i.e., Customer Referral Value (i.e., CRV),</w:t>
      </w:r>
    </w:p>
    <w:p w:rsidR="00995BC6" w:rsidRDefault="00995BC6" w:rsidP="00995BC6">
      <w:p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  <w:r w:rsidRPr="00995BC6">
        <w:rPr>
          <w:rFonts w:asciiTheme="majorHAnsi" w:hAnsiTheme="majorHAnsi" w:cs="CMR10"/>
          <w:color w:val="000000"/>
        </w:rPr>
        <w:t>Customer In</w:t>
      </w:r>
      <w:r>
        <w:rPr>
          <w:rFonts w:asciiTheme="majorHAnsi" w:hAnsiTheme="majorHAnsi" w:cs="CMR10"/>
          <w:color w:val="000000"/>
        </w:rPr>
        <w:t>fl</w:t>
      </w:r>
      <w:r w:rsidRPr="00995BC6">
        <w:rPr>
          <w:rFonts w:asciiTheme="majorHAnsi" w:hAnsiTheme="majorHAnsi" w:cs="CMR10"/>
          <w:color w:val="000000"/>
        </w:rPr>
        <w:t>uencer Value (i.e., CIV), and Customer Knowledge Value (i.e., CKV)).</w:t>
      </w:r>
    </w:p>
    <w:p w:rsidR="00995BC6" w:rsidRPr="00995BC6" w:rsidRDefault="00995BC6" w:rsidP="00995BC6">
      <w:p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</w:p>
    <w:p w:rsidR="00995BC6" w:rsidRDefault="00995BC6" w:rsidP="00A74ECA">
      <w:p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  <w:r w:rsidRPr="00995BC6">
        <w:rPr>
          <w:rFonts w:asciiTheme="majorHAnsi" w:hAnsiTheme="majorHAnsi" w:cs="CMR10"/>
          <w:color w:val="000000"/>
        </w:rPr>
        <w:t>CEV and its components are presented in Figure-</w:t>
      </w:r>
      <w:r w:rsidRPr="00995BC6">
        <w:rPr>
          <w:rFonts w:asciiTheme="majorHAnsi" w:hAnsiTheme="majorHAnsi" w:cs="CMR10"/>
          <w:color w:val="0000FF"/>
        </w:rPr>
        <w:t xml:space="preserve">1.1 </w:t>
      </w:r>
      <w:r w:rsidRPr="00995BC6">
        <w:rPr>
          <w:rFonts w:asciiTheme="majorHAnsi" w:hAnsiTheme="majorHAnsi" w:cs="CMR10"/>
          <w:color w:val="000000"/>
        </w:rPr>
        <w:t>and the following subsections illustrate</w:t>
      </w:r>
      <w:r w:rsidR="00A74ECA">
        <w:rPr>
          <w:rFonts w:asciiTheme="majorHAnsi" w:hAnsiTheme="majorHAnsi" w:cs="CMR10"/>
          <w:color w:val="000000"/>
        </w:rPr>
        <w:t xml:space="preserve"> </w:t>
      </w:r>
      <w:bookmarkStart w:id="0" w:name="_GoBack"/>
      <w:bookmarkEnd w:id="0"/>
      <w:r w:rsidRPr="00995BC6">
        <w:rPr>
          <w:rFonts w:asciiTheme="majorHAnsi" w:hAnsiTheme="majorHAnsi" w:cs="CMR10"/>
          <w:color w:val="000000"/>
        </w:rPr>
        <w:t>these components in more detail.</w:t>
      </w:r>
      <w:r>
        <w:rPr>
          <w:rFonts w:asciiTheme="majorHAnsi" w:hAnsiTheme="majorHAnsi" w:cs="CMR10"/>
          <w:color w:val="000000"/>
        </w:rPr>
        <w:t xml:space="preserve"> </w:t>
      </w:r>
    </w:p>
    <w:p w:rsidR="00995BC6" w:rsidRDefault="00995BC6" w:rsidP="00995BC6">
      <w:pPr>
        <w:spacing w:line="480" w:lineRule="auto"/>
        <w:jc w:val="both"/>
        <w:rPr>
          <w:rFonts w:asciiTheme="majorHAnsi" w:hAnsiTheme="majorHAnsi" w:cs="CMR10"/>
          <w:color w:val="000000"/>
        </w:rPr>
      </w:pPr>
    </w:p>
    <w:p w:rsidR="00995BC6" w:rsidRDefault="00995BC6" w:rsidP="00995BC6">
      <w:pPr>
        <w:spacing w:line="480" w:lineRule="auto"/>
        <w:jc w:val="center"/>
        <w:rPr>
          <w:rFonts w:asciiTheme="majorHAnsi" w:hAnsiTheme="majorHAnsi" w:cs="CMR10"/>
          <w:color w:val="000000"/>
        </w:rPr>
      </w:pPr>
      <w:r>
        <w:rPr>
          <w:noProof/>
        </w:rPr>
        <w:drawing>
          <wp:inline distT="0" distB="0" distL="0" distR="0" wp14:anchorId="3E6A3617" wp14:editId="6E9CEBF3">
            <wp:extent cx="2880360" cy="22831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28" cy="22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C6" w:rsidRDefault="00995BC6" w:rsidP="00995BC6">
      <w:p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</w:p>
    <w:p w:rsidR="00995BC6" w:rsidRPr="00995BC6" w:rsidRDefault="00995BC6" w:rsidP="00995BC6">
      <w:p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  <w:r w:rsidRPr="00995BC6">
        <w:rPr>
          <w:rFonts w:asciiTheme="majorHAnsi" w:hAnsiTheme="majorHAnsi" w:cs="CMR10"/>
          <w:color w:val="000000"/>
        </w:rPr>
        <w:t>There are many benefi</w:t>
      </w:r>
      <w:r w:rsidRPr="00995BC6">
        <w:rPr>
          <w:rFonts w:asciiTheme="majorHAnsi" w:hAnsiTheme="majorHAnsi" w:cs="CMR10"/>
          <w:color w:val="000000"/>
        </w:rPr>
        <w:t xml:space="preserve">ts for companies to make use of CEV. </w:t>
      </w:r>
    </w:p>
    <w:p w:rsidR="00995BC6" w:rsidRPr="00995BC6" w:rsidRDefault="00995BC6" w:rsidP="0099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  <w:r w:rsidRPr="00995BC6">
        <w:rPr>
          <w:rFonts w:asciiTheme="majorHAnsi" w:hAnsiTheme="majorHAnsi" w:cs="CMR10"/>
          <w:color w:val="000000"/>
        </w:rPr>
        <w:t>It bonds the relationship</w:t>
      </w:r>
      <w:r w:rsidRPr="00995BC6">
        <w:rPr>
          <w:rFonts w:asciiTheme="majorHAnsi" w:hAnsiTheme="majorHAnsi" w:cs="CMR10"/>
          <w:color w:val="000000"/>
        </w:rPr>
        <w:t xml:space="preserve"> between fi</w:t>
      </w:r>
      <w:r w:rsidRPr="00995BC6">
        <w:rPr>
          <w:rFonts w:asciiTheme="majorHAnsi" w:hAnsiTheme="majorHAnsi" w:cs="CMR10"/>
          <w:color w:val="000000"/>
        </w:rPr>
        <w:t>rms and their customers who are promoted to be engaged customers who work</w:t>
      </w:r>
      <w:r w:rsidRPr="00995BC6">
        <w:rPr>
          <w:rFonts w:asciiTheme="majorHAnsi" w:hAnsiTheme="majorHAnsi" w:cs="CMR10"/>
          <w:color w:val="000000"/>
        </w:rPr>
        <w:t xml:space="preserve"> </w:t>
      </w:r>
      <w:r w:rsidRPr="00995BC6">
        <w:rPr>
          <w:rFonts w:asciiTheme="majorHAnsi" w:hAnsiTheme="majorHAnsi" w:cs="CMR10"/>
          <w:color w:val="000000"/>
        </w:rPr>
        <w:t>w</w:t>
      </w:r>
      <w:r w:rsidRPr="00995BC6">
        <w:rPr>
          <w:rFonts w:asciiTheme="majorHAnsi" w:hAnsiTheme="majorHAnsi" w:cs="CMR10"/>
          <w:color w:val="000000"/>
        </w:rPr>
        <w:t>ith a fi</w:t>
      </w:r>
      <w:r w:rsidRPr="00995BC6">
        <w:rPr>
          <w:rFonts w:asciiTheme="majorHAnsi" w:hAnsiTheme="majorHAnsi" w:cs="CMR10"/>
          <w:color w:val="000000"/>
        </w:rPr>
        <w:t>rm as advocates.</w:t>
      </w:r>
    </w:p>
    <w:p w:rsidR="00995BC6" w:rsidRPr="00995BC6" w:rsidRDefault="00995BC6" w:rsidP="00995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  <w:r w:rsidRPr="00995BC6">
        <w:rPr>
          <w:rFonts w:asciiTheme="majorHAnsi" w:hAnsiTheme="majorHAnsi" w:cs="CMR10"/>
          <w:color w:val="000000"/>
        </w:rPr>
        <w:lastRenderedPageBreak/>
        <w:t xml:space="preserve">It </w:t>
      </w:r>
      <w:r w:rsidRPr="00995BC6">
        <w:rPr>
          <w:rFonts w:asciiTheme="majorHAnsi" w:hAnsiTheme="majorHAnsi" w:cs="CMR10"/>
          <w:color w:val="000000"/>
        </w:rPr>
        <w:t>increases customer loyalty, satisfaction, positive word</w:t>
      </w:r>
      <w:r w:rsidRPr="00995BC6">
        <w:rPr>
          <w:rFonts w:asciiTheme="majorHAnsi" w:hAnsiTheme="majorHAnsi" w:cs="CMR10"/>
          <w:color w:val="000000"/>
        </w:rPr>
        <w:t xml:space="preserve"> </w:t>
      </w:r>
      <w:r w:rsidRPr="00995BC6">
        <w:rPr>
          <w:rFonts w:asciiTheme="majorHAnsi" w:hAnsiTheme="majorHAnsi" w:cs="CMR10"/>
          <w:color w:val="000000"/>
        </w:rPr>
        <w:t xml:space="preserve">of mouth, purchases, and consequently, enhances the </w:t>
      </w:r>
      <w:r w:rsidRPr="00995BC6">
        <w:rPr>
          <w:rFonts w:asciiTheme="majorHAnsi" w:hAnsiTheme="majorHAnsi" w:cs="CMR10"/>
          <w:color w:val="000000"/>
        </w:rPr>
        <w:t>fi</w:t>
      </w:r>
      <w:r w:rsidRPr="00995BC6">
        <w:rPr>
          <w:rFonts w:asciiTheme="majorHAnsi" w:hAnsiTheme="majorHAnsi" w:cs="CMR10"/>
          <w:color w:val="000000"/>
        </w:rPr>
        <w:t>rm's image, and reputation.</w:t>
      </w:r>
    </w:p>
    <w:p w:rsidR="00995BC6" w:rsidRPr="001F528C" w:rsidRDefault="00995BC6" w:rsidP="001F52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Theme="majorHAnsi" w:hAnsiTheme="majorHAnsi" w:cs="CMR10"/>
          <w:color w:val="000000"/>
        </w:rPr>
      </w:pPr>
      <w:r w:rsidRPr="001F528C">
        <w:rPr>
          <w:rFonts w:asciiTheme="majorHAnsi" w:hAnsiTheme="majorHAnsi" w:cs="CMR10"/>
          <w:color w:val="000000"/>
        </w:rPr>
        <w:t>It helps in increasing a firm's profi</w:t>
      </w:r>
      <w:r w:rsidRPr="001F528C">
        <w:rPr>
          <w:rFonts w:asciiTheme="majorHAnsi" w:hAnsiTheme="majorHAnsi" w:cs="CMR10"/>
          <w:color w:val="000000"/>
        </w:rPr>
        <w:t>ts, and market share.</w:t>
      </w:r>
    </w:p>
    <w:p w:rsidR="00995BC6" w:rsidRPr="00995BC6" w:rsidRDefault="00995BC6" w:rsidP="00995BC6">
      <w:pPr>
        <w:spacing w:line="480" w:lineRule="auto"/>
        <w:jc w:val="both"/>
        <w:rPr>
          <w:rFonts w:asciiTheme="majorHAnsi" w:hAnsiTheme="majorHAnsi" w:cs="CMR10"/>
          <w:color w:val="000000"/>
        </w:rPr>
      </w:pPr>
    </w:p>
    <w:p w:rsidR="00995BC6" w:rsidRPr="00995BC6" w:rsidRDefault="00995BC6" w:rsidP="00995BC6">
      <w:pPr>
        <w:spacing w:line="480" w:lineRule="auto"/>
        <w:jc w:val="both"/>
        <w:rPr>
          <w:rFonts w:asciiTheme="majorHAnsi" w:hAnsiTheme="majorHAnsi"/>
        </w:rPr>
      </w:pPr>
    </w:p>
    <w:sectPr w:rsidR="00995BC6" w:rsidRPr="0099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0E2D"/>
    <w:multiLevelType w:val="hybridMultilevel"/>
    <w:tmpl w:val="FDFE9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E42"/>
    <w:multiLevelType w:val="hybridMultilevel"/>
    <w:tmpl w:val="5CD4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F6D35"/>
    <w:multiLevelType w:val="hybridMultilevel"/>
    <w:tmpl w:val="3DDEF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61252"/>
    <w:multiLevelType w:val="hybridMultilevel"/>
    <w:tmpl w:val="0786E68C"/>
    <w:lvl w:ilvl="0" w:tplc="B6F0BF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32544"/>
    <w:multiLevelType w:val="hybridMultilevel"/>
    <w:tmpl w:val="1322473E"/>
    <w:lvl w:ilvl="0" w:tplc="B6F0BF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N7ewMDc1MzG0MLZQ0lEKTi0uzszPAykwrAUAFIsE3CwAAAA="/>
  </w:docVars>
  <w:rsids>
    <w:rsidRoot w:val="00995BC6"/>
    <w:rsid w:val="001F528C"/>
    <w:rsid w:val="00904A21"/>
    <w:rsid w:val="00995BC6"/>
    <w:rsid w:val="00A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CFB0"/>
  <w15:chartTrackingRefBased/>
  <w15:docId w15:val="{6EDAB3C2-011C-4C95-B95D-928BA100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3</cp:revision>
  <dcterms:created xsi:type="dcterms:W3CDTF">2022-03-11T13:11:00Z</dcterms:created>
  <dcterms:modified xsi:type="dcterms:W3CDTF">2022-03-11T13:22:00Z</dcterms:modified>
</cp:coreProperties>
</file>