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COMMERCIAL BLUEPRINT &amp; INVESTMENT MEMORANDUM — REVISION 2</w:t>
      </w:r>
    </w:p>
    <w:p>
      <w:pPr>
        <w:spacing w:after="60"/>
      </w:pPr>
      <w:r>
        <w:rPr>
          <w:b/>
          <w:bCs/>
          <w:color w:val="1F3864"/>
          <w:sz w:val="40"/>
          <w:szCs w:val="40"/>
        </w:rPr>
        <w:t xml:space="preserve">TradePulse AI: Trade Compliance &amp; Automation Platform</w:t>
      </w:r>
    </w:p>
    <w:p>
      <w:pPr>
        <w:spacing w:after="60"/>
      </w:pPr>
      <w:r>
        <w:rPr>
          <w:i/>
          <w:iCs/>
          <w:color w:val="595959"/>
          <w:sz w:val="20"/>
          <w:szCs w:val="20"/>
        </w:rPr>
        <w:t xml:space="preserve">Formerly "ICUMS Copilot" — Codename retained: TradePulse AI</w:t>
      </w:r>
    </w:p>
    <w:p>
      <w:pPr>
        <w:spacing w:after="300"/>
      </w:pPr>
      <w:r>
        <w:rPr>
          <w:color w:val="595959"/>
          <w:sz w:val="20"/>
          <w:szCs w:val="20"/>
        </w:rPr>
        <w:t xml:space="preserve">Ghana Pilot Market → West African Single-Window Expansion   |   Document Date: August 2026</w:t>
      </w:r>
    </w:p>
    <w:p>
      <w:pPr>
        <w:pBdr>
          <w:bottom w:val="single" w:color="BFBFBF" w:sz="6" w:space="1"/>
        </w:pBdr>
        <w:spacing w:after="200" w:before="100"/>
      </w:pPr>
      <w:r>
        <w:t xml:space="preserve"/>
      </w:r>
    </w:p>
    <w:p>
      <w:pPr>
        <w:pStyle w:val="Heading1"/>
        <w:spacing w:after="200" w:before="400"/>
      </w:pPr>
      <w:r>
        <w:rPr>
          <w:b/>
          <w:bCs/>
          <w:color w:val="1F3864"/>
          <w:sz w:val="30"/>
          <w:szCs w:val="30"/>
        </w:rPr>
        <w:t xml:space="preserve">0. Revision Summary — What Changed and Why</w:t>
      </w:r>
    </w:p>
    <w:p>
      <w:pPr>
        <w:spacing w:after="160" w:line="276"/>
      </w:pPr>
      <w:r>
        <w:rPr>
          <w:sz w:val="21"/>
          <w:szCs w:val="21"/>
        </w:rPr>
        <w:t xml:space="preserve">This revision corrects three structural weaknesses identified in v1 that would have blocked funding, licensing, or acquisition: an unauthorized-access legal exposure, a monetization ceiling too low to justify a meaningful valuation, and a single-country dependency. Nothing about the product's core value proposition changed — only how it is delivered and what it is worth.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c>
          <w:tcPr>
            <w:tcW w:type="dxa" w:w="2200"/>
            <w:shd w:fill="1F3864" w:color="auto" w:val="clear"/>
            <w:tcMar>
              <w:top w:type="dxa" w:w="100"/>
              <w:left w:type="dxa" w:w="120"/>
              <w:bottom w:type="dxa" w:w="100"/>
              <w:right w:type="dxa" w:w="120"/>
            </w:tcMar>
          </w:tcPr>
          <w:p>
            <w:r>
              <w:rPr>
                <w:b/>
                <w:bCs/>
                <w:color w:val="FFFFFF"/>
                <w:sz w:val="19"/>
                <w:szCs w:val="19"/>
              </w:rPr>
              <w:t xml:space="preserve">Area</w:t>
            </w:r>
          </w:p>
        </w:tc>
        <w:tc>
          <w:tcPr>
            <w:tcW w:type="dxa" w:w="3600"/>
            <w:shd w:fill="1F3864" w:color="auto" w:val="clear"/>
            <w:tcMar>
              <w:top w:type="dxa" w:w="100"/>
              <w:left w:type="dxa" w:w="120"/>
              <w:bottom w:type="dxa" w:w="100"/>
              <w:right w:type="dxa" w:w="120"/>
            </w:tcMar>
          </w:tcPr>
          <w:p>
            <w:r>
              <w:rPr>
                <w:b/>
                <w:bCs/>
                <w:color w:val="FFFFFF"/>
                <w:sz w:val="19"/>
                <w:szCs w:val="19"/>
              </w:rPr>
              <w:t xml:space="preserve">v1 (Flawed)</w:t>
            </w:r>
          </w:p>
        </w:tc>
        <w:tc>
          <w:tcPr>
            <w:tcW w:type="dxa" w:w="3700"/>
            <w:shd w:fill="1F3864" w:color="auto" w:val="clear"/>
            <w:tcMar>
              <w:top w:type="dxa" w:w="100"/>
              <w:left w:type="dxa" w:w="120"/>
              <w:bottom w:type="dxa" w:w="100"/>
              <w:right w:type="dxa" w:w="120"/>
            </w:tcMar>
          </w:tcPr>
          <w:p>
            <w:r>
              <w:rPr>
                <w:b/>
                <w:bCs/>
                <w:color w:val="FFFFFF"/>
                <w:sz w:val="19"/>
                <w:szCs w:val="19"/>
              </w:rPr>
              <w:t xml:space="preserve">v2 (Revised)</w:t>
            </w:r>
          </w:p>
        </w:tc>
      </w:tr>
      <w:tr>
        <w:tc>
          <w:tcPr>
            <w:tcW w:type="dxa" w:w="2200"/>
            <w:shd w:fill="FFFFFF" w:color="auto" w:val="clear"/>
            <w:tcMar>
              <w:top w:type="dxa" w:w="90"/>
              <w:left w:type="dxa" w:w="120"/>
              <w:bottom w:type="dxa" w:w="90"/>
              <w:right w:type="dxa" w:w="120"/>
            </w:tcMar>
          </w:tcPr>
          <w:p>
            <w:r>
              <w:rPr>
                <w:sz w:val="19"/>
                <w:szCs w:val="19"/>
              </w:rPr>
              <w:t xml:space="preserve">Portal interaction</w:t>
            </w:r>
          </w:p>
        </w:tc>
        <w:tc>
          <w:tcPr>
            <w:tcW w:type="dxa" w:w="3600"/>
            <w:shd w:fill="FFFFFF" w:color="auto" w:val="clear"/>
            <w:tcMar>
              <w:top w:type="dxa" w:w="90"/>
              <w:left w:type="dxa" w:w="120"/>
              <w:bottom w:type="dxa" w:w="90"/>
              <w:right w:type="dxa" w:w="120"/>
            </w:tcMar>
          </w:tcPr>
          <w:p>
            <w:r>
              <w:rPr>
                <w:sz w:val="19"/>
                <w:szCs w:val="19"/>
              </w:rPr>
              <w:t xml:space="preserve">Headless bot auto-submits declarations; anti-captcha + proxy rotation to evade GRA/UNIPASS bot defenses.</w:t>
            </w:r>
          </w:p>
        </w:tc>
        <w:tc>
          <w:tcPr>
            <w:tcW w:type="dxa" w:w="3700"/>
            <w:shd w:fill="FFFFFF" w:color="auto" w:val="clear"/>
            <w:tcMar>
              <w:top w:type="dxa" w:w="90"/>
              <w:left w:type="dxa" w:w="120"/>
              <w:bottom w:type="dxa" w:w="90"/>
              <w:right w:type="dxa" w:w="120"/>
            </w:tcMar>
          </w:tcPr>
          <w:p>
            <w:r>
              <w:rPr>
                <w:sz w:val="19"/>
                <w:szCs w:val="19"/>
              </w:rPr>
              <w:t xml:space="preserve">Browser copilot pre-fills forms inside the licensed agent's own authenticated session. A human reviews and clicks submit. No evasion, no unauthorized access.</w:t>
            </w:r>
          </w:p>
        </w:tc>
      </w:tr>
      <w:tr>
        <w:tc>
          <w:tcPr>
            <w:tcW w:type="dxa" w:w="2200"/>
            <w:shd w:fill="DCE6F1" w:color="auto" w:val="clear"/>
            <w:tcMar>
              <w:top w:type="dxa" w:w="90"/>
              <w:left w:type="dxa" w:w="120"/>
              <w:bottom w:type="dxa" w:w="90"/>
              <w:right w:type="dxa" w:w="120"/>
            </w:tcMar>
          </w:tcPr>
          <w:p>
            <w:r>
              <w:rPr>
                <w:sz w:val="19"/>
                <w:szCs w:val="19"/>
              </w:rPr>
              <w:t xml:space="preserve">Legal posture</w:t>
            </w:r>
          </w:p>
        </w:tc>
        <w:tc>
          <w:tcPr>
            <w:tcW w:type="dxa" w:w="3600"/>
            <w:shd w:fill="DCE6F1" w:color="auto" w:val="clear"/>
            <w:tcMar>
              <w:top w:type="dxa" w:w="90"/>
              <w:left w:type="dxa" w:w="120"/>
              <w:bottom w:type="dxa" w:w="90"/>
              <w:right w:type="dxa" w:w="120"/>
            </w:tcMar>
          </w:tcPr>
          <w:p>
            <w:r>
              <w:rPr>
                <w:sz w:val="19"/>
                <w:szCs w:val="19"/>
              </w:rPr>
              <w:t xml:space="preserve">Undefined; liability for mis-filed declarations unclear; risk of account bans, cybersecurity-law exposure.</w:t>
            </w:r>
          </w:p>
        </w:tc>
        <w:tc>
          <w:tcPr>
            <w:tcW w:type="dxa" w:w="3700"/>
            <w:shd w:fill="DCE6F1" w:color="auto" w:val="clear"/>
            <w:tcMar>
              <w:top w:type="dxa" w:w="90"/>
              <w:left w:type="dxa" w:w="120"/>
              <w:bottom w:type="dxa" w:w="90"/>
              <w:right w:type="dxa" w:w="120"/>
            </w:tcMar>
          </w:tcPr>
          <w:p>
            <w:r>
              <w:rPr>
                <w:sz w:val="19"/>
                <w:szCs w:val="19"/>
              </w:rPr>
              <w:t xml:space="preserve">Human-in-the-loop preserves the licensed CHA/self-declarant as the legal filer. Formal GRA/Ghana Link engagement track added (Section 5).</w:t>
            </w:r>
          </w:p>
        </w:tc>
      </w:tr>
      <w:tr>
        <w:tc>
          <w:tcPr>
            <w:tcW w:type="dxa" w:w="2200"/>
            <w:shd w:fill="FFFFFF" w:color="auto" w:val="clear"/>
            <w:tcMar>
              <w:top w:type="dxa" w:w="90"/>
              <w:left w:type="dxa" w:w="120"/>
              <w:bottom w:type="dxa" w:w="90"/>
              <w:right w:type="dxa" w:w="120"/>
            </w:tcMar>
          </w:tcPr>
          <w:p>
            <w:r>
              <w:rPr>
                <w:sz w:val="19"/>
                <w:szCs w:val="19"/>
              </w:rPr>
              <w:t xml:space="preserve">Revenue ceiling</w:t>
            </w:r>
          </w:p>
        </w:tc>
        <w:tc>
          <w:tcPr>
            <w:tcW w:type="dxa" w:w="3600"/>
            <w:shd w:fill="FFFFFF" w:color="auto" w:val="clear"/>
            <w:tcMar>
              <w:top w:type="dxa" w:w="90"/>
              <w:left w:type="dxa" w:w="120"/>
              <w:bottom w:type="dxa" w:w="90"/>
              <w:right w:type="dxa" w:w="120"/>
            </w:tcMar>
          </w:tcPr>
          <w:p>
            <w:r>
              <w:rPr>
                <w:sz w:val="19"/>
                <w:szCs w:val="19"/>
              </w:rPr>
              <w:t xml:space="preserve">Two tiers, single country, capped around $30K–$150K ARR at full penetration of a niche user base.</w:t>
            </w:r>
          </w:p>
        </w:tc>
        <w:tc>
          <w:tcPr>
            <w:tcW w:type="dxa" w:w="3700"/>
            <w:shd w:fill="FFFFFF" w:color="auto" w:val="clear"/>
            <w:tcMar>
              <w:top w:type="dxa" w:w="90"/>
              <w:left w:type="dxa" w:w="120"/>
              <w:bottom w:type="dxa" w:w="90"/>
              <w:right w:type="dxa" w:w="120"/>
            </w:tcMar>
          </w:tcPr>
          <w:p>
            <w:r>
              <w:rPr>
                <w:sz w:val="19"/>
                <w:szCs w:val="19"/>
              </w:rPr>
              <w:t xml:space="preserve">Three tiers including a data-intelligence line sold outside the CHA market, plus a regional licensing model (Section 7).</w:t>
            </w:r>
          </w:p>
        </w:tc>
      </w:tr>
      <w:tr>
        <w:tc>
          <w:tcPr>
            <w:tcW w:type="dxa" w:w="2200"/>
            <w:shd w:fill="DCE6F1" w:color="auto" w:val="clear"/>
            <w:tcMar>
              <w:top w:type="dxa" w:w="90"/>
              <w:left w:type="dxa" w:w="120"/>
              <w:bottom w:type="dxa" w:w="90"/>
              <w:right w:type="dxa" w:w="120"/>
            </w:tcMar>
          </w:tcPr>
          <w:p>
            <w:r>
              <w:rPr>
                <w:sz w:val="19"/>
                <w:szCs w:val="19"/>
              </w:rPr>
              <w:t xml:space="preserve">Moat</w:t>
            </w:r>
          </w:p>
        </w:tc>
        <w:tc>
          <w:tcPr>
            <w:tcW w:type="dxa" w:w="3600"/>
            <w:shd w:fill="DCE6F1" w:color="auto" w:val="clear"/>
            <w:tcMar>
              <w:top w:type="dxa" w:w="90"/>
              <w:left w:type="dxa" w:w="120"/>
              <w:bottom w:type="dxa" w:w="90"/>
              <w:right w:type="dxa" w:w="120"/>
            </w:tcMar>
          </w:tcPr>
          <w:p>
            <w:r>
              <w:rPr>
                <w:sz w:val="19"/>
                <w:szCs w:val="19"/>
              </w:rPr>
              <w:t xml:space="preserve">None — any competitor can build the same scraper.</w:t>
            </w:r>
          </w:p>
        </w:tc>
        <w:tc>
          <w:tcPr>
            <w:tcW w:type="dxa" w:w="3700"/>
            <w:shd w:fill="DCE6F1" w:color="auto" w:val="clear"/>
            <w:tcMar>
              <w:top w:type="dxa" w:w="90"/>
              <w:left w:type="dxa" w:w="120"/>
              <w:bottom w:type="dxa" w:w="90"/>
              <w:right w:type="dxa" w:w="120"/>
            </w:tcMar>
          </w:tcPr>
          <w:p>
            <w:r>
              <w:rPr>
                <w:sz w:val="19"/>
                <w:szCs w:val="19"/>
              </w:rPr>
              <w:t xml:space="preserve">Proprietary trade-flow dataset + compliance track record + multi-country integration playbook (Section 6).</w:t>
            </w:r>
          </w:p>
        </w:tc>
      </w:tr>
      <w:tr>
        <w:tc>
          <w:tcPr>
            <w:tcW w:type="dxa" w:w="2200"/>
            <w:shd w:fill="FFFFFF" w:color="auto" w:val="clear"/>
            <w:tcMar>
              <w:top w:type="dxa" w:w="90"/>
              <w:left w:type="dxa" w:w="120"/>
              <w:bottom w:type="dxa" w:w="90"/>
              <w:right w:type="dxa" w:w="120"/>
            </w:tcMar>
          </w:tcPr>
          <w:p>
            <w:r>
              <w:rPr>
                <w:sz w:val="19"/>
                <w:szCs w:val="19"/>
              </w:rPr>
              <w:t xml:space="preserve">Valuation path</w:t>
            </w:r>
          </w:p>
        </w:tc>
        <w:tc>
          <w:tcPr>
            <w:tcW w:type="dxa" w:w="3600"/>
            <w:shd w:fill="FFFFFF" w:color="auto" w:val="clear"/>
            <w:tcMar>
              <w:top w:type="dxa" w:w="90"/>
              <w:left w:type="dxa" w:w="120"/>
              <w:bottom w:type="dxa" w:w="90"/>
              <w:right w:type="dxa" w:w="120"/>
            </w:tcMar>
          </w:tcPr>
          <w:p>
            <w:r>
              <w:rPr>
                <w:sz w:val="19"/>
                <w:szCs w:val="19"/>
              </w:rPr>
              <w:t xml:space="preserve">Implied, not modeled.</w:t>
            </w:r>
          </w:p>
        </w:tc>
        <w:tc>
          <w:tcPr>
            <w:tcW w:type="dxa" w:w="3700"/>
            <w:shd w:fill="FFFFFF" w:color="auto" w:val="clear"/>
            <w:tcMar>
              <w:top w:type="dxa" w:w="90"/>
              <w:left w:type="dxa" w:w="120"/>
              <w:bottom w:type="dxa" w:w="90"/>
              <w:right w:type="dxa" w:w="120"/>
            </w:tcMar>
          </w:tcPr>
          <w:p>
            <w:r>
              <w:rPr>
                <w:sz w:val="19"/>
                <w:szCs w:val="19"/>
              </w:rPr>
              <w:t xml:space="preserve">Explicit ARR-multiple model with stated assumptions (Section 8).</w:t>
            </w:r>
          </w:p>
        </w:tc>
      </w:tr>
    </w:tbl>
    <w:p>
      <w:r>
        <w:br w:type="page"/>
      </w:r>
    </w:p>
    <w:p>
      <w:pPr>
        <w:pStyle w:val="Heading1"/>
        <w:spacing w:after="200" w:before="400"/>
      </w:pPr>
      <w:r>
        <w:rPr>
          <w:b/>
          <w:bCs/>
          <w:color w:val="1F3864"/>
          <w:sz w:val="30"/>
          <w:szCs w:val="30"/>
        </w:rPr>
        <w:t xml:space="preserve">1. Executive Summary</w:t>
      </w:r>
    </w:p>
    <w:p>
      <w:pPr>
        <w:spacing w:after="160" w:line="276"/>
      </w:pPr>
      <w:r>
        <w:rPr>
          <w:sz w:val="21"/>
          <w:szCs w:val="21"/>
        </w:rPr>
        <w:t xml:space="preserve">TradePulse AI is a compliance-first automation platform for Ghana's Integrated Customs Management System (ICUMS), built for Customs House Agents (CHAs), freight forwarders, and their clients at Tema and Takoradi ports. It removes the two biggest sources of cost in the clearance process — manual line-item data entry and blind waiting for status changes — while keeping every legally consequential action (the actual declaration submission) in the hands of the licensed human declarant.</w:t>
      </w:r>
    </w:p>
    <w:p>
      <w:pPr>
        <w:spacing w:after="160" w:line="276"/>
      </w:pPr>
      <w:r>
        <w:rPr>
          <w:sz w:val="21"/>
          <w:szCs w:val="21"/>
        </w:rPr>
        <w:t xml:space="preserve">The platform is designed from day one to produce three things a buyer or investor actually pays for: recurring revenue, a proprietary dataset, and a repeatable expansion playbook beyond Ghana. Document extraction and status alerts are the wedge product; the compliance-and-data layer is the business.</w:t>
      </w:r>
    </w:p>
    <w:p>
      <w:pPr>
        <w:pStyle w:val="Heading1"/>
        <w:spacing w:after="200" w:before="400"/>
      </w:pPr>
      <w:r>
        <w:rPr>
          <w:b/>
          <w:bCs/>
          <w:color w:val="1F3864"/>
          <w:sz w:val="30"/>
          <w:szCs w:val="30"/>
        </w:rPr>
        <w:t xml:space="preserve">2. Market Problem vs. Business Solution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c>
          <w:tcPr>
            <w:tcW w:type="dxa" w:w="4600"/>
            <w:shd w:fill="1F3864" w:color="auto" w:val="clear"/>
            <w:tcMar>
              <w:top w:type="dxa" w:w="100"/>
              <w:left w:type="dxa" w:w="120"/>
              <w:bottom w:type="dxa" w:w="100"/>
              <w:right w:type="dxa" w:w="120"/>
            </w:tcMar>
          </w:tcPr>
          <w:p>
            <w:r>
              <w:rPr>
                <w:b/>
                <w:bCs/>
                <w:color w:val="FFFFFF"/>
                <w:sz w:val="19"/>
                <w:szCs w:val="19"/>
              </w:rPr>
              <w:t xml:space="preserve">Current Pain Point</w:t>
            </w:r>
          </w:p>
        </w:tc>
        <w:tc>
          <w:tcPr>
            <w:tcW w:type="dxa" w:w="4900"/>
            <w:shd w:fill="1F3864" w:color="auto" w:val="clear"/>
            <w:tcMar>
              <w:top w:type="dxa" w:w="100"/>
              <w:left w:type="dxa" w:w="120"/>
              <w:bottom w:type="dxa" w:w="100"/>
              <w:right w:type="dxa" w:w="120"/>
            </w:tcMar>
          </w:tcPr>
          <w:p>
            <w:r>
              <w:rPr>
                <w:b/>
                <w:bCs/>
                <w:color w:val="FFFFFF"/>
                <w:sz w:val="19"/>
                <w:szCs w:val="19"/>
              </w:rPr>
              <w:t xml:space="preserve">Platform Solution</w:t>
            </w:r>
          </w:p>
        </w:tc>
      </w:tr>
      <w:tr>
        <w:tc>
          <w:tcPr>
            <w:tcW w:type="dxa" w:w="4600"/>
            <w:shd w:fill="FFFFFF" w:color="auto" w:val="clear"/>
            <w:tcMar>
              <w:top w:type="dxa" w:w="90"/>
              <w:left w:type="dxa" w:w="120"/>
              <w:bottom w:type="dxa" w:w="90"/>
              <w:right w:type="dxa" w:w="120"/>
            </w:tcMar>
          </w:tcPr>
          <w:p>
            <w:r>
              <w:rPr>
                <w:sz w:val="19"/>
                <w:szCs w:val="19"/>
              </w:rPr>
              <w:t xml:space="preserve">Manual entry of 50+ line items per declaration from invoices/packing lists, taking 1–3 hours.</w:t>
            </w:r>
          </w:p>
        </w:tc>
        <w:tc>
          <w:tcPr>
            <w:tcW w:type="dxa" w:w="4900"/>
            <w:shd w:fill="FFFFFF" w:color="auto" w:val="clear"/>
            <w:tcMar>
              <w:top w:type="dxa" w:w="90"/>
              <w:left w:type="dxa" w:w="120"/>
              <w:bottom w:type="dxa" w:w="90"/>
              <w:right w:type="dxa" w:w="120"/>
            </w:tcMar>
          </w:tcPr>
          <w:p>
            <w:r>
              <w:rPr>
                <w:sz w:val="19"/>
                <w:szCs w:val="19"/>
              </w:rPr>
              <w:t xml:space="preserve">AI document extraction: upload invoice/packing list PDFs or photos; Claude Vision parses FOB values, HS codes, weights, and items into structured, human-verifiable data in under 30 seconds.</w:t>
            </w:r>
          </w:p>
        </w:tc>
      </w:tr>
      <w:tr>
        <w:tc>
          <w:tcPr>
            <w:tcW w:type="dxa" w:w="4600"/>
            <w:shd w:fill="DCE6F1" w:color="auto" w:val="clear"/>
            <w:tcMar>
              <w:top w:type="dxa" w:w="90"/>
              <w:left w:type="dxa" w:w="120"/>
              <w:bottom w:type="dxa" w:w="90"/>
              <w:right w:type="dxa" w:w="120"/>
            </w:tcMar>
          </w:tcPr>
          <w:p>
            <w:r>
              <w:rPr>
                <w:sz w:val="19"/>
                <w:szCs w:val="19"/>
              </w:rPr>
              <w:t xml:space="preserve">Demurrage and storage fines from missed status changes (duty assessment, scan flags).</w:t>
            </w:r>
          </w:p>
        </w:tc>
        <w:tc>
          <w:tcPr>
            <w:tcW w:type="dxa" w:w="4900"/>
            <w:shd w:fill="DCE6F1" w:color="auto" w:val="clear"/>
            <w:tcMar>
              <w:top w:type="dxa" w:w="90"/>
              <w:left w:type="dxa" w:w="120"/>
              <w:bottom w:type="dxa" w:w="90"/>
              <w:right w:type="dxa" w:w="120"/>
            </w:tcMar>
          </w:tcPr>
          <w:p>
            <w:r>
              <w:rPr>
                <w:sz w:val="19"/>
                <w:szCs w:val="19"/>
              </w:rPr>
              <w:t xml:space="preserve">24/7 status monitoring via the agent's own authorized session or, where available, official notification channels, with push/WhatsApp alerts on state change.</w:t>
            </w:r>
          </w:p>
        </w:tc>
      </w:tr>
      <w:tr>
        <w:tc>
          <w:tcPr>
            <w:tcW w:type="dxa" w:w="4600"/>
            <w:shd w:fill="FFFFFF" w:color="auto" w:val="clear"/>
            <w:tcMar>
              <w:top w:type="dxa" w:w="90"/>
              <w:left w:type="dxa" w:w="120"/>
              <w:bottom w:type="dxa" w:w="90"/>
              <w:right w:type="dxa" w:w="120"/>
            </w:tcMar>
          </w:tcPr>
          <w:p>
            <w:r>
              <w:rPr>
                <w:sz w:val="19"/>
                <w:szCs w:val="19"/>
              </w:rPr>
              <w:t xml:space="preserve">Field agents at MPS or Golden Jubilee terminals lack real-time visibility without manual portal refreshes.</w:t>
            </w:r>
          </w:p>
        </w:tc>
        <w:tc>
          <w:tcPr>
            <w:tcW w:type="dxa" w:w="4900"/>
            <w:shd w:fill="FFFFFF" w:color="auto" w:val="clear"/>
            <w:tcMar>
              <w:top w:type="dxa" w:w="90"/>
              <w:left w:type="dxa" w:w="120"/>
              <w:bottom w:type="dxa" w:w="90"/>
              <w:right w:type="dxa" w:w="120"/>
            </w:tcMar>
          </w:tcPr>
          <w:p>
            <w:r>
              <w:rPr>
                <w:sz w:val="19"/>
                <w:szCs w:val="19"/>
              </w:rPr>
              <w:t xml:space="preserve">Mobile companion app keeps field staff synchronized with office staff in real time.</w:t>
            </w:r>
          </w:p>
        </w:tc>
      </w:tr>
      <w:tr>
        <w:tc>
          <w:tcPr>
            <w:tcW w:type="dxa" w:w="4600"/>
            <w:shd w:fill="DCE6F1" w:color="auto" w:val="clear"/>
            <w:tcMar>
              <w:top w:type="dxa" w:w="90"/>
              <w:left w:type="dxa" w:w="120"/>
              <w:bottom w:type="dxa" w:w="90"/>
              <w:right w:type="dxa" w:w="120"/>
            </w:tcMar>
          </w:tcPr>
          <w:p>
            <w:r>
              <w:rPr>
                <w:sz w:val="19"/>
                <w:szCs w:val="19"/>
              </w:rPr>
              <w:t xml:space="preserve">No standardized way to catch HS code or valuation errors before submission.</w:t>
            </w:r>
          </w:p>
        </w:tc>
        <w:tc>
          <w:tcPr>
            <w:tcW w:type="dxa" w:w="4900"/>
            <w:shd w:fill="DCE6F1" w:color="auto" w:val="clear"/>
            <w:tcMar>
              <w:top w:type="dxa" w:w="90"/>
              <w:left w:type="dxa" w:w="120"/>
              <w:bottom w:type="dxa" w:w="90"/>
              <w:right w:type="dxa" w:w="120"/>
            </w:tcMar>
          </w:tcPr>
          <w:p>
            <w:r>
              <w:rPr>
                <w:sz w:val="19"/>
                <w:szCs w:val="19"/>
              </w:rPr>
              <w:t xml:space="preserve">Side-by-side human verification screen plus a compliance-rules layer that flags likely misclassifications before the agent submits.</w:t>
            </w:r>
          </w:p>
        </w:tc>
      </w:tr>
    </w:tbl>
    <w:p>
      <w:pPr>
        <w:pStyle w:val="Heading1"/>
        <w:spacing w:after="200" w:before="400"/>
      </w:pPr>
      <w:r>
        <w:rPr>
          <w:b/>
          <w:bCs/>
          <w:color w:val="1F3864"/>
          <w:sz w:val="30"/>
          <w:szCs w:val="30"/>
        </w:rPr>
        <w:t xml:space="preserve">3. System Architecture</w:t>
      </w:r>
    </w:p>
    <w:p>
      <w:pPr>
        <w:pStyle w:val="Heading2"/>
        <w:spacing w:after="150" w:before="300"/>
      </w:pPr>
      <w:r>
        <w:rPr>
          <w:b/>
          <w:bCs/>
          <w:color w:val="2E74B5"/>
          <w:sz w:val="24"/>
          <w:szCs w:val="24"/>
        </w:rPr>
        <w:t xml:space="preserve">A. Interfaces</w:t>
      </w:r>
    </w:p>
    <w:p>
      <w:pPr>
        <w:pStyle w:val="ListParagraph"/>
        <w:numPr>
          <w:ilvl w:val="0"/>
          <w:numId w:val="2"/>
        </w:numPr>
        <w:spacing w:after="100"/>
      </w:pPr>
      <w:r>
        <w:rPr>
          <w:sz w:val="21"/>
          <w:szCs w:val="21"/>
        </w:rPr>
        <w:t xml:space="preserve">Desktop Web Dashboard (Next.js/React) — document upload, batch verification, extraction review, compliance flags.</w:t>
      </w:r>
    </w:p>
    <w:p>
      <w:pPr>
        <w:pStyle w:val="ListParagraph"/>
        <w:numPr>
          <w:ilvl w:val="0"/>
          <w:numId w:val="2"/>
        </w:numPr>
        <w:spacing w:after="100"/>
      </w:pPr>
      <w:r>
        <w:rPr>
          <w:sz w:val="21"/>
          <w:szCs w:val="21"/>
        </w:rPr>
        <w:t xml:space="preserve">Mobile Companion App (Flutter, iOS/Android) — status alerts, quick lookups, field-agent sync.</w:t>
      </w:r>
    </w:p>
    <w:p>
      <w:pPr>
        <w:pStyle w:val="ListParagraph"/>
        <w:numPr>
          <w:ilvl w:val="0"/>
          <w:numId w:val="2"/>
        </w:numPr>
        <w:spacing w:after="100"/>
      </w:pPr>
      <w:r>
        <w:rPr>
          <w:sz w:val="21"/>
          <w:szCs w:val="21"/>
        </w:rPr>
        <w:t xml:space="preserve">Browser Copilot Extension (Chrome/Edge) — the corrected replacement for the v1 auto-filler. Runs inside the agent's own logged-in ICUMS session and pre-populates form fields from verified extraction data. The agent reviews and submits manually — this keeps the licensed human as the legal filer of record and avoids any interaction with the portal's bot defenses.</w:t>
      </w:r>
    </w:p>
    <w:p>
      <w:pPr>
        <w:pStyle w:val="Heading2"/>
        <w:spacing w:after="150" w:before="300"/>
      </w:pPr>
      <w:r>
        <w:rPr>
          <w:b/>
          <w:bCs/>
          <w:color w:val="2E74B5"/>
          <w:sz w:val="24"/>
          <w:szCs w:val="24"/>
        </w:rPr>
        <w:t xml:space="preserve">B. End-to-End Pipeline</w:t>
      </w:r>
    </w:p>
    <w:p>
      <w:pPr>
        <w:pStyle w:val="ListParagraph"/>
        <w:numPr>
          <w:ilvl w:val="0"/>
          <w:numId w:val="2"/>
        </w:numPr>
        <w:spacing w:after="100"/>
      </w:pPr>
      <w:r>
        <w:rPr>
          <w:sz w:val="21"/>
          <w:szCs w:val="21"/>
        </w:rPr>
        <w:t xml:space="preserve">1. Document Upload — agent uploads Commercial Invoice &amp; Packing List via web or mobile.</w:t>
      </w:r>
    </w:p>
    <w:p>
      <w:pPr>
        <w:pStyle w:val="ListParagraph"/>
        <w:numPr>
          <w:ilvl w:val="0"/>
          <w:numId w:val="2"/>
        </w:numPr>
        <w:spacing w:after="100"/>
      </w:pPr>
      <w:r>
        <w:rPr>
          <w:sz w:val="21"/>
          <w:szCs w:val="21"/>
        </w:rPr>
        <w:t xml:space="preserve">2. AI Extraction — Claude Vision extracts HS codes, FOB values, quantities, and supplier data into structured JSON.</w:t>
      </w:r>
    </w:p>
    <w:p>
      <w:pPr>
        <w:pStyle w:val="ListParagraph"/>
        <w:numPr>
          <w:ilvl w:val="0"/>
          <w:numId w:val="2"/>
        </w:numPr>
        <w:spacing w:after="100"/>
      </w:pPr>
      <w:r>
        <w:rPr>
          <w:sz w:val="21"/>
          <w:szCs w:val="21"/>
        </w:rPr>
        <w:t xml:space="preserve">3. Compliance Check — rules engine flags likely HS misclassification, missing SOC items, or valuation anomalies against known ICUMS validation logic.</w:t>
      </w:r>
    </w:p>
    <w:p>
      <w:pPr>
        <w:pStyle w:val="ListParagraph"/>
        <w:numPr>
          <w:ilvl w:val="0"/>
          <w:numId w:val="2"/>
        </w:numPr>
        <w:spacing w:after="100"/>
      </w:pPr>
      <w:r>
        <w:rPr>
          <w:sz w:val="21"/>
          <w:szCs w:val="21"/>
        </w:rPr>
        <w:t xml:space="preserve">4. Human Verification — side-by-side review interface; agent approves or corrects.</w:t>
      </w:r>
    </w:p>
    <w:p>
      <w:pPr>
        <w:pStyle w:val="ListParagraph"/>
        <w:numPr>
          <w:ilvl w:val="0"/>
          <w:numId w:val="2"/>
        </w:numPr>
        <w:spacing w:after="100"/>
      </w:pPr>
      <w:r>
        <w:rPr>
          <w:sz w:val="21"/>
          <w:szCs w:val="21"/>
        </w:rPr>
        <w:t xml:space="preserve">5. Copilot Fill — approved data is pushed into the agent's live ICUMS session for one-click review and manual submission.</w:t>
      </w:r>
    </w:p>
    <w:p>
      <w:pPr>
        <w:pStyle w:val="ListParagraph"/>
        <w:numPr>
          <w:ilvl w:val="0"/>
          <w:numId w:val="2"/>
        </w:numPr>
        <w:spacing w:after="100"/>
      </w:pPr>
      <w:r>
        <w:rPr>
          <w:sz w:val="21"/>
          <w:szCs w:val="21"/>
        </w:rPr>
        <w:t xml:space="preserve">6. Status Monitoring — background engine (within authorized access) tracks BoE state and fires alerts on change.</w:t>
      </w:r>
    </w:p>
    <w:p>
      <w:pPr>
        <w:pStyle w:val="Heading1"/>
        <w:spacing w:after="200" w:before="400"/>
      </w:pPr>
      <w:r>
        <w:rPr>
          <w:b/>
          <w:bCs/>
          <w:color w:val="1F3864"/>
          <w:sz w:val="30"/>
          <w:szCs w:val="30"/>
        </w:rPr>
        <w:t xml:space="preserve">4. Compliance &amp; Legal Safeguards (New)</w:t>
      </w:r>
    </w:p>
    <w:p>
      <w:pPr>
        <w:spacing w:after="160" w:line="276"/>
      </w:pPr>
      <w:r>
        <w:rPr>
          <w:sz w:val="21"/>
          <w:szCs w:val="21"/>
        </w:rPr>
        <w:t xml:space="preserve">This section exists because it was missing from v1, and its absence is the single biggest reason the original plan would not survive investor or acquirer diligence.</w:t>
      </w:r>
    </w:p>
    <w:p>
      <w:pPr>
        <w:pStyle w:val="ListParagraph"/>
        <w:numPr>
          <w:ilvl w:val="0"/>
          <w:numId w:val="2"/>
        </w:numPr>
        <w:spacing w:after="100"/>
      </w:pPr>
      <w:r>
        <w:rPr>
          <w:sz w:val="21"/>
          <w:szCs w:val="21"/>
        </w:rPr>
        <w:t xml:space="preserve">Client eligibility check: platform onboards only verified, licensed CHAs and registered Self-Declarants (matched against GRA's public stakeholder verification), consistent with how ICUMS itself grants access.</w:t>
      </w:r>
    </w:p>
    <w:p>
      <w:pPr>
        <w:pStyle w:val="ListParagraph"/>
        <w:numPr>
          <w:ilvl w:val="0"/>
          <w:numId w:val="2"/>
        </w:numPr>
        <w:spacing w:after="100"/>
      </w:pPr>
      <w:r>
        <w:rPr>
          <w:sz w:val="21"/>
          <w:szCs w:val="21"/>
        </w:rPr>
        <w:t xml:space="preserve">No credential-based autonomous submission: the platform never logs in and files on a client's behalf without a human present and actively approving the final submission.</w:t>
      </w:r>
    </w:p>
    <w:p>
      <w:pPr>
        <w:pStyle w:val="ListParagraph"/>
        <w:numPr>
          <w:ilvl w:val="0"/>
          <w:numId w:val="2"/>
        </w:numPr>
        <w:spacing w:after="100"/>
      </w:pPr>
      <w:r>
        <w:rPr>
          <w:sz w:val="21"/>
          <w:szCs w:val="21"/>
        </w:rPr>
        <w:t xml:space="preserve">Formal GRA / Ghana Link engagement track: outreach to explore a sanctioned data/API integration, positioning TradePulse as a compliance partner rather than a scraping risk. This is a prerequisite for the enterprise and regional tiers, not a nice-to-have.</w:t>
      </w:r>
    </w:p>
    <w:p>
      <w:pPr>
        <w:pStyle w:val="ListParagraph"/>
        <w:numPr>
          <w:ilvl w:val="0"/>
          <w:numId w:val="2"/>
        </w:numPr>
        <w:spacing w:after="100"/>
      </w:pPr>
      <w:r>
        <w:rPr>
          <w:sz w:val="21"/>
          <w:szCs w:val="21"/>
        </w:rPr>
        <w:t xml:space="preserve">Data protection: architecture aligned with Ghana's Data Protection Act, 2012 (Act 843) — encryption at rest (AES-256) and in transit, documented data retention limits, and no resale of client-identifiable commercial invoice data.</w:t>
      </w:r>
    </w:p>
    <w:p>
      <w:pPr>
        <w:pStyle w:val="ListParagraph"/>
        <w:numPr>
          <w:ilvl w:val="0"/>
          <w:numId w:val="2"/>
        </w:numPr>
        <w:spacing w:after="100"/>
      </w:pPr>
      <w:r>
        <w:rPr>
          <w:sz w:val="21"/>
          <w:szCs w:val="21"/>
        </w:rPr>
        <w:t xml:space="preserve">Audit trail: every extraction, correction, and submission-assist event is logged and exportable, which becomes a selling point for enterprise clients who need it for their own audits.</w:t>
      </w:r>
    </w:p>
    <w:p>
      <w:r>
        <w:br w:type="page"/>
      </w:r>
    </w:p>
    <w:p>
      <w:pPr>
        <w:pStyle w:val="Heading1"/>
        <w:spacing w:after="200" w:before="400"/>
      </w:pPr>
      <w:r>
        <w:rPr>
          <w:b/>
          <w:bCs/>
          <w:color w:val="1F3864"/>
          <w:sz w:val="30"/>
          <w:szCs w:val="30"/>
        </w:rPr>
        <w:t xml:space="preserve">5. Revenue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00"/>
        <w:gridCol w:w="2800"/>
      </w:tblGrid>
      <w:tr>
        <w:tc>
          <w:tcPr>
            <w:tcW w:type="dxa" w:w="1900"/>
            <w:shd w:fill="1F3864" w:color="auto" w:val="clear"/>
            <w:tcMar>
              <w:top w:type="dxa" w:w="100"/>
              <w:left w:type="dxa" w:w="120"/>
              <w:bottom w:type="dxa" w:w="100"/>
              <w:right w:type="dxa" w:w="120"/>
            </w:tcMar>
          </w:tcPr>
          <w:p>
            <w:r>
              <w:rPr>
                <w:b/>
                <w:bCs/>
                <w:color w:val="FFFFFF"/>
                <w:sz w:val="19"/>
                <w:szCs w:val="19"/>
              </w:rPr>
              <w:t xml:space="preserve">Tier</w:t>
            </w:r>
          </w:p>
        </w:tc>
        <w:tc>
          <w:tcPr>
            <w:tcW w:type="dxa" w:w="2300"/>
            <w:shd w:fill="1F3864" w:color="auto" w:val="clear"/>
            <w:tcMar>
              <w:top w:type="dxa" w:w="100"/>
              <w:left w:type="dxa" w:w="120"/>
              <w:bottom w:type="dxa" w:w="100"/>
              <w:right w:type="dxa" w:w="120"/>
            </w:tcMar>
          </w:tcPr>
          <w:p>
            <w:r>
              <w:rPr>
                <w:b/>
                <w:bCs/>
                <w:color w:val="FFFFFF"/>
                <w:sz w:val="19"/>
                <w:szCs w:val="19"/>
              </w:rPr>
              <w:t xml:space="preserve">Target Client</w:t>
            </w:r>
          </w:p>
        </w:tc>
        <w:tc>
          <w:tcPr>
            <w:tcW w:type="dxa" w:w="2500"/>
            <w:shd w:fill="1F3864" w:color="auto" w:val="clear"/>
            <w:tcMar>
              <w:top w:type="dxa" w:w="100"/>
              <w:left w:type="dxa" w:w="120"/>
              <w:bottom w:type="dxa" w:w="100"/>
              <w:right w:type="dxa" w:w="120"/>
            </w:tcMar>
          </w:tcPr>
          <w:p>
            <w:r>
              <w:rPr>
                <w:b/>
                <w:bCs/>
                <w:color w:val="FFFFFF"/>
                <w:sz w:val="19"/>
                <w:szCs w:val="19"/>
              </w:rPr>
              <w:t xml:space="preserve">Pricing</w:t>
            </w:r>
          </w:p>
        </w:tc>
        <w:tc>
          <w:tcPr>
            <w:tcW w:type="dxa" w:w="2800"/>
            <w:shd w:fill="1F3864" w:color="auto" w:val="clear"/>
            <w:tcMar>
              <w:top w:type="dxa" w:w="100"/>
              <w:left w:type="dxa" w:w="120"/>
              <w:bottom w:type="dxa" w:w="100"/>
              <w:right w:type="dxa" w:w="120"/>
            </w:tcMar>
          </w:tcPr>
          <w:p>
            <w:r>
              <w:rPr>
                <w:b/>
                <w:bCs/>
                <w:color w:val="FFFFFF"/>
                <w:sz w:val="19"/>
                <w:szCs w:val="19"/>
              </w:rPr>
              <w:t xml:space="preserve">Role in the Business</w:t>
            </w:r>
          </w:p>
        </w:tc>
      </w:tr>
      <w:tr>
        <w:tc>
          <w:tcPr>
            <w:tcW w:type="dxa" w:w="1900"/>
            <w:shd w:fill="FFFFFF" w:color="auto" w:val="clear"/>
            <w:tcMar>
              <w:top w:type="dxa" w:w="90"/>
              <w:left w:type="dxa" w:w="120"/>
              <w:bottom w:type="dxa" w:w="90"/>
              <w:right w:type="dxa" w:w="120"/>
            </w:tcMar>
          </w:tcPr>
          <w:p>
            <w:r>
              <w:rPr>
                <w:sz w:val="19"/>
                <w:szCs w:val="19"/>
              </w:rPr>
              <w:t xml:space="preserve">1. Pay-Per-Filing Assist</w:t>
            </w:r>
          </w:p>
        </w:tc>
        <w:tc>
          <w:tcPr>
            <w:tcW w:type="dxa" w:w="2300"/>
            <w:shd w:fill="FFFFFF" w:color="auto" w:val="clear"/>
            <w:tcMar>
              <w:top w:type="dxa" w:w="90"/>
              <w:left w:type="dxa" w:w="120"/>
              <w:bottom w:type="dxa" w:w="90"/>
              <w:right w:type="dxa" w:w="120"/>
            </w:tcMar>
          </w:tcPr>
          <w:p>
            <w:r>
              <w:rPr>
                <w:sz w:val="19"/>
                <w:szCs w:val="19"/>
              </w:rPr>
              <w:t xml:space="preserve">Independent agents &amp; small brokers</w:t>
            </w:r>
          </w:p>
        </w:tc>
        <w:tc>
          <w:tcPr>
            <w:tcW w:type="dxa" w:w="2500"/>
            <w:shd w:fill="FFFFFF" w:color="auto" w:val="clear"/>
            <w:tcMar>
              <w:top w:type="dxa" w:w="90"/>
              <w:left w:type="dxa" w:w="120"/>
              <w:bottom w:type="dxa" w:w="90"/>
              <w:right w:type="dxa" w:w="120"/>
            </w:tcMar>
          </w:tcPr>
          <w:p>
            <w:r>
              <w:rPr>
                <w:sz w:val="19"/>
                <w:szCs w:val="19"/>
              </w:rPr>
              <w:t xml:space="preserve">GH₵30–50 (~$2–4) per extracted/verified document</w:t>
            </w:r>
          </w:p>
        </w:tc>
        <w:tc>
          <w:tcPr>
            <w:tcW w:type="dxa" w:w="2800"/>
            <w:shd w:fill="FFFFFF" w:color="auto" w:val="clear"/>
            <w:tcMar>
              <w:top w:type="dxa" w:w="90"/>
              <w:left w:type="dxa" w:w="120"/>
              <w:bottom w:type="dxa" w:w="90"/>
              <w:right w:type="dxa" w:w="120"/>
            </w:tcMar>
          </w:tcPr>
          <w:p>
            <w:r>
              <w:rPr>
                <w:sz w:val="19"/>
                <w:szCs w:val="19"/>
              </w:rPr>
              <w:t xml:space="preserve">Volume-driven cash flow; primary acquisition funnel</w:t>
            </w:r>
          </w:p>
        </w:tc>
      </w:tr>
      <w:tr>
        <w:tc>
          <w:tcPr>
            <w:tcW w:type="dxa" w:w="1900"/>
            <w:shd w:fill="DCE6F1" w:color="auto" w:val="clear"/>
            <w:tcMar>
              <w:top w:type="dxa" w:w="90"/>
              <w:left w:type="dxa" w:w="120"/>
              <w:bottom w:type="dxa" w:w="90"/>
              <w:right w:type="dxa" w:w="120"/>
            </w:tcMar>
          </w:tcPr>
          <w:p>
            <w:r>
              <w:rPr>
                <w:sz w:val="19"/>
                <w:szCs w:val="19"/>
              </w:rPr>
              <w:t xml:space="preserve">2. SaaS Subscription</w:t>
            </w:r>
          </w:p>
        </w:tc>
        <w:tc>
          <w:tcPr>
            <w:tcW w:type="dxa" w:w="2300"/>
            <w:shd w:fill="DCE6F1" w:color="auto" w:val="clear"/>
            <w:tcMar>
              <w:top w:type="dxa" w:w="90"/>
              <w:left w:type="dxa" w:w="120"/>
              <w:bottom w:type="dxa" w:w="90"/>
              <w:right w:type="dxa" w:w="120"/>
            </w:tcMar>
          </w:tcPr>
          <w:p>
            <w:r>
              <w:rPr>
                <w:sz w:val="19"/>
                <w:szCs w:val="19"/>
              </w:rPr>
              <w:t xml:space="preserve">Mid-to-large freight forwarding agencies</w:t>
            </w:r>
          </w:p>
        </w:tc>
        <w:tc>
          <w:tcPr>
            <w:tcW w:type="dxa" w:w="2500"/>
            <w:shd w:fill="DCE6F1" w:color="auto" w:val="clear"/>
            <w:tcMar>
              <w:top w:type="dxa" w:w="90"/>
              <w:left w:type="dxa" w:w="120"/>
              <w:bottom w:type="dxa" w:w="90"/>
              <w:right w:type="dxa" w:w="120"/>
            </w:tcMar>
          </w:tcPr>
          <w:p>
            <w:r>
              <w:rPr>
                <w:sz w:val="19"/>
                <w:szCs w:val="19"/>
              </w:rPr>
              <w:t xml:space="preserve">GH₵800–1,500 (~$50–100)/month per agency, unlimited tracking &amp; extraction</w:t>
            </w:r>
          </w:p>
        </w:tc>
        <w:tc>
          <w:tcPr>
            <w:tcW w:type="dxa" w:w="2800"/>
            <w:shd w:fill="DCE6F1" w:color="auto" w:val="clear"/>
            <w:tcMar>
              <w:top w:type="dxa" w:w="90"/>
              <w:left w:type="dxa" w:w="120"/>
              <w:bottom w:type="dxa" w:w="90"/>
              <w:right w:type="dxa" w:w="120"/>
            </w:tcMar>
          </w:tcPr>
          <w:p>
            <w:r>
              <w:rPr>
                <w:sz w:val="19"/>
                <w:szCs w:val="19"/>
              </w:rPr>
              <w:t xml:space="preserve">Predictable MRR; the tier investors will size the core business on</w:t>
            </w:r>
          </w:p>
        </w:tc>
      </w:tr>
      <w:tr>
        <w:tc>
          <w:tcPr>
            <w:tcW w:type="dxa" w:w="1900"/>
            <w:shd w:fill="FFFFFF" w:color="auto" w:val="clear"/>
            <w:tcMar>
              <w:top w:type="dxa" w:w="90"/>
              <w:left w:type="dxa" w:w="120"/>
              <w:bottom w:type="dxa" w:w="90"/>
              <w:right w:type="dxa" w:w="120"/>
            </w:tcMar>
          </w:tcPr>
          <w:p>
            <w:r>
              <w:rPr>
                <w:sz w:val="19"/>
                <w:szCs w:val="19"/>
              </w:rPr>
              <w:t xml:space="preserve">3. Compliance &amp; Trade Intelligence (New)</w:t>
            </w:r>
          </w:p>
        </w:tc>
        <w:tc>
          <w:tcPr>
            <w:tcW w:type="dxa" w:w="2300"/>
            <w:shd w:fill="FFFFFF" w:color="auto" w:val="clear"/>
            <w:tcMar>
              <w:top w:type="dxa" w:w="90"/>
              <w:left w:type="dxa" w:w="120"/>
              <w:bottom w:type="dxa" w:w="90"/>
              <w:right w:type="dxa" w:w="120"/>
            </w:tcMar>
          </w:tcPr>
          <w:p>
            <w:r>
              <w:rPr>
                <w:sz w:val="19"/>
                <w:szCs w:val="19"/>
              </w:rPr>
              <w:t xml:space="preserve">Banks, insurers, logistics firms, and government-adjacent research bodies</w:t>
            </w:r>
          </w:p>
        </w:tc>
        <w:tc>
          <w:tcPr>
            <w:tcW w:type="dxa" w:w="2500"/>
            <w:shd w:fill="FFFFFF" w:color="auto" w:val="clear"/>
            <w:tcMar>
              <w:top w:type="dxa" w:w="90"/>
              <w:left w:type="dxa" w:w="120"/>
              <w:bottom w:type="dxa" w:w="90"/>
              <w:right w:type="dxa" w:w="120"/>
            </w:tcMar>
          </w:tcPr>
          <w:p>
            <w:r>
              <w:rPr>
                <w:sz w:val="19"/>
                <w:szCs w:val="19"/>
              </w:rPr>
              <w:t xml:space="preserve">Custom enterprise contracts ($500–$5,000+/month) for anonymized, aggregated trade-flow analytics</w:t>
            </w:r>
          </w:p>
        </w:tc>
        <w:tc>
          <w:tcPr>
            <w:tcW w:type="dxa" w:w="2800"/>
            <w:shd w:fill="FFFFFF" w:color="auto" w:val="clear"/>
            <w:tcMar>
              <w:top w:type="dxa" w:w="90"/>
              <w:left w:type="dxa" w:w="120"/>
              <w:bottom w:type="dxa" w:w="90"/>
              <w:right w:type="dxa" w:w="120"/>
            </w:tcMar>
          </w:tcPr>
          <w:p>
            <w:r>
              <w:rPr>
                <w:sz w:val="19"/>
                <w:szCs w:val="19"/>
              </w:rPr>
              <w:t xml:space="preserve">The actual moat — proprietary data no competitor can replicate without your client base</w:t>
            </w:r>
          </w:p>
        </w:tc>
      </w:tr>
    </w:tbl>
    <w:p>
      <w:pPr>
        <w:spacing w:after="160" w:line="276"/>
      </w:pPr>
      <w:r>
        <w:rPr>
          <w:sz w:val="21"/>
          <w:szCs w:val="21"/>
        </w:rPr>
        <w:t xml:space="preserve">Tier 3 is the difference between a useful tool and an acquirable company. A document-extraction SaaS is replicable by any competent team with API access to a vision model. A dataset built from thousands of real, verified Ghanaian trade declarations — HS code patterns, valuation trends, clearance-time benchmarks — is not replicable without your customer relationships. This is what a strategic acquirer (a logistics enterprise, a trade-finance bank, or a pan-African software group) actually pays for.</w:t>
      </w:r>
    </w:p>
    <w:p>
      <w:pPr>
        <w:pStyle w:val="Heading1"/>
        <w:spacing w:after="200" w:before="400"/>
      </w:pPr>
      <w:r>
        <w:rPr>
          <w:b/>
          <w:bCs/>
          <w:color w:val="1F3864"/>
          <w:sz w:val="30"/>
          <w:szCs w:val="30"/>
        </w:rPr>
        <w:t xml:space="preserve">6. Regional Expansion — The Moat That Justifies a Higher Multiple</w:t>
      </w:r>
    </w:p>
    <w:p>
      <w:pPr>
        <w:spacing w:after="160" w:line="276"/>
      </w:pPr>
      <w:r>
        <w:rPr>
          <w:sz w:val="21"/>
          <w:szCs w:val="21"/>
        </w:rPr>
        <w:t xml:space="preserve">A Ghana-only tool serving a few dozen CHAs caps out well below $1M in realistic acquisition value, no matter how polished the product is. What changes the math is a repeatable integration playbook: the same extraction-and-compliance-copilot architecture applied to other West African single-window customs platforms (e.g., Nigeria's trade single window, Ivory Coast's Webb Fontaine system, or ECOWAS-wide digitization initiatives).</w:t>
      </w:r>
    </w:p>
    <w:p>
      <w:pPr>
        <w:pStyle w:val="ListParagraph"/>
        <w:numPr>
          <w:ilvl w:val="0"/>
          <w:numId w:val="2"/>
        </w:numPr>
        <w:spacing w:after="100"/>
      </w:pPr>
      <w:r>
        <w:rPr>
          <w:sz w:val="21"/>
          <w:szCs w:val="21"/>
        </w:rPr>
        <w:t xml:space="preserve">Year 1: Prove the model in Ghana with a small, well-documented pilot cohort and clean compliance posture.</w:t>
      </w:r>
    </w:p>
    <w:p>
      <w:pPr>
        <w:pStyle w:val="ListParagraph"/>
        <w:numPr>
          <w:ilvl w:val="0"/>
          <w:numId w:val="2"/>
        </w:numPr>
        <w:spacing w:after="100"/>
      </w:pPr>
      <w:r>
        <w:rPr>
          <w:sz w:val="21"/>
          <w:szCs w:val="21"/>
        </w:rPr>
        <w:t xml:space="preserve">Year 2: Package the extraction + compliance engine as a configurable layer (HS code sets, form schemas, and portal-interaction rules per country) rather than Ghana-specific code.</w:t>
      </w:r>
    </w:p>
    <w:p>
      <w:pPr>
        <w:pStyle w:val="ListParagraph"/>
        <w:numPr>
          <w:ilvl w:val="0"/>
          <w:numId w:val="2"/>
        </w:numPr>
        <w:spacing w:after="100"/>
      </w:pPr>
      <w:r>
        <w:rPr>
          <w:sz w:val="21"/>
          <w:szCs w:val="21"/>
        </w:rPr>
        <w:t xml:space="preserve">Year 3: Pursue one additional market with a local partner/reseller, converting the platform from a single-market tool into a category — "West African customs compliance intelligence."</w:t>
      </w:r>
    </w:p>
    <w:p>
      <w:pPr>
        <w:pStyle w:val="Heading1"/>
        <w:spacing w:after="200" w:before="400"/>
      </w:pPr>
      <w:r>
        <w:rPr>
          <w:b/>
          <w:bCs/>
          <w:color w:val="1F3864"/>
          <w:sz w:val="30"/>
          <w:szCs w:val="30"/>
        </w:rPr>
        <w:t xml:space="preserve">7. Implementation Roadmap (Revised)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0"/>
      </w:tblGrid>
      <w:tr>
        <w:tc>
          <w:tcPr>
            <w:tcW w:type="dxa" w:w="1400"/>
            <w:shd w:fill="1F3864" w:color="auto" w:val="clear"/>
            <w:tcMar>
              <w:top w:type="dxa" w:w="100"/>
              <w:left w:type="dxa" w:w="120"/>
              <w:bottom w:type="dxa" w:w="100"/>
              <w:right w:type="dxa" w:w="120"/>
            </w:tcMar>
          </w:tcPr>
          <w:p>
            <w:r>
              <w:rPr>
                <w:b/>
                <w:bCs/>
                <w:color w:val="FFFFFF"/>
                <w:sz w:val="19"/>
                <w:szCs w:val="19"/>
              </w:rPr>
              <w:t xml:space="preserve">Phase</w:t>
            </w:r>
          </w:p>
        </w:tc>
        <w:tc>
          <w:tcPr>
            <w:tcW w:type="dxa" w:w="1800"/>
            <w:shd w:fill="1F3864" w:color="auto" w:val="clear"/>
            <w:tcMar>
              <w:top w:type="dxa" w:w="100"/>
              <w:left w:type="dxa" w:w="120"/>
              <w:bottom w:type="dxa" w:w="100"/>
              <w:right w:type="dxa" w:w="120"/>
            </w:tcMar>
          </w:tcPr>
          <w:p>
            <w:r>
              <w:rPr>
                <w:b/>
                <w:bCs/>
                <w:color w:val="FFFFFF"/>
                <w:sz w:val="19"/>
                <w:szCs w:val="19"/>
              </w:rPr>
              <w:t xml:space="preserve">Timeline</w:t>
            </w:r>
          </w:p>
        </w:tc>
        <w:tc>
          <w:tcPr>
            <w:tcW w:type="dxa" w:w="6300"/>
            <w:shd w:fill="1F3864" w:color="auto" w:val="clear"/>
            <w:tcMar>
              <w:top w:type="dxa" w:w="100"/>
              <w:left w:type="dxa" w:w="120"/>
              <w:bottom w:type="dxa" w:w="100"/>
              <w:right w:type="dxa" w:w="120"/>
            </w:tcMar>
          </w:tcPr>
          <w:p>
            <w:r>
              <w:rPr>
                <w:b/>
                <w:bCs/>
                <w:color w:val="FFFFFF"/>
                <w:sz w:val="19"/>
                <w:szCs w:val="19"/>
              </w:rPr>
              <w:t xml:space="preserve">Key Deliverables</w:t>
            </w:r>
          </w:p>
        </w:tc>
      </w:tr>
      <w:tr>
        <w:tc>
          <w:tcPr>
            <w:tcW w:type="dxa" w:w="1400"/>
            <w:shd w:fill="FFFFFF" w:color="auto" w:val="clear"/>
            <w:tcMar>
              <w:top w:type="dxa" w:w="90"/>
              <w:left w:type="dxa" w:w="120"/>
              <w:bottom w:type="dxa" w:w="90"/>
              <w:right w:type="dxa" w:w="120"/>
            </w:tcMar>
          </w:tcPr>
          <w:p>
            <w:r>
              <w:rPr>
                <w:sz w:val="19"/>
                <w:szCs w:val="19"/>
              </w:rPr>
              <w:t xml:space="preserve">Phase 1</w:t>
            </w:r>
          </w:p>
        </w:tc>
        <w:tc>
          <w:tcPr>
            <w:tcW w:type="dxa" w:w="1800"/>
            <w:shd w:fill="FFFFFF" w:color="auto" w:val="clear"/>
            <w:tcMar>
              <w:top w:type="dxa" w:w="90"/>
              <w:left w:type="dxa" w:w="120"/>
              <w:bottom w:type="dxa" w:w="90"/>
              <w:right w:type="dxa" w:w="120"/>
            </w:tcMar>
          </w:tcPr>
          <w:p>
            <w:r>
              <w:rPr>
                <w:sz w:val="19"/>
                <w:szCs w:val="19"/>
              </w:rPr>
              <w:t xml:space="preserve">Weeks 1–3</w:t>
            </w:r>
          </w:p>
        </w:tc>
        <w:tc>
          <w:tcPr>
            <w:tcW w:type="dxa" w:w="6300"/>
            <w:shd w:fill="FFFFFF" w:color="auto" w:val="clear"/>
            <w:tcMar>
              <w:top w:type="dxa" w:w="90"/>
              <w:left w:type="dxa" w:w="120"/>
              <w:bottom w:type="dxa" w:w="90"/>
              <w:right w:type="dxa" w:w="120"/>
            </w:tcMar>
          </w:tcPr>
          <w:p>
            <w:r>
              <w:rPr>
                <w:sz w:val="19"/>
                <w:szCs w:val="19"/>
              </w:rPr>
              <w:t xml:space="preserve">Extraction MVP: Claude Vision pipeline for invoices/packing lists; verification UI; begin formal outreach to GRA/Ghana Link on data-access options.</w:t>
            </w:r>
          </w:p>
        </w:tc>
      </w:tr>
      <w:tr>
        <w:tc>
          <w:tcPr>
            <w:tcW w:type="dxa" w:w="1400"/>
            <w:shd w:fill="DCE6F1" w:color="auto" w:val="clear"/>
            <w:tcMar>
              <w:top w:type="dxa" w:w="90"/>
              <w:left w:type="dxa" w:w="120"/>
              <w:bottom w:type="dxa" w:w="90"/>
              <w:right w:type="dxa" w:w="120"/>
            </w:tcMar>
          </w:tcPr>
          <w:p>
            <w:r>
              <w:rPr>
                <w:sz w:val="19"/>
                <w:szCs w:val="19"/>
              </w:rPr>
              <w:t xml:space="preserve">Phase 2</w:t>
            </w:r>
          </w:p>
        </w:tc>
        <w:tc>
          <w:tcPr>
            <w:tcW w:type="dxa" w:w="1800"/>
            <w:shd w:fill="DCE6F1" w:color="auto" w:val="clear"/>
            <w:tcMar>
              <w:top w:type="dxa" w:w="90"/>
              <w:left w:type="dxa" w:w="120"/>
              <w:bottom w:type="dxa" w:w="90"/>
              <w:right w:type="dxa" w:w="120"/>
            </w:tcMar>
          </w:tcPr>
          <w:p>
            <w:r>
              <w:rPr>
                <w:sz w:val="19"/>
                <w:szCs w:val="19"/>
              </w:rPr>
              <w:t xml:space="preserve">Weeks 4–6</w:t>
            </w:r>
          </w:p>
        </w:tc>
        <w:tc>
          <w:tcPr>
            <w:tcW w:type="dxa" w:w="6300"/>
            <w:shd w:fill="DCE6F1" w:color="auto" w:val="clear"/>
            <w:tcMar>
              <w:top w:type="dxa" w:w="90"/>
              <w:left w:type="dxa" w:w="120"/>
              <w:bottom w:type="dxa" w:w="90"/>
              <w:right w:type="dxa" w:w="120"/>
            </w:tcMar>
          </w:tcPr>
          <w:p>
            <w:r>
              <w:rPr>
                <w:sz w:val="19"/>
                <w:szCs w:val="19"/>
              </w:rPr>
              <w:t xml:space="preserve">Compliance rules engine (HS/valuation flagging); Browser Copilot Extension for authenticated pre-fill; audit logging.</w:t>
            </w:r>
          </w:p>
        </w:tc>
      </w:tr>
      <w:tr>
        <w:tc>
          <w:tcPr>
            <w:tcW w:type="dxa" w:w="1400"/>
            <w:shd w:fill="FFFFFF" w:color="auto" w:val="clear"/>
            <w:tcMar>
              <w:top w:type="dxa" w:w="90"/>
              <w:left w:type="dxa" w:w="120"/>
              <w:bottom w:type="dxa" w:w="90"/>
              <w:right w:type="dxa" w:w="120"/>
            </w:tcMar>
          </w:tcPr>
          <w:p>
            <w:r>
              <w:rPr>
                <w:sz w:val="19"/>
                <w:szCs w:val="19"/>
              </w:rPr>
              <w:t xml:space="preserve">Phase 3</w:t>
            </w:r>
          </w:p>
        </w:tc>
        <w:tc>
          <w:tcPr>
            <w:tcW w:type="dxa" w:w="1800"/>
            <w:shd w:fill="FFFFFF" w:color="auto" w:val="clear"/>
            <w:tcMar>
              <w:top w:type="dxa" w:w="90"/>
              <w:left w:type="dxa" w:w="120"/>
              <w:bottom w:type="dxa" w:w="90"/>
              <w:right w:type="dxa" w:w="120"/>
            </w:tcMar>
          </w:tcPr>
          <w:p>
            <w:r>
              <w:rPr>
                <w:sz w:val="19"/>
                <w:szCs w:val="19"/>
              </w:rPr>
              <w:t xml:space="preserve">Weeks 7–9</w:t>
            </w:r>
          </w:p>
        </w:tc>
        <w:tc>
          <w:tcPr>
            <w:tcW w:type="dxa" w:w="6300"/>
            <w:shd w:fill="FFFFFF" w:color="auto" w:val="clear"/>
            <w:tcMar>
              <w:top w:type="dxa" w:w="90"/>
              <w:left w:type="dxa" w:w="120"/>
              <w:bottom w:type="dxa" w:w="90"/>
              <w:right w:type="dxa" w:w="120"/>
            </w:tcMar>
          </w:tcPr>
          <w:p>
            <w:r>
              <w:rPr>
                <w:sz w:val="19"/>
                <w:szCs w:val="19"/>
              </w:rPr>
              <w:t xml:space="preserve">Mobile companion app; status-alert engine within authorized access; pilot onboarding of 3–5 Tema agencies.</w:t>
            </w:r>
          </w:p>
        </w:tc>
      </w:tr>
      <w:tr>
        <w:tc>
          <w:tcPr>
            <w:tcW w:type="dxa" w:w="1400"/>
            <w:shd w:fill="DCE6F1" w:color="auto" w:val="clear"/>
            <w:tcMar>
              <w:top w:type="dxa" w:w="90"/>
              <w:left w:type="dxa" w:w="120"/>
              <w:bottom w:type="dxa" w:w="90"/>
              <w:right w:type="dxa" w:w="120"/>
            </w:tcMar>
          </w:tcPr>
          <w:p>
            <w:r>
              <w:rPr>
                <w:sz w:val="19"/>
                <w:szCs w:val="19"/>
              </w:rPr>
              <w:t xml:space="preserve">Phase 4</w:t>
            </w:r>
          </w:p>
        </w:tc>
        <w:tc>
          <w:tcPr>
            <w:tcW w:type="dxa" w:w="1800"/>
            <w:shd w:fill="DCE6F1" w:color="auto" w:val="clear"/>
            <w:tcMar>
              <w:top w:type="dxa" w:w="90"/>
              <w:left w:type="dxa" w:w="120"/>
              <w:bottom w:type="dxa" w:w="90"/>
              <w:right w:type="dxa" w:w="120"/>
            </w:tcMar>
          </w:tcPr>
          <w:p>
            <w:r>
              <w:rPr>
                <w:sz w:val="19"/>
                <w:szCs w:val="19"/>
              </w:rPr>
              <w:t xml:space="preserve">Weeks 10–14</w:t>
            </w:r>
          </w:p>
        </w:tc>
        <w:tc>
          <w:tcPr>
            <w:tcW w:type="dxa" w:w="6300"/>
            <w:shd w:fill="DCE6F1" w:color="auto" w:val="clear"/>
            <w:tcMar>
              <w:top w:type="dxa" w:w="90"/>
              <w:left w:type="dxa" w:w="120"/>
              <w:bottom w:type="dxa" w:w="90"/>
              <w:right w:type="dxa" w:w="120"/>
            </w:tcMar>
          </w:tcPr>
          <w:p>
            <w:r>
              <w:rPr>
                <w:sz w:val="19"/>
                <w:szCs w:val="19"/>
              </w:rPr>
              <w:t xml:space="preserve">Convert pilot to paid tiers; begin structuring the anonymized data-intelligence product; first enterprise conversations with banks/insurers.</w:t>
            </w:r>
          </w:p>
        </w:tc>
      </w:tr>
      <w:tr>
        <w:tc>
          <w:tcPr>
            <w:tcW w:type="dxa" w:w="1400"/>
            <w:shd w:fill="FFFFFF" w:color="auto" w:val="clear"/>
            <w:tcMar>
              <w:top w:type="dxa" w:w="90"/>
              <w:left w:type="dxa" w:w="120"/>
              <w:bottom w:type="dxa" w:w="90"/>
              <w:right w:type="dxa" w:w="120"/>
            </w:tcMar>
          </w:tcPr>
          <w:p>
            <w:r>
              <w:rPr>
                <w:sz w:val="19"/>
                <w:szCs w:val="19"/>
              </w:rPr>
              <w:t xml:space="preserve">Phase 5</w:t>
            </w:r>
          </w:p>
        </w:tc>
        <w:tc>
          <w:tcPr>
            <w:tcW w:type="dxa" w:w="1800"/>
            <w:shd w:fill="FFFFFF" w:color="auto" w:val="clear"/>
            <w:tcMar>
              <w:top w:type="dxa" w:w="90"/>
              <w:left w:type="dxa" w:w="120"/>
              <w:bottom w:type="dxa" w:w="90"/>
              <w:right w:type="dxa" w:w="120"/>
            </w:tcMar>
          </w:tcPr>
          <w:p>
            <w:r>
              <w:rPr>
                <w:sz w:val="19"/>
                <w:szCs w:val="19"/>
              </w:rPr>
              <w:t xml:space="preserve">Months 4–9</w:t>
            </w:r>
          </w:p>
        </w:tc>
        <w:tc>
          <w:tcPr>
            <w:tcW w:type="dxa" w:w="6300"/>
            <w:shd w:fill="FFFFFF" w:color="auto" w:val="clear"/>
            <w:tcMar>
              <w:top w:type="dxa" w:w="90"/>
              <w:left w:type="dxa" w:w="120"/>
              <w:bottom w:type="dxa" w:w="90"/>
              <w:right w:type="dxa" w:w="120"/>
            </w:tcMar>
          </w:tcPr>
          <w:p>
            <w:r>
              <w:rPr>
                <w:sz w:val="19"/>
                <w:szCs w:val="19"/>
              </w:rPr>
              <w:t xml:space="preserve">Scale SaaS tier toward 25+ agencies; formalize any sanctioned GRA integration reached during Phase 1 outreach; scope first regional market.</w:t>
            </w:r>
          </w:p>
        </w:tc>
      </w:tr>
    </w:tbl>
    <w:p>
      <w:r>
        <w:br w:type="page"/>
      </w:r>
    </w:p>
    <w:p>
      <w:pPr>
        <w:pStyle w:val="Heading1"/>
        <w:spacing w:after="200" w:before="400"/>
      </w:pPr>
      <w:r>
        <w:rPr>
          <w:b/>
          <w:bCs/>
          <w:color w:val="1F3864"/>
          <w:sz w:val="30"/>
          <w:szCs w:val="30"/>
        </w:rPr>
        <w:t xml:space="preserve">8. Path to a $1M-Class Valuation — Shown, Not Assumed</w:t>
      </w:r>
    </w:p>
    <w:p>
      <w:pPr>
        <w:spacing w:after="160" w:line="276"/>
      </w:pPr>
      <w:r>
        <w:rPr>
          <w:sz w:val="21"/>
          <w:szCs w:val="21"/>
        </w:rPr>
        <w:t xml:space="preserve">Small B2B SaaS businesses typically sell for 3–6x annual recurring revenue (ARR), with the multiple driven by growth rate, retention, and defensibility (data moats push multiples toward the higher end). Below is a credible, execution-dependent path — not a guarantee.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1600"/>
        <w:gridCol w:w="1800"/>
      </w:tblGrid>
      <w:tr>
        <w:tc>
          <w:tcPr>
            <w:tcW w:type="dxa" w:w="2800"/>
            <w:shd w:fill="1F3864" w:color="auto" w:val="clear"/>
            <w:tcMar>
              <w:top w:type="dxa" w:w="100"/>
              <w:left w:type="dxa" w:w="120"/>
              <w:bottom w:type="dxa" w:w="100"/>
              <w:right w:type="dxa" w:w="120"/>
            </w:tcMar>
          </w:tcPr>
          <w:p>
            <w:r>
              <w:rPr>
                <w:b/>
                <w:bCs/>
                <w:color w:val="FFFFFF"/>
                <w:sz w:val="19"/>
                <w:szCs w:val="19"/>
              </w:rPr>
              <w:t xml:space="preserve">Milestone</w:t>
            </w:r>
          </w:p>
        </w:tc>
        <w:tc>
          <w:tcPr>
            <w:tcW w:type="dxa" w:w="3300"/>
            <w:shd w:fill="1F3864" w:color="auto" w:val="clear"/>
            <w:tcMar>
              <w:top w:type="dxa" w:w="100"/>
              <w:left w:type="dxa" w:w="120"/>
              <w:bottom w:type="dxa" w:w="100"/>
              <w:right w:type="dxa" w:w="120"/>
            </w:tcMar>
          </w:tcPr>
          <w:p>
            <w:r>
              <w:rPr>
                <w:b/>
                <w:bCs/>
                <w:color w:val="FFFFFF"/>
                <w:sz w:val="19"/>
                <w:szCs w:val="19"/>
              </w:rPr>
              <w:t xml:space="preserve">Assumption</w:t>
            </w:r>
          </w:p>
        </w:tc>
        <w:tc>
          <w:tcPr>
            <w:tcW w:type="dxa" w:w="1600"/>
            <w:shd w:fill="1F3864" w:color="auto" w:val="clear"/>
            <w:tcMar>
              <w:top w:type="dxa" w:w="100"/>
              <w:left w:type="dxa" w:w="120"/>
              <w:bottom w:type="dxa" w:w="100"/>
              <w:right w:type="dxa" w:w="120"/>
            </w:tcMar>
          </w:tcPr>
          <w:p>
            <w:r>
              <w:rPr>
                <w:b/>
                <w:bCs/>
                <w:color w:val="FFFFFF"/>
                <w:sz w:val="19"/>
                <w:szCs w:val="19"/>
              </w:rPr>
              <w:t xml:space="preserve">Resulting ARR</w:t>
            </w:r>
          </w:p>
        </w:tc>
        <w:tc>
          <w:tcPr>
            <w:tcW w:type="dxa" w:w="1800"/>
            <w:shd w:fill="1F3864" w:color="auto" w:val="clear"/>
            <w:tcMar>
              <w:top w:type="dxa" w:w="100"/>
              <w:left w:type="dxa" w:w="120"/>
              <w:bottom w:type="dxa" w:w="100"/>
              <w:right w:type="dxa" w:w="120"/>
            </w:tcMar>
          </w:tcPr>
          <w:p>
            <w:r>
              <w:rPr>
                <w:b/>
                <w:bCs/>
                <w:color w:val="FFFFFF"/>
                <w:sz w:val="19"/>
                <w:szCs w:val="19"/>
              </w:rPr>
              <w:t xml:space="preserve">Implied Value at 3–5x</w:t>
            </w:r>
          </w:p>
        </w:tc>
      </w:tr>
      <w:tr>
        <w:tc>
          <w:tcPr>
            <w:tcW w:type="dxa" w:w="2800"/>
            <w:shd w:fill="FFFFFF" w:color="auto" w:val="clear"/>
            <w:tcMar>
              <w:top w:type="dxa" w:w="90"/>
              <w:left w:type="dxa" w:w="120"/>
              <w:bottom w:type="dxa" w:w="90"/>
              <w:right w:type="dxa" w:w="120"/>
            </w:tcMar>
          </w:tcPr>
          <w:p>
            <w:r>
              <w:rPr>
                <w:sz w:val="19"/>
                <w:szCs w:val="19"/>
              </w:rPr>
              <w:t xml:space="preserve">Year 1 (Ghana pilot → early paid)</w:t>
            </w:r>
          </w:p>
        </w:tc>
        <w:tc>
          <w:tcPr>
            <w:tcW w:type="dxa" w:w="3300"/>
            <w:shd w:fill="FFFFFF" w:color="auto" w:val="clear"/>
            <w:tcMar>
              <w:top w:type="dxa" w:w="90"/>
              <w:left w:type="dxa" w:w="120"/>
              <w:bottom w:type="dxa" w:w="90"/>
              <w:right w:type="dxa" w:w="120"/>
            </w:tcMar>
          </w:tcPr>
          <w:p>
            <w:r>
              <w:rPr>
                <w:sz w:val="19"/>
                <w:szCs w:val="19"/>
              </w:rPr>
              <w:t xml:space="preserve">15–25 agencies on SaaS tier @ ~$75/mo avg, plus filing-tier volume</w:t>
            </w:r>
          </w:p>
        </w:tc>
        <w:tc>
          <w:tcPr>
            <w:tcW w:type="dxa" w:w="1600"/>
            <w:shd w:fill="FFFFFF" w:color="auto" w:val="clear"/>
            <w:tcMar>
              <w:top w:type="dxa" w:w="90"/>
              <w:left w:type="dxa" w:w="120"/>
              <w:bottom w:type="dxa" w:w="90"/>
              <w:right w:type="dxa" w:w="120"/>
            </w:tcMar>
          </w:tcPr>
          <w:p>
            <w:r>
              <w:rPr>
                <w:sz w:val="19"/>
                <w:szCs w:val="19"/>
              </w:rPr>
              <w:t xml:space="preserve">~$25K–$40K</w:t>
            </w:r>
          </w:p>
        </w:tc>
        <w:tc>
          <w:tcPr>
            <w:tcW w:type="dxa" w:w="1800"/>
            <w:shd w:fill="FFFFFF" w:color="auto" w:val="clear"/>
            <w:tcMar>
              <w:top w:type="dxa" w:w="90"/>
              <w:left w:type="dxa" w:w="120"/>
              <w:bottom w:type="dxa" w:w="90"/>
              <w:right w:type="dxa" w:w="120"/>
            </w:tcMar>
          </w:tcPr>
          <w:p>
            <w:r>
              <w:rPr>
                <w:sz w:val="19"/>
                <w:szCs w:val="19"/>
              </w:rPr>
              <w:t xml:space="preserve">$75K–$200K</w:t>
            </w:r>
          </w:p>
        </w:tc>
      </w:tr>
      <w:tr>
        <w:tc>
          <w:tcPr>
            <w:tcW w:type="dxa" w:w="2800"/>
            <w:shd w:fill="DCE6F1" w:color="auto" w:val="clear"/>
            <w:tcMar>
              <w:top w:type="dxa" w:w="90"/>
              <w:left w:type="dxa" w:w="120"/>
              <w:bottom w:type="dxa" w:w="90"/>
              <w:right w:type="dxa" w:w="120"/>
            </w:tcMar>
          </w:tcPr>
          <w:p>
            <w:r>
              <w:rPr>
                <w:sz w:val="19"/>
                <w:szCs w:val="19"/>
              </w:rPr>
              <w:t xml:space="preserve">Year 2 (Ghana scale + data tier launch)</w:t>
            </w:r>
          </w:p>
        </w:tc>
        <w:tc>
          <w:tcPr>
            <w:tcW w:type="dxa" w:w="3300"/>
            <w:shd w:fill="DCE6F1" w:color="auto" w:val="clear"/>
            <w:tcMar>
              <w:top w:type="dxa" w:w="90"/>
              <w:left w:type="dxa" w:w="120"/>
              <w:bottom w:type="dxa" w:w="90"/>
              <w:right w:type="dxa" w:w="120"/>
            </w:tcMar>
          </w:tcPr>
          <w:p>
            <w:r>
              <w:rPr>
                <w:sz w:val="19"/>
                <w:szCs w:val="19"/>
              </w:rPr>
              <w:t xml:space="preserve">60–80 agencies + 2–4 enterprise data clients @ ~$1,500/mo avg</w:t>
            </w:r>
          </w:p>
        </w:tc>
        <w:tc>
          <w:tcPr>
            <w:tcW w:type="dxa" w:w="1600"/>
            <w:shd w:fill="DCE6F1" w:color="auto" w:val="clear"/>
            <w:tcMar>
              <w:top w:type="dxa" w:w="90"/>
              <w:left w:type="dxa" w:w="120"/>
              <w:bottom w:type="dxa" w:w="90"/>
              <w:right w:type="dxa" w:w="120"/>
            </w:tcMar>
          </w:tcPr>
          <w:p>
            <w:r>
              <w:rPr>
                <w:sz w:val="19"/>
                <w:szCs w:val="19"/>
              </w:rPr>
              <w:t xml:space="preserve">~$150K–$220K</w:t>
            </w:r>
          </w:p>
        </w:tc>
        <w:tc>
          <w:tcPr>
            <w:tcW w:type="dxa" w:w="1800"/>
            <w:shd w:fill="DCE6F1" w:color="auto" w:val="clear"/>
            <w:tcMar>
              <w:top w:type="dxa" w:w="90"/>
              <w:left w:type="dxa" w:w="120"/>
              <w:bottom w:type="dxa" w:w="90"/>
              <w:right w:type="dxa" w:w="120"/>
            </w:tcMar>
          </w:tcPr>
          <w:p>
            <w:r>
              <w:rPr>
                <w:sz w:val="19"/>
                <w:szCs w:val="19"/>
              </w:rPr>
              <w:t xml:space="preserve">$450K–$1.1M</w:t>
            </w:r>
          </w:p>
        </w:tc>
      </w:tr>
      <w:tr>
        <w:tc>
          <w:tcPr>
            <w:tcW w:type="dxa" w:w="2800"/>
            <w:shd w:fill="FFFFFF" w:color="auto" w:val="clear"/>
            <w:tcMar>
              <w:top w:type="dxa" w:w="90"/>
              <w:left w:type="dxa" w:w="120"/>
              <w:bottom w:type="dxa" w:w="90"/>
              <w:right w:type="dxa" w:w="120"/>
            </w:tcMar>
          </w:tcPr>
          <w:p>
            <w:r>
              <w:rPr>
                <w:sz w:val="19"/>
                <w:szCs w:val="19"/>
              </w:rPr>
              <w:t xml:space="preserve">Year 3 (regional expansion begins)</w:t>
            </w:r>
          </w:p>
        </w:tc>
        <w:tc>
          <w:tcPr>
            <w:tcW w:type="dxa" w:w="3300"/>
            <w:shd w:fill="FFFFFF" w:color="auto" w:val="clear"/>
            <w:tcMar>
              <w:top w:type="dxa" w:w="90"/>
              <w:left w:type="dxa" w:w="120"/>
              <w:bottom w:type="dxa" w:w="90"/>
              <w:right w:type="dxa" w:w="120"/>
            </w:tcMar>
          </w:tcPr>
          <w:p>
            <w:r>
              <w:rPr>
                <w:sz w:val="19"/>
                <w:szCs w:val="19"/>
              </w:rPr>
              <w:t xml:space="preserve">100+ Ghana agencies, 6–10 enterprise data clients, first regional market live</w:t>
            </w:r>
          </w:p>
        </w:tc>
        <w:tc>
          <w:tcPr>
            <w:tcW w:type="dxa" w:w="1600"/>
            <w:shd w:fill="FFFFFF" w:color="auto" w:val="clear"/>
            <w:tcMar>
              <w:top w:type="dxa" w:w="90"/>
              <w:left w:type="dxa" w:w="120"/>
              <w:bottom w:type="dxa" w:w="90"/>
              <w:right w:type="dxa" w:w="120"/>
            </w:tcMar>
          </w:tcPr>
          <w:p>
            <w:r>
              <w:rPr>
                <w:sz w:val="19"/>
                <w:szCs w:val="19"/>
              </w:rPr>
              <w:t xml:space="preserve">~$280K–$400K</w:t>
            </w:r>
          </w:p>
        </w:tc>
        <w:tc>
          <w:tcPr>
            <w:tcW w:type="dxa" w:w="1800"/>
            <w:shd w:fill="FFFFFF" w:color="auto" w:val="clear"/>
            <w:tcMar>
              <w:top w:type="dxa" w:w="90"/>
              <w:left w:type="dxa" w:w="120"/>
              <w:bottom w:type="dxa" w:w="90"/>
              <w:right w:type="dxa" w:w="120"/>
            </w:tcMar>
          </w:tcPr>
          <w:p>
            <w:r>
              <w:rPr>
                <w:sz w:val="19"/>
                <w:szCs w:val="19"/>
              </w:rPr>
              <w:t xml:space="preserve">$840K–$2.0M</w:t>
            </w:r>
          </w:p>
        </w:tc>
      </w:tr>
    </w:tbl>
    <w:p>
      <w:pPr>
        <w:spacing w:after="160" w:line="276"/>
      </w:pPr>
      <w:r>
        <w:rPr>
          <w:sz w:val="21"/>
          <w:szCs w:val="21"/>
        </w:rPr>
        <w:t xml:space="preserve">The realistic $1M+ outcome sits at the Year 2–3 boundary, and it is driven almost entirely by the enterprise data-intelligence tier and early regional traction — not by the per-document filing revenue that dominated v1's model. That tier does not exist without the compliance credibility built in Section 4, which is why fixing the legal exposure isn't just risk management — it's the thing that makes the valuation story work at all.</w:t>
      </w:r>
    </w:p>
    <w:p>
      <w:pPr>
        <w:pStyle w:val="Heading1"/>
        <w:spacing w:after="200" w:before="400"/>
      </w:pPr>
      <w:r>
        <w:rPr>
          <w:b/>
          <w:bCs/>
          <w:color w:val="1F3864"/>
          <w:sz w:val="30"/>
          <w:szCs w:val="30"/>
        </w:rPr>
        <w:t xml:space="preserve">9. Key Risks &amp;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W w:type="dxa" w:w="4200"/>
            <w:shd w:fill="1F3864" w:color="auto" w:val="clear"/>
            <w:tcMar>
              <w:top w:type="dxa" w:w="100"/>
              <w:left w:type="dxa" w:w="120"/>
              <w:bottom w:type="dxa" w:w="100"/>
              <w:right w:type="dxa" w:w="120"/>
            </w:tcMar>
          </w:tcPr>
          <w:p>
            <w:r>
              <w:rPr>
                <w:b/>
                <w:bCs/>
                <w:color w:val="FFFFFF"/>
                <w:sz w:val="19"/>
                <w:szCs w:val="19"/>
              </w:rPr>
              <w:t xml:space="preserve">Risk</w:t>
            </w:r>
          </w:p>
        </w:tc>
        <w:tc>
          <w:tcPr>
            <w:tcW w:type="dxa" w:w="5300"/>
            <w:shd w:fill="1F3864" w:color="auto" w:val="clear"/>
            <w:tcMar>
              <w:top w:type="dxa" w:w="100"/>
              <w:left w:type="dxa" w:w="120"/>
              <w:bottom w:type="dxa" w:w="100"/>
              <w:right w:type="dxa" w:w="120"/>
            </w:tcMar>
          </w:tcPr>
          <w:p>
            <w:r>
              <w:rPr>
                <w:b/>
                <w:bCs/>
                <w:color w:val="FFFFFF"/>
                <w:sz w:val="19"/>
                <w:szCs w:val="19"/>
              </w:rPr>
              <w:t xml:space="preserve">Mitigation</w:t>
            </w:r>
          </w:p>
        </w:tc>
      </w:tr>
      <w:tr>
        <w:tc>
          <w:tcPr>
            <w:tcW w:type="dxa" w:w="4200"/>
            <w:shd w:fill="FFFFFF" w:color="auto" w:val="clear"/>
            <w:tcMar>
              <w:top w:type="dxa" w:w="90"/>
              <w:left w:type="dxa" w:w="120"/>
              <w:bottom w:type="dxa" w:w="90"/>
              <w:right w:type="dxa" w:w="120"/>
            </w:tcMar>
          </w:tcPr>
          <w:p>
            <w:r>
              <w:rPr>
                <w:sz w:val="19"/>
                <w:szCs w:val="19"/>
              </w:rPr>
              <w:t xml:space="preserve">GRA/Ghana Link views the copilot extension unfavorably despite human-in-the-loop design.</w:t>
            </w:r>
          </w:p>
        </w:tc>
        <w:tc>
          <w:tcPr>
            <w:tcW w:type="dxa" w:w="5300"/>
            <w:shd w:fill="FFFFFF" w:color="auto" w:val="clear"/>
            <w:tcMar>
              <w:top w:type="dxa" w:w="90"/>
              <w:left w:type="dxa" w:w="120"/>
              <w:bottom w:type="dxa" w:w="90"/>
              <w:right w:type="dxa" w:w="120"/>
            </w:tcMar>
          </w:tcPr>
          <w:p>
            <w:r>
              <w:rPr>
                <w:sz w:val="19"/>
                <w:szCs w:val="19"/>
              </w:rPr>
              <w:t xml:space="preserve">Proactive, documented outreach before scale (Section 4); design the extension to require the agent's own manual submit action at every step.</w:t>
            </w:r>
          </w:p>
        </w:tc>
      </w:tr>
      <w:tr>
        <w:tc>
          <w:tcPr>
            <w:tcW w:type="dxa" w:w="4200"/>
            <w:shd w:fill="DCE6F1" w:color="auto" w:val="clear"/>
            <w:tcMar>
              <w:top w:type="dxa" w:w="90"/>
              <w:left w:type="dxa" w:w="120"/>
              <w:bottom w:type="dxa" w:w="90"/>
              <w:right w:type="dxa" w:w="120"/>
            </w:tcMar>
          </w:tcPr>
          <w:p>
            <w:r>
              <w:rPr>
                <w:sz w:val="19"/>
                <w:szCs w:val="19"/>
              </w:rPr>
              <w:t xml:space="preserve">Extraction accuracy on poor-quality scans undermines trust.</w:t>
            </w:r>
          </w:p>
        </w:tc>
        <w:tc>
          <w:tcPr>
            <w:tcW w:type="dxa" w:w="5300"/>
            <w:shd w:fill="DCE6F1" w:color="auto" w:val="clear"/>
            <w:tcMar>
              <w:top w:type="dxa" w:w="90"/>
              <w:left w:type="dxa" w:w="120"/>
              <w:bottom w:type="dxa" w:w="90"/>
              <w:right w:type="dxa" w:w="120"/>
            </w:tcMar>
          </w:tcPr>
          <w:p>
            <w:r>
              <w:rPr>
                <w:sz w:val="19"/>
                <w:szCs w:val="19"/>
              </w:rPr>
              <w:t xml:space="preserve">Pilot-phase accuracy benchmarking against 20–30 real invoices before pricing is finalized; confidence scoring surfaced to the user, not hidden.</w:t>
            </w:r>
          </w:p>
        </w:tc>
      </w:tr>
      <w:tr>
        <w:tc>
          <w:tcPr>
            <w:tcW w:type="dxa" w:w="4200"/>
            <w:shd w:fill="FFFFFF" w:color="auto" w:val="clear"/>
            <w:tcMar>
              <w:top w:type="dxa" w:w="90"/>
              <w:left w:type="dxa" w:w="120"/>
              <w:bottom w:type="dxa" w:w="90"/>
              <w:right w:type="dxa" w:w="120"/>
            </w:tcMar>
          </w:tcPr>
          <w:p>
            <w:r>
              <w:rPr>
                <w:sz w:val="19"/>
                <w:szCs w:val="19"/>
              </w:rPr>
              <w:t xml:space="preserve">Data-intelligence tier faces client resistance over confidentiality.</w:t>
            </w:r>
          </w:p>
        </w:tc>
        <w:tc>
          <w:tcPr>
            <w:tcW w:type="dxa" w:w="5300"/>
            <w:shd w:fill="FFFFFF" w:color="auto" w:val="clear"/>
            <w:tcMar>
              <w:top w:type="dxa" w:w="90"/>
              <w:left w:type="dxa" w:w="120"/>
              <w:bottom w:type="dxa" w:w="90"/>
              <w:right w:type="dxa" w:w="120"/>
            </w:tcMar>
          </w:tcPr>
          <w:p>
            <w:r>
              <w:rPr>
                <w:sz w:val="19"/>
                <w:szCs w:val="19"/>
              </w:rPr>
              <w:t xml:space="preserve">Aggregate and anonymize at the dataset level; no client-identifiable commercial invoice data ever resold; contractual data-use terms reviewed with counsel.</w:t>
            </w:r>
          </w:p>
        </w:tc>
      </w:tr>
      <w:tr>
        <w:tc>
          <w:tcPr>
            <w:tcW w:type="dxa" w:w="4200"/>
            <w:shd w:fill="DCE6F1" w:color="auto" w:val="clear"/>
            <w:tcMar>
              <w:top w:type="dxa" w:w="90"/>
              <w:left w:type="dxa" w:w="120"/>
              <w:bottom w:type="dxa" w:w="90"/>
              <w:right w:type="dxa" w:w="120"/>
            </w:tcMar>
          </w:tcPr>
          <w:p>
            <w:r>
              <w:rPr>
                <w:sz w:val="19"/>
                <w:szCs w:val="19"/>
              </w:rPr>
              <w:t xml:space="preserve">Regional expansion assumes portal/process similarity that may not hold.</w:t>
            </w:r>
          </w:p>
        </w:tc>
        <w:tc>
          <w:tcPr>
            <w:tcW w:type="dxa" w:w="5300"/>
            <w:shd w:fill="DCE6F1" w:color="auto" w:val="clear"/>
            <w:tcMar>
              <w:top w:type="dxa" w:w="90"/>
              <w:left w:type="dxa" w:w="120"/>
              <w:bottom w:type="dxa" w:w="90"/>
              <w:right w:type="dxa" w:w="120"/>
            </w:tcMar>
          </w:tcPr>
          <w:p>
            <w:r>
              <w:rPr>
                <w:sz w:val="19"/>
                <w:szCs w:val="19"/>
              </w:rPr>
              <w:t xml:space="preserve">Treat Year 3 regional entry as a scoped pilot with a local partner, not a full rebuild commitment.</w:t>
            </w:r>
          </w:p>
        </w:tc>
      </w:tr>
    </w:tbl>
    <w:p>
      <w:pPr>
        <w:pStyle w:val="Heading1"/>
        <w:spacing w:after="200" w:before="400"/>
      </w:pPr>
      <w:r>
        <w:rPr>
          <w:b/>
          <w:bCs/>
          <w:color w:val="1F3864"/>
          <w:sz w:val="30"/>
          <w:szCs w:val="30"/>
        </w:rPr>
        <w:t xml:space="preserve">10. Bottom Line</w:t>
      </w:r>
    </w:p>
    <w:p>
      <w:pPr>
        <w:spacing w:after="160" w:line="276"/>
      </w:pPr>
      <w:r>
        <w:rPr>
          <w:sz w:val="21"/>
          <w:szCs w:val="21"/>
        </w:rPr>
        <w:t xml:space="preserve">This version is fundable and, with real execution, acquirable — the first version was neither, because its core automation mechanism carried unresolved legal risk and its revenue model couldn't clear the bar acquirers use. The path to seven figures runs through compliance credibility, a proprietary dataset, and a second market — not through faster scraping.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2026-08-25T08:29:47.227Z</dcterms:created>
  <dcterms:modified xsi:type="dcterms:W3CDTF">2026-08-25T08:29:47.242Z</dcterms:modified>
</cp:coreProperties>
</file>

<file path=docProps/custom.xml><?xml version="1.0" encoding="utf-8"?>
<Properties xmlns="http://schemas.openxmlformats.org/officeDocument/2006/custom-properties" xmlns:vt="http://schemas.openxmlformats.org/officeDocument/2006/docPropsVTypes"/>
</file>