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0"/>
          <w:szCs w:val="40"/>
        </w:rPr>
        <w:t xml:space="preserve">TRADEPULSE AI</w:t>
      </w:r>
    </w:p>
    <w:p>
      <w:pPr>
        <w:spacing w:after="60"/>
        <w:jc w:val="center"/>
      </w:pPr>
      <w:r>
        <w:rPr>
          <w:rFonts w:ascii="Arial" w:cs="Arial" w:eastAsia="Arial" w:hAnsi="Arial"/>
          <w:b/>
          <w:bCs/>
          <w:color w:val="2874A6"/>
          <w:sz w:val="28"/>
          <w:szCs w:val="28"/>
        </w:rPr>
        <w:t xml:space="preserve">Enhanced Feature Set &amp; Product Roadmap</w:t>
      </w:r>
    </w:p>
    <w:p>
      <w:pPr>
        <w:spacing w:after="200"/>
        <w:jc w:val="center"/>
      </w:pPr>
      <w:r>
        <w:rPr>
          <w:rFonts w:ascii="Arial" w:cs="Arial" w:eastAsia="Arial" w:hAnsi="Arial"/>
          <w:i/>
          <w:iCs/>
          <w:color w:val="555555"/>
          <w:sz w:val="18"/>
          <w:szCs w:val="18"/>
        </w:rPr>
        <w:t xml:space="preserve">Building on Blueprint v2 — Higher-Value Capabilities for Defensibility, Retention &amp; Valuation</w:t>
      </w:r>
    </w:p>
    <w:p>
      <w:pPr>
        <w:spacing w:after="300"/>
        <w:jc w:val="center"/>
      </w:pPr>
      <w:r>
        <w:rPr>
          <w:rFonts w:ascii="Arial" w:cs="Arial" w:eastAsia="Arial" w:hAnsi="Arial"/>
          <w:color w:val="888888"/>
          <w:sz w:val="16"/>
          <w:szCs w:val="16"/>
        </w:rPr>
        <w:t xml:space="preserve">Document Date: August 2026  |  Companion to Commercial Blueprint v2</w:t>
      </w:r>
    </w:p>
    <w:p>
      <w:pPr>
        <w:pStyle w:val="Heading1"/>
      </w:pPr>
      <w:r>
        <w:t xml:space="preserve">1. Core Assets Retained from v2</w:t>
      </w:r>
    </w:p>
    <w:p>
      <w:pPr>
        <w:spacing w:after="120"/>
      </w:pPr>
      <w:r>
        <w:rPr>
          <w:sz w:val="20"/>
          <w:szCs w:val="20"/>
        </w:rPr>
        <w:t xml:space="preserve">These elements form the non-negotiable foundation. Every new feature must protect or amplify them.</w:t>
      </w:r>
    </w:p>
    <w:p>
      <w:pPr>
        <w:pStyle w:val="ListParagraph"/>
        <w:numPr>
          <w:ilvl w:val="0"/>
          <w:numId w:val="2"/>
        </w:numPr>
      </w:pPr>
      <w:r>
        <w:rPr>
          <w:b/>
          <w:bCs/>
        </w:rPr>
        <w:t xml:space="preserve">Human-in-the-loop Browser Copilot</w:t>
      </w:r>
      <w:r>
        <w:t xml:space="preserve"> — Pre-fills inside the licensed agent’s authenticated session; agent always submits. Eliminates unauthorized-access and bot-evasion risk.</w:t>
      </w:r>
    </w:p>
    <w:p>
      <w:pPr>
        <w:pStyle w:val="ListParagraph"/>
        <w:numPr>
          <w:ilvl w:val="0"/>
          <w:numId w:val="2"/>
        </w:numPr>
      </w:pPr>
      <w:r>
        <w:rPr>
          <w:b/>
          <w:bCs/>
        </w:rPr>
        <w:t xml:space="preserve">AI Document Extraction</w:t>
      </w:r>
      <w:r>
        <w:t xml:space="preserve"> — Claude Vision pipeline for invoices &amp; packing lists → structured, human-verifiable JSON in &lt;30 seconds.</w:t>
      </w:r>
    </w:p>
    <w:p>
      <w:pPr>
        <w:pStyle w:val="ListParagraph"/>
        <w:numPr>
          <w:ilvl w:val="0"/>
          <w:numId w:val="2"/>
        </w:numPr>
      </w:pPr>
      <w:r>
        <w:rPr>
          <w:b/>
          <w:bCs/>
        </w:rPr>
        <w:t xml:space="preserve">Compliance Rules Layer</w:t>
      </w:r>
      <w:r>
        <w:t xml:space="preserve"> — Flags HS misclassification, valuation anomalies, and missing SOC items before submission.</w:t>
      </w:r>
    </w:p>
    <w:p>
      <w:pPr>
        <w:pStyle w:val="ListParagraph"/>
        <w:numPr>
          <w:ilvl w:val="0"/>
          <w:numId w:val="2"/>
        </w:numPr>
      </w:pPr>
      <w:r>
        <w:rPr>
          <w:b/>
          <w:bCs/>
        </w:rPr>
        <w:t xml:space="preserve">Authorized Status Monitoring + Alerts</w:t>
      </w:r>
      <w:r>
        <w:t xml:space="preserve"> — 24/7 tracking within the agent’s own session; push/WhatsApp on state change.</w:t>
      </w:r>
    </w:p>
    <w:p>
      <w:pPr>
        <w:pStyle w:val="ListParagraph"/>
        <w:numPr>
          <w:ilvl w:val="0"/>
          <w:numId w:val="2"/>
        </w:numPr>
      </w:pPr>
      <w:r>
        <w:rPr>
          <w:b/>
          <w:bCs/>
        </w:rPr>
        <w:t xml:space="preserve">Audit Trail &amp; Data Protection</w:t>
      </w:r>
      <w:r>
        <w:t xml:space="preserve"> — Full event logging, AES-256, Act 843 alignment, no resale of identifiable commercial data.</w:t>
      </w:r>
    </w:p>
    <w:p>
      <w:pPr>
        <w:pStyle w:val="ListParagraph"/>
        <w:numPr>
          <w:ilvl w:val="0"/>
          <w:numId w:val="2"/>
        </w:numPr>
        <w:spacing w:after="200"/>
      </w:pPr>
      <w:r>
        <w:rPr>
          <w:b/>
          <w:bCs/>
        </w:rPr>
        <w:t xml:space="preserve">Tier-3 Data Intelligence Moat</w:t>
      </w:r>
      <w:r>
        <w:t xml:space="preserve"> — Anonymized trade-flow dataset (HS patterns, valuation trends, clearance benchmarks) sold to banks, insurers, and logistics firms.</w:t>
      </w:r>
    </w:p>
    <w:p>
      <w:pPr>
        <w:pStyle w:val="Heading1"/>
      </w:pPr>
      <w:r>
        <w:t xml:space="preserve">2. High-Value Feature Additions</w:t>
      </w:r>
    </w:p>
    <w:p>
      <w:pPr>
        <w:spacing w:after="120"/>
      </w:pPr>
      <w:r>
        <w:rPr>
          <w:sz w:val="20"/>
          <w:szCs w:val="20"/>
        </w:rPr>
        <w:t xml:space="preserve">These features raise switching costs, deepen the data moat, expand addressable revenue, and strengthen the path to a $1M+ valuation.</w:t>
      </w:r>
    </w:p>
    <w:p>
      <w:pPr>
        <w:pStyle w:val="Heading2"/>
      </w:pPr>
      <w:r>
        <w:t xml:space="preserve">2.1 Intelligent HS Code Assistant (Learning Loop)</w:t>
      </w:r>
    </w:p>
    <w:p>
      <w:pPr>
        <w:spacing w:after="80"/>
      </w:pPr>
      <w:r>
        <w:rPr>
          <w:sz w:val="20"/>
          <w:szCs w:val="20"/>
        </w:rPr>
        <w:t xml:space="preserve">Problem today: Agents still second-guess classifications. Corrections are lost knowledge.</w:t>
      </w:r>
    </w:p>
    <w:p>
      <w:pPr>
        <w:pStyle w:val="ListParagraph"/>
        <w:numPr>
          <w:ilvl w:val="0"/>
          <w:numId w:val="3"/>
        </w:numPr>
      </w:pPr>
      <w:r>
        <w:rPr>
          <w:b/>
          <w:bCs/>
        </w:rPr>
        <w:t xml:space="preserve">Confidence-scored suggestions</w:t>
      </w:r>
      <w:r>
        <w:t xml:space="preserve"> — Model proposes top-3 HS codes with rationale and historical acceptance rate for similar goods.</w:t>
      </w:r>
    </w:p>
    <w:p>
      <w:pPr>
        <w:pStyle w:val="ListParagraph"/>
        <w:numPr>
          <w:ilvl w:val="0"/>
          <w:numId w:val="3"/>
        </w:numPr>
      </w:pPr>
      <w:r>
        <w:rPr>
          <w:b/>
          <w:bCs/>
        </w:rPr>
        <w:t xml:space="preserve">Correction feedback loop</w:t>
      </w:r>
      <w:r>
        <w:t xml:space="preserve"> — Every human override trains a private agency-level model; accuracy improves with use.</w:t>
      </w:r>
    </w:p>
    <w:p>
      <w:pPr>
        <w:pStyle w:val="ListParagraph"/>
        <w:numPr>
          <w:ilvl w:val="0"/>
          <w:numId w:val="3"/>
        </w:numPr>
      </w:pPr>
      <w:r>
        <w:rPr>
          <w:b/>
          <w:bCs/>
        </w:rPr>
        <w:t xml:space="preserve">GRA ruling library</w:t>
      </w:r>
      <w:r>
        <w:t xml:space="preserve"> — Surface relevant advance rulings and tariff notes inside the verification screen.</w:t>
      </w:r>
    </w:p>
    <w:p>
      <w:pPr>
        <w:pStyle w:val="ListParagraph"/>
        <w:numPr>
          <w:ilvl w:val="0"/>
          <w:numId w:val="3"/>
        </w:numPr>
        <w:spacing w:after="160"/>
      </w:pPr>
      <w:r>
        <w:rPr>
          <w:b/>
          <w:bCs/>
          <w:color w:val="1B4F72"/>
        </w:rPr>
        <w:t xml:space="preserve">Value</w:t>
      </w:r>
      <w:r>
        <w:t xml:space="preserve">: Cuts post-submission queries and re-assessments; becomes sticky institutional knowledge that competitors cannot copy.</w:t>
      </w:r>
    </w:p>
    <w:p>
      <w:pPr>
        <w:pStyle w:val="Heading2"/>
      </w:pPr>
      <w:r>
        <w:t xml:space="preserve">2.2 Predictive Demurrage &amp; Cost Risk Engine</w:t>
      </w:r>
    </w:p>
    <w:p>
      <w:pPr>
        <w:spacing w:after="80"/>
      </w:pPr>
      <w:r>
        <w:rPr>
          <w:sz w:val="20"/>
          <w:szCs w:val="20"/>
        </w:rPr>
        <w:t xml:space="preserve">Problem today: Agents discover storage/demurrage costs after the fact.</w:t>
      </w:r>
    </w:p>
    <w:p>
      <w:pPr>
        <w:pStyle w:val="ListParagraph"/>
        <w:numPr>
          <w:ilvl w:val="0"/>
          <w:numId w:val="4"/>
        </w:numPr>
      </w:pPr>
      <w:r>
        <w:rPr>
          <w:b/>
          <w:bCs/>
        </w:rPr>
        <w:t xml:space="preserve">Clearance-time prediction</w:t>
      </w:r>
      <w:r>
        <w:t xml:space="preserve"> — Based on commodity, terminal, valuation band, and current port congestion signals.</w:t>
      </w:r>
    </w:p>
    <w:p>
      <w:pPr>
        <w:pStyle w:val="ListParagraph"/>
        <w:numPr>
          <w:ilvl w:val="0"/>
          <w:numId w:val="4"/>
        </w:numPr>
      </w:pPr>
      <w:r>
        <w:rPr>
          <w:b/>
          <w:bCs/>
        </w:rPr>
        <w:t xml:space="preserve">Demurrage exposure score</w:t>
      </w:r>
      <w:r>
        <w:t xml:space="preserve"> — Days-to-risk and estimated cost if current pace continues; proactive WhatsApp/SMS alerts.</w:t>
      </w:r>
    </w:p>
    <w:p>
      <w:pPr>
        <w:pStyle w:val="ListParagraph"/>
        <w:numPr>
          <w:ilvl w:val="0"/>
          <w:numId w:val="4"/>
        </w:numPr>
      </w:pPr>
      <w:r>
        <w:rPr>
          <w:b/>
          <w:bCs/>
        </w:rPr>
        <w:t xml:space="preserve">What-if scenarios</w:t>
      </w:r>
      <w:r>
        <w:t xml:space="preserve"> — “If I respond to this query within 4 hours, expected savings = X.”</w:t>
      </w:r>
    </w:p>
    <w:p>
      <w:pPr>
        <w:pStyle w:val="ListParagraph"/>
        <w:numPr>
          <w:ilvl w:val="0"/>
          <w:numId w:val="4"/>
        </w:numPr>
        <w:spacing w:after="160"/>
      </w:pPr>
      <w:r>
        <w:rPr>
          <w:b/>
          <w:bCs/>
          <w:color w:val="1B4F72"/>
        </w:rPr>
        <w:t xml:space="preserve">Value</w:t>
      </w:r>
      <w:r>
        <w:t xml:space="preserve">: Direct, measurable ROI for agencies and importers; strong upsell into the SaaS tier and enterprise data contracts.</w:t>
      </w:r>
    </w:p>
    <w:p>
      <w:pPr>
        <w:pStyle w:val="Heading2"/>
      </w:pPr>
      <w:r>
        <w:t xml:space="preserve">2.3 Duty &amp; Tax Pre-Estimator</w:t>
      </w:r>
    </w:p>
    <w:p>
      <w:pPr>
        <w:spacing w:after="80"/>
      </w:pPr>
      <w:r>
        <w:rPr>
          <w:sz w:val="20"/>
          <w:szCs w:val="20"/>
        </w:rPr>
        <w:t xml:space="preserve">Problem today: Clients ask “how much will this cost?” and agents answer late or roughly.</w:t>
      </w:r>
    </w:p>
    <w:p>
      <w:pPr>
        <w:pStyle w:val="ListParagraph"/>
        <w:numPr>
          <w:ilvl w:val="0"/>
          <w:numId w:val="5"/>
        </w:numPr>
      </w:pPr>
      <w:r>
        <w:rPr>
          <w:b/>
          <w:bCs/>
        </w:rPr>
        <w:t xml:space="preserve">Instant duty/VAT/levy estimate</w:t>
      </w:r>
      <w:r>
        <w:t xml:space="preserve"> from extracted data + current tariff schedules before any portal interaction.</w:t>
      </w:r>
    </w:p>
    <w:p>
      <w:pPr>
        <w:pStyle w:val="ListParagraph"/>
        <w:numPr>
          <w:ilvl w:val="0"/>
          <w:numId w:val="5"/>
        </w:numPr>
      </w:pPr>
      <w:r>
        <w:rPr>
          <w:b/>
          <w:bCs/>
        </w:rPr>
        <w:t xml:space="preserve">Scenario comparison</w:t>
      </w:r>
      <w:r>
        <w:t xml:space="preserve"> — Different HS codes or valuation methods side-by-side.</w:t>
      </w:r>
    </w:p>
    <w:p>
      <w:pPr>
        <w:pStyle w:val="ListParagraph"/>
        <w:numPr>
          <w:ilvl w:val="0"/>
          <w:numId w:val="5"/>
        </w:numPr>
        <w:spacing w:after="160"/>
      </w:pPr>
      <w:r>
        <w:rPr>
          <w:b/>
          <w:bCs/>
          <w:color w:val="1B4F72"/>
        </w:rPr>
        <w:t xml:space="preserve">Value</w:t>
      </w:r>
      <w:r>
        <w:t xml:space="preserve">: Turns the platform into a pre-shipment advisory tool; opens the door to importer-facing (white-label) pricing and bank trade-finance conversations.</w:t>
      </w:r>
    </w:p>
    <w:p>
      <w:pPr>
        <w:pStyle w:val="Heading2"/>
      </w:pPr>
      <w:r>
        <w:t xml:space="preserve">2.4 Multi-User Collaboration &amp; Role Workflows</w:t>
      </w:r>
    </w:p>
    <w:p>
      <w:pPr>
        <w:spacing w:after="80"/>
      </w:pPr>
      <w:r>
        <w:rPr>
          <w:sz w:val="20"/>
          <w:szCs w:val="20"/>
        </w:rPr>
        <w:t xml:space="preserve">Problem today: Office staff and field agents work in silos; hand-offs are WhatsApp messages and screenshots.</w:t>
      </w:r>
    </w:p>
    <w:p>
      <w:pPr>
        <w:pStyle w:val="ListParagraph"/>
        <w:numPr>
          <w:ilvl w:val="0"/>
          <w:numId w:val="6"/>
        </w:numPr>
      </w:pPr>
      <w:r>
        <w:rPr>
          <w:b/>
          <w:bCs/>
        </w:rPr>
        <w:t xml:space="preserve">Role-based workspaces</w:t>
      </w:r>
      <w:r>
        <w:t xml:space="preserve"> — Declarant, verifier, field agent, client viewer with appropriate permissions.</w:t>
      </w:r>
    </w:p>
    <w:p>
      <w:pPr>
        <w:pStyle w:val="ListParagraph"/>
        <w:numPr>
          <w:ilvl w:val="0"/>
          <w:numId w:val="6"/>
        </w:numPr>
      </w:pPr>
      <w:r>
        <w:rPr>
          <w:b/>
          <w:bCs/>
        </w:rPr>
        <w:t xml:space="preserve">Shared declaration boards</w:t>
      </w:r>
      <w:r>
        <w:t xml:space="preserve"> — Real-time status, comments, and document attachments on a single shipment.</w:t>
      </w:r>
    </w:p>
    <w:p>
      <w:pPr>
        <w:pStyle w:val="ListParagraph"/>
        <w:numPr>
          <w:ilvl w:val="0"/>
          <w:numId w:val="6"/>
        </w:numPr>
      </w:pPr>
      <w:r>
        <w:rPr>
          <w:b/>
          <w:bCs/>
        </w:rPr>
        <w:t xml:space="preserve">Approval chains</w:t>
      </w:r>
      <w:r>
        <w:t xml:space="preserve"> — Optional internal sign-off before the licensed agent submits via the copilot.</w:t>
      </w:r>
    </w:p>
    <w:p>
      <w:pPr>
        <w:pStyle w:val="ListParagraph"/>
        <w:numPr>
          <w:ilvl w:val="0"/>
          <w:numId w:val="6"/>
        </w:numPr>
        <w:spacing w:after="160"/>
      </w:pPr>
      <w:r>
        <w:rPr>
          <w:b/>
          <w:bCs/>
          <w:color w:val="1B4F72"/>
        </w:rPr>
        <w:t xml:space="preserve">Value</w:t>
      </w:r>
      <w:r>
        <w:t xml:space="preserve">: Makes the product indispensable for mid-to-large agencies (the core SaaS buyer); raises switching costs dramatically.</w:t>
      </w:r>
    </w:p>
    <w:p>
      <w:pPr>
        <w:pStyle w:val="Heading2"/>
      </w:pPr>
      <w:r>
        <w:t xml:space="preserve">2.5 Automated Document Reconciliation</w:t>
      </w:r>
    </w:p>
    <w:p>
      <w:pPr>
        <w:spacing w:after="80"/>
      </w:pPr>
      <w:r>
        <w:rPr>
          <w:sz w:val="20"/>
          <w:szCs w:val="20"/>
        </w:rPr>
        <w:t xml:space="preserve">Problem today: Invoice vs packing list vs Bill of Lading mismatches surface late and cause delays.</w:t>
      </w:r>
    </w:p>
    <w:p>
      <w:pPr>
        <w:pStyle w:val="ListParagraph"/>
        <w:numPr>
          <w:ilvl w:val="0"/>
          <w:numId w:val="7"/>
        </w:numPr>
      </w:pPr>
      <w:r>
        <w:t xml:space="preserve">Cross-check quantities, weights, descriptions, and values across all uploaded documents.</w:t>
      </w:r>
    </w:p>
    <w:p>
      <w:pPr>
        <w:pStyle w:val="ListParagraph"/>
        <w:numPr>
          <w:ilvl w:val="0"/>
          <w:numId w:val="7"/>
        </w:numPr>
      </w:pPr>
      <w:r>
        <w:t xml:space="preserve">Highlight discrepancies with severity scoring before verification.</w:t>
      </w:r>
    </w:p>
    <w:p>
      <w:pPr>
        <w:pStyle w:val="ListParagraph"/>
        <w:numPr>
          <w:ilvl w:val="0"/>
          <w:numId w:val="7"/>
        </w:numPr>
        <w:spacing w:after="160"/>
      </w:pPr>
      <w:r>
        <w:t xml:space="preserve">One-click “accept correction” that updates the structured data set.</w:t>
      </w:r>
    </w:p>
    <w:p>
      <w:pPr>
        <w:pStyle w:val="Heading2"/>
      </w:pPr>
      <w:r>
        <w:t xml:space="preserve">2.6 Agency Performance Analytics Dashboard</w:t>
      </w:r>
    </w:p>
    <w:p>
      <w:pPr>
        <w:spacing w:after="80"/>
      </w:pPr>
      <w:r>
        <w:rPr>
          <w:sz w:val="20"/>
          <w:szCs w:val="20"/>
        </w:rPr>
        <w:t xml:space="preserve">Surface internal KPIs that agencies currently track manually or not at all:</w:t>
      </w:r>
    </w:p>
    <w:p>
      <w:pPr>
        <w:pStyle w:val="ListParagraph"/>
        <w:numPr>
          <w:ilvl w:val="0"/>
          <w:numId w:val="8"/>
        </w:numPr>
      </w:pPr>
      <w:r>
        <w:t xml:space="preserve">Average clearance time by terminal, commodity group, and client.</w:t>
      </w:r>
    </w:p>
    <w:p>
      <w:pPr>
        <w:pStyle w:val="ListParagraph"/>
        <w:numPr>
          <w:ilvl w:val="0"/>
          <w:numId w:val="8"/>
        </w:numPr>
      </w:pPr>
      <w:r>
        <w:t xml:space="preserve">Error/query rate and top causes of GRA interventions.</w:t>
      </w:r>
    </w:p>
    <w:p>
      <w:pPr>
        <w:pStyle w:val="ListParagraph"/>
        <w:numPr>
          <w:ilvl w:val="0"/>
          <w:numId w:val="8"/>
        </w:numPr>
      </w:pPr>
      <w:r>
        <w:t xml:space="preserve">Staff productivity (declarations processed, correction rate).</w:t>
      </w:r>
    </w:p>
    <w:p>
      <w:pPr>
        <w:pStyle w:val="ListParagraph"/>
        <w:numPr>
          <w:ilvl w:val="0"/>
          <w:numId w:val="8"/>
        </w:numPr>
        <w:spacing w:after="160"/>
      </w:pPr>
      <w:r>
        <w:t xml:space="preserve">Client profitability view (revenue vs. time/cost to clear).</w:t>
      </w:r>
    </w:p>
    <w:p>
      <w:pPr>
        <w:pStyle w:val="Heading2"/>
      </w:pPr>
      <w:r>
        <w:t xml:space="preserve">2.7 Importer Client Portal (White-Label Option)</w:t>
      </w:r>
    </w:p>
    <w:p>
      <w:pPr>
        <w:spacing w:after="80"/>
      </w:pPr>
      <w:r>
        <w:rPr>
          <w:sz w:val="20"/>
          <w:szCs w:val="20"/>
        </w:rPr>
        <w:t xml:space="preserve">Give agencies a branded portal they can offer their importer clients:</w:t>
      </w:r>
    </w:p>
    <w:p>
      <w:pPr>
        <w:pStyle w:val="ListParagraph"/>
        <w:numPr>
          <w:ilvl w:val="0"/>
          <w:numId w:val="2"/>
        </w:numPr>
      </w:pPr>
      <w:r>
        <w:t xml:space="preserve">Live status of shipments, estimated duty, and document checklist.</w:t>
      </w:r>
    </w:p>
    <w:p>
      <w:pPr>
        <w:pStyle w:val="ListParagraph"/>
        <w:numPr>
          <w:ilvl w:val="0"/>
          <w:numId w:val="2"/>
        </w:numPr>
      </w:pPr>
      <w:r>
        <w:t xml:space="preserve">Upload invoices/packing lists directly into the agency’s TradePulse workspace.</w:t>
      </w:r>
    </w:p>
    <w:p>
      <w:pPr>
        <w:pStyle w:val="ListParagraph"/>
        <w:numPr>
          <w:ilvl w:val="0"/>
          <w:numId w:val="2"/>
        </w:numPr>
        <w:spacing w:after="160"/>
      </w:pPr>
      <w:r>
        <w:t xml:space="preserve">Optional self-service duty estimator (drives more volume into the agency).</w:t>
      </w:r>
    </w:p>
    <w:p>
      <w:pPr>
        <w:spacing w:after="200"/>
      </w:pPr>
      <w:r>
        <w:rPr>
          <w:i/>
          <w:iCs/>
          <w:sz w:val="20"/>
          <w:szCs w:val="20"/>
        </w:rPr>
        <w:t xml:space="preserve">Value: Differentiates agencies that use TradePulse; creates a network effect and additional SaaS upsell (per-client seats).</w:t>
      </w:r>
    </w:p>
    <w:p>
      <w:pPr>
        <w:pStyle w:val="Heading2"/>
      </w:pPr>
      <w:r>
        <w:t xml:space="preserve">2.8 Regulatory Change Radar</w:t>
      </w:r>
    </w:p>
    <w:p>
      <w:pPr>
        <w:spacing w:after="80"/>
      </w:pPr>
      <w:r>
        <w:rPr>
          <w:sz w:val="20"/>
          <w:szCs w:val="20"/>
        </w:rPr>
        <w:t xml:space="preserve">Monitor and surface GRA notices, HS amendments, ECOWAS CET updates, and new documentary requirements. Push targeted alerts to affected active declarations and to agency admins. Positions TradePulse as the compliance nerve centre rather than just a form-filler.</w:t>
      </w:r>
    </w:p>
    <w:p>
      <w:pPr>
        <w:pStyle w:val="Heading2"/>
      </w:pPr>
      <w:r>
        <w:t xml:space="preserve">2.9 Enterprise API &amp; Data Feeds</w:t>
      </w:r>
    </w:p>
    <w:p>
      <w:pPr>
        <w:spacing w:after="80"/>
      </w:pPr>
      <w:r>
        <w:rPr>
          <w:sz w:val="20"/>
          <w:szCs w:val="20"/>
        </w:rPr>
        <w:t xml:space="preserve">Structured, authenticated API for banks, insurers, and large logistics groups to consume:</w:t>
      </w:r>
    </w:p>
    <w:p>
      <w:pPr>
        <w:pStyle w:val="ListParagraph"/>
        <w:numPr>
          <w:ilvl w:val="0"/>
          <w:numId w:val="3"/>
        </w:numPr>
      </w:pPr>
      <w:r>
        <w:t xml:space="preserve">Anonymized aggregate trade-flow statistics (Tier 3 product).</w:t>
      </w:r>
    </w:p>
    <w:p>
      <w:pPr>
        <w:pStyle w:val="ListParagraph"/>
        <w:numPr>
          <w:ilvl w:val="0"/>
          <w:numId w:val="3"/>
        </w:numPr>
      </w:pPr>
      <w:r>
        <w:t xml:space="preserve">Per-client status and document events (with explicit consent).</w:t>
      </w:r>
    </w:p>
    <w:p>
      <w:pPr>
        <w:pStyle w:val="ListParagraph"/>
        <w:numPr>
          <w:ilvl w:val="0"/>
          <w:numId w:val="3"/>
        </w:numPr>
        <w:spacing w:after="200"/>
      </w:pPr>
      <w:r>
        <w:t xml:space="preserve">Webhook notifications for clearance milestones (trade-finance release triggers).</w:t>
      </w:r>
    </w:p>
    <w:p>
      <w:pPr>
        <w:pStyle w:val="Heading1"/>
      </w:pPr>
      <w:r>
        <w:t xml:space="preserve">3. Feature Priority Matrix</w:t>
      </w:r>
    </w:p>
    <w:p>
      <w:pPr>
        <w:spacing w:after="120"/>
      </w:pPr>
      <w:r>
        <w:rPr>
          <w:sz w:val="20"/>
          <w:szCs w:val="20"/>
        </w:rPr>
        <w:t xml:space="preserve">Recommended sequencing relative to the existing 5-phase roadmap in Blueprint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740"/>
        <w:gridCol w:w="2740"/>
      </w:tblGrid>
      <w:tr>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Priority</w:t>
            </w:r>
          </w:p>
        </w:tc>
        <w:tc>
          <w:tcPr>
            <w:tcW w:type="dxa" w:w="27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Phase</w:t>
            </w:r>
          </w:p>
        </w:tc>
        <w:tc>
          <w:tcPr>
            <w:tcW w:type="dxa" w:w="274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Impact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HS Code Assistant + Learning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17"/>
                <w:szCs w:val="17"/>
              </w:rPr>
              <w:t xml:space="preserve">P0 — Must</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2–3</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Accuracy, stickiness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Document Reconciliation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C0392B"/>
                <w:sz w:val="17"/>
                <w:szCs w:val="17"/>
              </w:rPr>
              <w:t xml:space="preserve">P0 — Must</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2</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Error reduction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Duty &amp; Tax Pre-Estimator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67E22"/>
                <w:sz w:val="17"/>
                <w:szCs w:val="17"/>
              </w:rPr>
              <w:t xml:space="preserve">P1 — High</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3–4</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Client value, upsell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Multi-User Collaboration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67E22"/>
                <w:sz w:val="17"/>
                <w:szCs w:val="17"/>
              </w:rPr>
              <w:t xml:space="preserve">P1 — High</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3–4</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SaaS retention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Predictive Demurrage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67E22"/>
                <w:sz w:val="17"/>
                <w:szCs w:val="17"/>
              </w:rPr>
              <w:t xml:space="preserve">P1 — High</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4</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Measurable ROI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Agency Analytics 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980B9"/>
                <w:sz w:val="17"/>
                <w:szCs w:val="17"/>
              </w:rPr>
              <w:t xml:space="preserve">P2 — Medium</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4–5</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Enterprise readiness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Importer Client Portal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980B9"/>
                <w:sz w:val="17"/>
                <w:szCs w:val="17"/>
              </w:rPr>
              <w:t xml:space="preserve">P2 — Medium</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5 / Year 2</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Network effects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Regulatory Change Radar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2980B9"/>
                <w:sz w:val="17"/>
                <w:szCs w:val="17"/>
              </w:rPr>
              <w:t xml:space="preserve">P2 — Medium</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5</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Compliance authority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Enterprise API &amp; Data Feeds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E67E22"/>
                <w:sz w:val="17"/>
                <w:szCs w:val="17"/>
              </w:rPr>
              <w:t xml:space="preserve">P1 — High</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Phase 4–5</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1A1A1A"/>
                <w:sz w:val="17"/>
                <w:szCs w:val="17"/>
              </w:rPr>
              <w:t xml:space="preserve">Tier-3 revenue</w:t>
            </w:r>
          </w:p>
        </w:tc>
      </w:tr>
    </w:tbl>
    <w:p>
      <w:pPr>
        <w:spacing w:before="200"/>
      </w:pPr>
    </w:p>
    <w:p>
      <w:pPr>
        <w:pStyle w:val="Heading1"/>
      </w:pPr>
      <w:r>
        <w:t xml:space="preserve">4. How These Features Strengthen Valuation</w:t>
      </w:r>
    </w:p>
    <w:p>
      <w:pPr>
        <w:spacing w:after="120"/>
      </w:pPr>
      <w:r>
        <w:rPr>
          <w:sz w:val="20"/>
          <w:szCs w:val="20"/>
        </w:rPr>
        <w:t xml:space="preserve">Blueprint v2 correctly identified that a pure extraction tool is easily replicated. The additions above convert TradePulse into a system of record and intelligence layer:</w:t>
      </w:r>
    </w:p>
    <w:p>
      <w:pPr>
        <w:pStyle w:val="ListParagraph"/>
        <w:numPr>
          <w:ilvl w:val="0"/>
          <w:numId w:val="9"/>
        </w:numPr>
      </w:pPr>
      <w:r>
        <w:rPr>
          <w:b/>
          <w:bCs/>
        </w:rPr>
        <w:t xml:space="preserve">Higher retention &amp; net revenue retention</w:t>
      </w:r>
      <w:r>
        <w:t xml:space="preserve"> — Collaboration, analytics, and client portals make switching painful.</w:t>
      </w:r>
    </w:p>
    <w:p>
      <w:pPr>
        <w:pStyle w:val="ListParagraph"/>
        <w:numPr>
          <w:ilvl w:val="0"/>
          <w:numId w:val="9"/>
        </w:numPr>
      </w:pPr>
      <w:r>
        <w:rPr>
          <w:b/>
          <w:bCs/>
        </w:rPr>
        <w:t xml:space="preserve">Deeper proprietary dataset</w:t>
      </w:r>
      <w:r>
        <w:t xml:space="preserve"> — Correction loops, clearance-time outcomes, and discrepancy patterns feed Tier-3 products that no competitor can match without the same customer base.</w:t>
      </w:r>
    </w:p>
    <w:p>
      <w:pPr>
        <w:pStyle w:val="ListParagraph"/>
        <w:numPr>
          <w:ilvl w:val="0"/>
          <w:numId w:val="9"/>
        </w:numPr>
      </w:pPr>
      <w:r>
        <w:rPr>
          <w:b/>
          <w:bCs/>
        </w:rPr>
        <w:t xml:space="preserve">Expanded buyer universe</w:t>
      </w:r>
      <w:r>
        <w:t xml:space="preserve"> — Banks, insurers, and large importers become direct or indirect customers via APIs and white-label portals.</w:t>
      </w:r>
    </w:p>
    <w:p>
      <w:pPr>
        <w:pStyle w:val="ListParagraph"/>
        <w:numPr>
          <w:ilvl w:val="0"/>
          <w:numId w:val="9"/>
        </w:numPr>
      </w:pPr>
      <w:r>
        <w:rPr>
          <w:b/>
          <w:bCs/>
        </w:rPr>
        <w:t xml:space="preserve">Regional readiness</w:t>
      </w:r>
      <w:r>
        <w:t xml:space="preserve"> — Configurable HS libraries, tariff estimators, and multi-user workflows travel cleanly to Nigeria, Côte d’Ivoire, and other single-window markets.</w:t>
      </w:r>
    </w:p>
    <w:p>
      <w:pPr>
        <w:pStyle w:val="ListParagraph"/>
        <w:numPr>
          <w:ilvl w:val="0"/>
          <w:numId w:val="9"/>
        </w:numPr>
        <w:spacing w:after="200"/>
      </w:pPr>
      <w:r>
        <w:rPr>
          <w:b/>
          <w:bCs/>
        </w:rPr>
        <w:t xml:space="preserve">Multiple expansion</w:t>
      </w:r>
      <w:r>
        <w:t xml:space="preserve"> — Data + workflow platforms command higher ARR multiples (closer to 5–7×) than pure document tools.</w:t>
      </w:r>
    </w:p>
    <w:p>
      <w:pPr>
        <w:pStyle w:val="Heading1"/>
      </w:pPr>
      <w:r>
        <w:t xml:space="preserve">5. Implementation Guardrails</w:t>
      </w:r>
    </w:p>
    <w:p>
      <w:pPr>
        <w:spacing w:after="80"/>
      </w:pPr>
      <w:r>
        <w:rPr>
          <w:sz w:val="20"/>
          <w:szCs w:val="20"/>
        </w:rPr>
        <w:t xml:space="preserve">All new features must continue to respect the legal and architectural principles fixed in v2:</w:t>
      </w:r>
    </w:p>
    <w:p>
      <w:pPr>
        <w:pStyle w:val="ListParagraph"/>
        <w:numPr>
          <w:ilvl w:val="0"/>
          <w:numId w:val="4"/>
        </w:numPr>
      </w:pPr>
      <w:r>
        <w:rPr>
          <w:b/>
          <w:bCs/>
        </w:rPr>
        <w:t xml:space="preserve">No autonomous submission</w:t>
      </w:r>
      <w:r>
        <w:t xml:space="preserve"> — Copilot never clicks “Submit”; the licensed human always remains the filer of record.</w:t>
      </w:r>
    </w:p>
    <w:p>
      <w:pPr>
        <w:pStyle w:val="ListParagraph"/>
        <w:numPr>
          <w:ilvl w:val="0"/>
          <w:numId w:val="4"/>
        </w:numPr>
      </w:pPr>
      <w:r>
        <w:rPr>
          <w:b/>
          <w:bCs/>
        </w:rPr>
        <w:t xml:space="preserve">Authorized access only</w:t>
      </w:r>
      <w:r>
        <w:t xml:space="preserve"> — Status monitoring and any future integrations stay inside the agent’s own session or official sanctioned channels.</w:t>
      </w:r>
    </w:p>
    <w:p>
      <w:pPr>
        <w:pStyle w:val="ListParagraph"/>
        <w:numPr>
          <w:ilvl w:val="0"/>
          <w:numId w:val="4"/>
        </w:numPr>
      </w:pPr>
      <w:r>
        <w:rPr>
          <w:b/>
          <w:bCs/>
        </w:rPr>
        <w:t xml:space="preserve">Data minimization &amp; anonymization</w:t>
      </w:r>
      <w:r>
        <w:t xml:space="preserve"> — Client-identifiable commercial invoice data is never resold; Tier-3 products are aggregate only.</w:t>
      </w:r>
    </w:p>
    <w:p>
      <w:pPr>
        <w:pStyle w:val="ListParagraph"/>
        <w:numPr>
          <w:ilvl w:val="0"/>
          <w:numId w:val="4"/>
        </w:numPr>
        <w:spacing w:after="200"/>
      </w:pPr>
      <w:r>
        <w:rPr>
          <w:b/>
          <w:bCs/>
        </w:rPr>
        <w:t xml:space="preserve">Auditability</w:t>
      </w:r>
      <w:r>
        <w:t xml:space="preserve"> — Every suggestion, override, estimate, and alert is logged and exportable.</w:t>
      </w:r>
    </w:p>
    <w:p>
      <w:pPr>
        <w:pStyle w:val="Heading1"/>
      </w:pPr>
      <w:r>
        <w:t xml:space="preserve">6. Bottom Line</w:t>
      </w:r>
    </w:p>
    <w:p>
      <w:pPr>
        <w:spacing w:after="120"/>
      </w:pPr>
      <w:r>
        <w:rPr>
          <w:sz w:val="20"/>
          <w:szCs w:val="20"/>
        </w:rPr>
        <w:t xml:space="preserve">Blueprint v2 fixed the legal and monetization ceiling problems. This feature set turns the corrected foundation into a defensible, high-retention platform that can realistically support the Year-2/Year-3 valuation path of $1M+.</w:t>
      </w:r>
    </w:p>
    <w:p>
      <w:pPr>
        <w:spacing w:after="80"/>
      </w:pPr>
      <w:r>
        <w:rPr>
          <w:sz w:val="20"/>
          <w:szCs w:val="20"/>
        </w:rPr>
        <w:t xml:space="preserve">Priority order for the next 6–9 months: HS Code Assistant + Document Reconciliation → Duty Estimator + Collaboration → Demurrage Engine + Enterprise API. Everything else follows once the core loop is sticky and the data asset is accumulating.</w:t>
      </w:r>
    </w:p>
    <w:p>
      <w:pPr>
        <w:spacing w:before="160"/>
      </w:pPr>
      <w:r>
        <w:rPr>
          <w:b/>
          <w:bCs/>
          <w:color w:val="1B4F72"/>
          <w:sz w:val="20"/>
          <w:szCs w:val="20"/>
        </w:rPr>
        <w:t xml:space="preserve">The product stops being “a better way to fill forms” and becomes “the operating system for compliant West African trade clearance.” That is the story acquirers and investors pay for.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color w:val="666666"/>
        <w:sz w:val="16"/>
        <w:szCs w:val="16"/>
      </w:rPr>
      <w:t xml:space="preserve">TradePulse AI  |  Enhanced Feature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874A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2026-08-25T12:44:07.254Z</dcterms:created>
  <dcterms:modified xsi:type="dcterms:W3CDTF">2026-08-25T12:44:07.255Z</dcterms:modified>
</cp:coreProperties>
</file>

<file path=docProps/custom.xml><?xml version="1.0" encoding="utf-8"?>
<Properties xmlns="http://schemas.openxmlformats.org/officeDocument/2006/custom-properties" xmlns:vt="http://schemas.openxmlformats.org/officeDocument/2006/docPropsVTypes"/>
</file>