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spacing w:before="4"/>
        <w:rPr>
          <w:rFonts w:ascii="Arial" w:hAnsi="Arial" w:cs="Arial"/>
          <w:sz w:val="25"/>
        </w:rPr>
      </w:pPr>
    </w:p>
    <w:p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NOVEMBRO AZUL</w:t>
      </w:r>
    </w:p>
    <w:p>
      <w:pPr>
        <w:pStyle w:val="7"/>
        <w:rPr>
          <w:rFonts w:ascii="Arial" w:hAnsi="Arial" w:cs="Arial"/>
        </w:rPr>
      </w:pPr>
    </w:p>
    <w:p>
      <w:pPr>
        <w:rPr>
          <w:rFonts w:ascii="Arial" w:hAnsi="Arial" w:cs="Arial"/>
        </w:rPr>
        <w:sectPr>
          <w:headerReference r:id="rId3" w:type="default"/>
          <w:footerReference r:id="rId4" w:type="default"/>
          <w:type w:val="continuous"/>
          <w:pgSz w:w="12240" w:h="15840"/>
          <w:pgMar w:top="1360" w:right="500" w:bottom="1200" w:left="880" w:header="730" w:footer="1015" w:gutter="0"/>
          <w:pgNumType w:start="1"/>
          <w:cols w:space="720" w:num="1"/>
        </w:sect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rPr>
          <w:rFonts w:ascii="Arial" w:hAnsi="Arial" w:cs="Arial"/>
          <w:sz w:val="20"/>
        </w:rPr>
      </w:pPr>
    </w:p>
    <w:p>
      <w:pPr>
        <w:pStyle w:val="5"/>
        <w:spacing w:before="9" w:after="1"/>
        <w:rPr>
          <w:rFonts w:ascii="Arial" w:hAnsi="Arial" w:cs="Arial"/>
          <w:sz w:val="22"/>
        </w:rPr>
      </w:pPr>
    </w:p>
    <w:tbl>
      <w:tblPr>
        <w:tblStyle w:val="11"/>
        <w:tblW w:w="0" w:type="auto"/>
        <w:tblInd w:w="118" w:type="dxa"/>
        <w:tblBorders>
          <w:top w:val="single" w:color="94B3D6" w:sz="4" w:space="0"/>
          <w:left w:val="single" w:color="94B3D6" w:sz="4" w:space="0"/>
          <w:bottom w:val="single" w:color="94B3D6" w:sz="4" w:space="0"/>
          <w:right w:val="single" w:color="94B3D6" w:sz="4" w:space="0"/>
          <w:insideH w:val="single" w:color="94B3D6" w:sz="4" w:space="0"/>
          <w:insideV w:val="single" w:color="94B3D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6"/>
        <w:gridCol w:w="6636"/>
      </w:tblGrid>
      <w:tr>
        <w:tblPrEx>
          <w:tblBorders>
            <w:top w:val="single" w:color="94B3D6" w:sz="4" w:space="0"/>
            <w:left w:val="single" w:color="94B3D6" w:sz="4" w:space="0"/>
            <w:bottom w:val="single" w:color="94B3D6" w:sz="4" w:space="0"/>
            <w:right w:val="single" w:color="94B3D6" w:sz="4" w:space="0"/>
            <w:insideH w:val="single" w:color="94B3D6" w:sz="4" w:space="0"/>
            <w:insideV w:val="single" w:color="94B3D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0492" w:type="dxa"/>
            <w:gridSpan w:val="2"/>
          </w:tcPr>
          <w:p>
            <w:pPr>
              <w:pStyle w:val="13"/>
              <w:spacing w:line="234" w:lineRule="exact"/>
              <w:ind w:left="4074" w:right="4071"/>
              <w:jc w:val="both"/>
              <w:rPr>
                <w:b/>
                <w:sz w:val="20"/>
                <w:szCs w:val="20"/>
              </w:rPr>
            </w:pPr>
            <w:bookmarkStart w:id="0" w:name="_Hlk139009990"/>
            <w:r>
              <w:rPr>
                <w:b/>
                <w:sz w:val="20"/>
                <w:szCs w:val="20"/>
              </w:rPr>
              <w:t>DADOS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DO PROJETO</w:t>
            </w:r>
          </w:p>
        </w:tc>
      </w:tr>
      <w:tr>
        <w:tblPrEx>
          <w:tblBorders>
            <w:top w:val="single" w:color="94B3D6" w:sz="4" w:space="0"/>
            <w:left w:val="single" w:color="94B3D6" w:sz="4" w:space="0"/>
            <w:bottom w:val="single" w:color="94B3D6" w:sz="4" w:space="0"/>
            <w:right w:val="single" w:color="94B3D6" w:sz="4" w:space="0"/>
            <w:insideH w:val="single" w:color="94B3D6" w:sz="4" w:space="0"/>
            <w:insideV w:val="single" w:color="94B3D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856" w:type="dxa"/>
          </w:tcPr>
          <w:p>
            <w:pPr>
              <w:pStyle w:val="13"/>
              <w:spacing w:before="1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CURSO(S)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PROPONENTE(S):</w:t>
            </w:r>
          </w:p>
        </w:tc>
        <w:tc>
          <w:tcPr>
            <w:tcW w:w="6636" w:type="dxa"/>
          </w:tcPr>
          <w:p>
            <w:pPr>
              <w:pStyle w:val="13"/>
              <w:jc w:val="both"/>
              <w:rPr>
                <w:sz w:val="18"/>
                <w:szCs w:val="18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pt-BR"/>
              </w:rPr>
              <w:t>Analise e Desenvolvimento de Sistemas</w:t>
            </w:r>
          </w:p>
        </w:tc>
      </w:tr>
      <w:tr>
        <w:tblPrEx>
          <w:tblBorders>
            <w:top w:val="single" w:color="94B3D6" w:sz="4" w:space="0"/>
            <w:left w:val="single" w:color="94B3D6" w:sz="4" w:space="0"/>
            <w:bottom w:val="single" w:color="94B3D6" w:sz="4" w:space="0"/>
            <w:right w:val="single" w:color="94B3D6" w:sz="4" w:space="0"/>
            <w:insideH w:val="single" w:color="94B3D6" w:sz="4" w:space="0"/>
            <w:insideV w:val="single" w:color="94B3D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3856" w:type="dxa"/>
          </w:tcPr>
          <w:p>
            <w:pPr>
              <w:pStyle w:val="13"/>
              <w:spacing w:before="1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ÁREA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TEMÁTICA:</w:t>
            </w:r>
          </w:p>
        </w:tc>
        <w:tc>
          <w:tcPr>
            <w:tcW w:w="6636" w:type="dxa"/>
          </w:tcPr>
          <w:p>
            <w:pPr>
              <w:pStyle w:val="13"/>
              <w:jc w:val="both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Sociedade</w:t>
            </w:r>
          </w:p>
        </w:tc>
      </w:tr>
      <w:tr>
        <w:tblPrEx>
          <w:tblBorders>
            <w:top w:val="single" w:color="94B3D6" w:sz="4" w:space="0"/>
            <w:left w:val="single" w:color="94B3D6" w:sz="4" w:space="0"/>
            <w:bottom w:val="single" w:color="94B3D6" w:sz="4" w:space="0"/>
            <w:right w:val="single" w:color="94B3D6" w:sz="4" w:space="0"/>
            <w:insideH w:val="single" w:color="94B3D6" w:sz="4" w:space="0"/>
            <w:insideV w:val="single" w:color="94B3D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856" w:type="dxa"/>
          </w:tcPr>
          <w:p>
            <w:pPr>
              <w:pStyle w:val="13"/>
              <w:spacing w:before="1" w:line="183" w:lineRule="exact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DISCENTES</w:t>
            </w:r>
            <w:r>
              <w:rPr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RESPONSÁVEIS:</w:t>
            </w:r>
          </w:p>
          <w:p>
            <w:pPr>
              <w:pStyle w:val="13"/>
              <w:spacing w:line="163" w:lineRule="exact"/>
              <w:ind w:left="105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(nome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matrícula)</w:t>
            </w:r>
          </w:p>
        </w:tc>
        <w:tc>
          <w:tcPr>
            <w:tcW w:w="6636" w:type="dxa"/>
          </w:tcPr>
          <w:p>
            <w:pPr>
              <w:pStyle w:val="13"/>
              <w:jc w:val="both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pt-BR"/>
              </w:rPr>
              <w:t>Emanoel Aparecido Bunhak</w:t>
            </w:r>
            <w:r>
              <w:rPr>
                <w:rFonts w:hint="default" w:cs="Arial"/>
                <w:bCs/>
                <w:sz w:val="24"/>
                <w:szCs w:val="24"/>
                <w:lang w:val="pt-BR"/>
              </w:rPr>
              <w:t xml:space="preserve"> - </w:t>
            </w:r>
            <w:r>
              <w:rPr>
                <w:rFonts w:hint="default" w:ascii="Arial" w:hAnsi="Arial"/>
                <w:bCs/>
                <w:sz w:val="22"/>
                <w:szCs w:val="22"/>
              </w:rPr>
              <w:t>47001655</w:t>
            </w:r>
          </w:p>
        </w:tc>
      </w:tr>
      <w:tr>
        <w:tblPrEx>
          <w:tblBorders>
            <w:top w:val="single" w:color="94B3D6" w:sz="4" w:space="0"/>
            <w:left w:val="single" w:color="94B3D6" w:sz="4" w:space="0"/>
            <w:bottom w:val="single" w:color="94B3D6" w:sz="4" w:space="0"/>
            <w:right w:val="single" w:color="94B3D6" w:sz="4" w:space="0"/>
            <w:insideH w:val="single" w:color="94B3D6" w:sz="4" w:space="0"/>
            <w:insideV w:val="single" w:color="94B3D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856" w:type="dxa"/>
          </w:tcPr>
          <w:p>
            <w:pPr>
              <w:pStyle w:val="13"/>
              <w:spacing w:before="44"/>
              <w:ind w:left="105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QUANTIDADES</w:t>
            </w:r>
            <w:r>
              <w:rPr>
                <w:b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ALUNOS</w:t>
            </w:r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NO</w:t>
            </w:r>
            <w:r>
              <w:rPr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PROJETO</w:t>
            </w:r>
          </w:p>
        </w:tc>
        <w:tc>
          <w:tcPr>
            <w:tcW w:w="6636" w:type="dxa"/>
          </w:tcPr>
          <w:p>
            <w:pPr>
              <w:pStyle w:val="13"/>
              <w:jc w:val="both"/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1</w:t>
            </w:r>
          </w:p>
        </w:tc>
      </w:tr>
    </w:tbl>
    <w:p>
      <w:pPr>
        <w:pStyle w:val="5"/>
        <w:jc w:val="both"/>
        <w:rPr>
          <w:rFonts w:ascii="Arial" w:hAnsi="Arial" w:cs="Arial"/>
          <w:sz w:val="20"/>
        </w:rPr>
      </w:pPr>
    </w:p>
    <w:p>
      <w:pPr>
        <w:pStyle w:val="5"/>
        <w:jc w:val="both"/>
        <w:rPr>
          <w:rFonts w:ascii="Arial" w:hAnsi="Arial" w:cs="Arial"/>
          <w:sz w:val="20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6" w:hRule="atLeast"/>
        </w:trPr>
        <w:tc>
          <w:tcPr>
            <w:tcW w:w="10490" w:type="dxa"/>
            <w:tcBorders>
              <w:top w:val="single" w:color="548DD4" w:themeColor="text2" w:themeTint="99" w:sz="4" w:space="0"/>
              <w:left w:val="single" w:color="548DD4" w:themeColor="text2" w:themeTint="99" w:sz="4" w:space="0"/>
              <w:bottom w:val="single" w:color="548DD4" w:themeColor="text2" w:themeTint="99" w:sz="4" w:space="0"/>
              <w:right w:val="single" w:color="548DD4" w:themeColor="text2" w:themeTint="99" w:sz="4" w:space="0"/>
            </w:tcBorders>
          </w:tcPr>
          <w:p>
            <w:pPr>
              <w:pStyle w:val="5"/>
              <w:numPr>
                <w:ilvl w:val="0"/>
                <w:numId w:val="1"/>
              </w:numPr>
              <w:spacing w:before="9" w:line="230" w:lineRule="auto"/>
              <w:ind w:right="190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</w:rPr>
              <w:t>Introdução</w:t>
            </w:r>
            <w:r>
              <w:rPr>
                <w:rFonts w:hint="default" w:ascii="Arial" w:hAnsi="Arial" w:cs="Arial"/>
                <w:b/>
                <w:sz w:val="24"/>
                <w:lang w:val="pt-BR"/>
              </w:rPr>
              <w:t xml:space="preserve">:  </w:t>
            </w:r>
          </w:p>
          <w:p>
            <w:pPr>
              <w:pStyle w:val="5"/>
              <w:numPr>
                <w:ilvl w:val="0"/>
                <w:numId w:val="0"/>
              </w:numPr>
              <w:spacing w:before="9" w:line="230" w:lineRule="auto"/>
              <w:ind w:right="190" w:rightChars="0" w:firstLine="480" w:firstLineChars="200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A campanha irá tratar sobre o Novembro Azul e visa trazer mais informações para a população da região, ajudando também na conscientização para diminuição do preconceito com o assunto, que é de extrema importância, mas que ainda é pouco falado devido ser um taboo em muitas regiões do nosso Pais.</w:t>
            </w:r>
          </w:p>
          <w:p>
            <w:pPr>
              <w:pStyle w:val="5"/>
              <w:numPr>
                <w:ilvl w:val="0"/>
                <w:numId w:val="0"/>
              </w:numPr>
              <w:spacing w:before="9" w:line="230" w:lineRule="auto"/>
              <w:ind w:left="102" w:leftChars="0" w:right="190" w:rightChars="0" w:firstLine="360" w:firstLineChars="150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O projeto é  de extrema importância por tratar exclusivamente da saúde do homem, para informar sobre a doença e como preveni-la. Mesmo o assunto sendo pouco falado temos que sempre alertar sobre o câncer de próstata que é uma das doenças que mais vem causando mortes no Brasil inteiro. Com essa campanha visamos a importância da prevenção, pois a doença sendo tratada desde de seu inicio a chance de cura é de mais de 70% e sendo tratada precocemente a chance de cura é de mais de 90%.</w:t>
            </w:r>
          </w:p>
          <w:p>
            <w:pPr>
              <w:pStyle w:val="5"/>
              <w:numPr>
                <w:ilvl w:val="0"/>
                <w:numId w:val="0"/>
              </w:numPr>
              <w:spacing w:before="9" w:line="230" w:lineRule="auto"/>
              <w:ind w:left="102" w:leftChars="0" w:right="190" w:rightChars="0" w:firstLine="360" w:firstLineChars="150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Na minha região o assunto é muito pouco falado, muitos ainda tem preconceito com o assunto, tendo assim um indicie de diagnósticos da doença em estado avançado muito alto, levando vários moradores da cidade a óbito, por esse motivo o foco também será como um alerta para informar a população, deixando-as cientes de como a doença pode ser silenciosa e fatal, mas se tratada precocemente pode ser facilmente vencida. </w:t>
            </w:r>
          </w:p>
          <w:p>
            <w:pPr>
              <w:pStyle w:val="5"/>
              <w:numPr>
                <w:ilvl w:val="0"/>
                <w:numId w:val="0"/>
              </w:numPr>
              <w:spacing w:before="9" w:line="230" w:lineRule="auto"/>
              <w:ind w:left="102" w:leftChars="0" w:right="190" w:rightChars="0" w:firstLine="360" w:firstLineChars="150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4" w:hRule="atLeast"/>
        </w:trPr>
        <w:tc>
          <w:tcPr>
            <w:tcW w:w="10490" w:type="dxa"/>
          </w:tcPr>
          <w:p>
            <w:pPr>
              <w:pStyle w:val="5"/>
              <w:numPr>
                <w:ilvl w:val="0"/>
                <w:numId w:val="1"/>
              </w:numPr>
              <w:spacing w:before="12" w:line="230" w:lineRule="auto"/>
              <w:jc w:val="both"/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>Objetivo:</w:t>
            </w:r>
            <w:r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pacing w:val="-4"/>
                <w:sz w:val="24"/>
                <w:lang w:val="pt-BR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before="12" w:line="230" w:lineRule="auto"/>
              <w:ind w:left="102" w:leftChars="0" w:firstLine="348" w:firstLineChars="150"/>
              <w:jc w:val="both"/>
              <w:rPr>
                <w:rFonts w:ascii="Arial" w:hAnsi="Arial" w:cs="Arial"/>
                <w:color w:val="FF0000"/>
                <w:spacing w:val="-4"/>
                <w:sz w:val="18"/>
                <w:szCs w:val="18"/>
              </w:rPr>
            </w:pPr>
            <w:r>
              <w:rPr>
                <w:rFonts w:hint="default" w:ascii="Arial" w:hAnsi="Arial"/>
                <w:b w:val="0"/>
                <w:bCs/>
                <w:spacing w:val="-4"/>
                <w:sz w:val="24"/>
                <w:shd w:val="clear" w:color="auto" w:fill="auto"/>
              </w:rPr>
              <w:t>Sensibilizar a comunidade é o propósito primordial da campanha Novembro Azul em cidades peque</w:t>
            </w:r>
            <w:r>
              <w:rPr>
                <w:rFonts w:hint="default" w:ascii="Arial" w:hAnsi="Arial"/>
                <w:b w:val="0"/>
                <w:bCs/>
                <w:spacing w:val="-4"/>
                <w:sz w:val="24"/>
                <w:shd w:val="clear" w:color="auto" w:fill="auto"/>
                <w:lang w:val="pt-BR"/>
              </w:rPr>
              <w:t>nas como um todo</w:t>
            </w:r>
            <w:r>
              <w:rPr>
                <w:rFonts w:hint="default" w:ascii="Arial" w:hAnsi="Arial"/>
                <w:b w:val="0"/>
                <w:bCs/>
                <w:spacing w:val="-4"/>
                <w:sz w:val="24"/>
                <w:shd w:val="clear" w:color="auto" w:fill="auto"/>
              </w:rPr>
              <w:t>. É essencial despertar a consciência coletiva sobre a importância da saúde masculina</w:t>
            </w:r>
            <w:r>
              <w:rPr>
                <w:rFonts w:hint="default" w:ascii="Arial" w:hAnsi="Arial"/>
                <w:b w:val="0"/>
                <w:bCs/>
                <w:spacing w:val="-4"/>
                <w:sz w:val="24"/>
                <w:shd w:val="clear" w:color="auto" w:fill="auto"/>
                <w:lang w:val="pt-BR"/>
              </w:rPr>
              <w:t xml:space="preserve">. </w:t>
            </w:r>
          </w:p>
          <w:p>
            <w:pPr>
              <w:pStyle w:val="5"/>
              <w:numPr>
                <w:ilvl w:val="0"/>
                <w:numId w:val="0"/>
              </w:numPr>
              <w:spacing w:before="12" w:line="230" w:lineRule="auto"/>
              <w:ind w:left="102" w:leftChars="0" w:firstLine="348" w:firstLineChars="150"/>
              <w:jc w:val="both"/>
              <w:rPr>
                <w:rFonts w:hint="default" w:ascii="Arial" w:hAnsi="Arial"/>
                <w:b w:val="0"/>
                <w:bCs/>
                <w:spacing w:val="-4"/>
                <w:sz w:val="24"/>
                <w:shd w:val="clear" w:color="auto" w:fill="auto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pacing w:val="-4"/>
                <w:sz w:val="24"/>
                <w:shd w:val="clear" w:color="auto" w:fill="auto"/>
                <w:lang w:val="pt-BR"/>
              </w:rPr>
              <w:t>Estimular a prevenção de doenças é outro ponto crucial e em especial o câncer de próstata, é uma missão crucial da iniciativa. A detecção precoce pode salvar vidas e melhorar a qualidade de vida dos homens.</w:t>
            </w:r>
          </w:p>
          <w:p>
            <w:pPr>
              <w:pStyle w:val="5"/>
              <w:numPr>
                <w:ilvl w:val="0"/>
                <w:numId w:val="0"/>
              </w:numPr>
              <w:spacing w:before="12" w:line="230" w:lineRule="auto"/>
              <w:ind w:left="102" w:leftChars="0" w:firstLine="360" w:firstLineChars="150"/>
              <w:jc w:val="both"/>
              <w:rPr>
                <w:rFonts w:hint="default" w:ascii="Arial" w:hAnsi="Arial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Arial" w:hAnsi="Arial"/>
                <w:color w:val="auto"/>
                <w:sz w:val="24"/>
                <w:szCs w:val="24"/>
                <w:shd w:val="clear" w:color="auto" w:fill="auto"/>
              </w:rPr>
              <w:t>Incentivar a participação ativa dos homens nos cuidados com a saúde é uma meta fundamental. Através de exames regulares e check-ups, é possível monitorar e tratar eventuais problemas de forma mais eficaz.</w:t>
            </w:r>
          </w:p>
          <w:p>
            <w:pPr>
              <w:pStyle w:val="5"/>
              <w:numPr>
                <w:ilvl w:val="0"/>
                <w:numId w:val="0"/>
              </w:numPr>
              <w:spacing w:before="12" w:line="230" w:lineRule="auto"/>
              <w:ind w:left="102" w:leftChars="0" w:firstLine="360" w:firstLineChars="150"/>
              <w:jc w:val="both"/>
              <w:rPr>
                <w:rFonts w:hint="default" w:ascii="Arial" w:hAnsi="Arial"/>
                <w:color w:val="auto"/>
                <w:sz w:val="24"/>
                <w:szCs w:val="24"/>
                <w:shd w:val="clear" w:color="auto" w:fill="auto"/>
              </w:rPr>
            </w:pPr>
            <w:r>
              <w:rPr>
                <w:rFonts w:hint="default" w:ascii="Arial" w:hAnsi="Arial"/>
                <w:color w:val="auto"/>
                <w:sz w:val="24"/>
                <w:szCs w:val="24"/>
                <w:shd w:val="clear" w:color="auto" w:fill="auto"/>
              </w:rPr>
              <w:t>Desmistificar mitos e tabus relacionados à saúde masculina é um passo indispensável. Em cidades pequenas, a abertura para dialogar sobre essas questões é um fator determinante para o sucesso da campanha.</w:t>
            </w:r>
          </w:p>
          <w:p>
            <w:pPr>
              <w:pStyle w:val="5"/>
              <w:spacing w:before="12" w:line="230" w:lineRule="auto"/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7" w:hRule="atLeast"/>
        </w:trPr>
        <w:tc>
          <w:tcPr>
            <w:tcW w:w="10490" w:type="dxa"/>
          </w:tcPr>
          <w:p>
            <w:pPr>
              <w:pStyle w:val="5"/>
              <w:numPr>
                <w:ilvl w:val="0"/>
                <w:numId w:val="1"/>
              </w:numPr>
              <w:spacing w:before="9" w:line="230" w:lineRule="auto"/>
              <w:ind w:right="19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>Caracterização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da</w:t>
            </w:r>
            <w:r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área:</w:t>
            </w:r>
            <w:r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0"/>
              </w:numPr>
              <w:spacing w:before="9" w:line="230" w:lineRule="auto"/>
              <w:ind w:left="102" w:leftChars="0" w:right="190" w:rightChars="0" w:firstLine="348" w:firstLineChars="15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spacing w:val="-4"/>
                <w:sz w:val="24"/>
                <w:lang w:val="pt-BR"/>
              </w:rPr>
              <w:t xml:space="preserve">O projeto será apresentado na cidade de Planalto, Paraná, fica localizado na região sudoeste, fazendo divisa com a Argentina. Segundo a ultima consulta feita pelo IBGE o numero de habitantes é em torno de </w:t>
            </w:r>
            <w:r>
              <w:rPr>
                <w:rFonts w:hint="default" w:ascii="Arial" w:hAnsi="Arial"/>
                <w:b w:val="0"/>
                <w:bCs/>
                <w:spacing w:val="-4"/>
                <w:sz w:val="24"/>
                <w:lang w:val="pt-BR"/>
              </w:rPr>
              <w:t xml:space="preserve">13.431, sendo considerada uma cidade de pequeno porte. </w:t>
            </w:r>
          </w:p>
          <w:p>
            <w:pPr>
              <w:pStyle w:val="5"/>
              <w:numPr>
                <w:ilvl w:val="0"/>
                <w:numId w:val="0"/>
              </w:numPr>
              <w:spacing w:before="9" w:line="230" w:lineRule="auto"/>
              <w:ind w:left="102" w:leftChars="0" w:right="190" w:rightChars="0"/>
              <w:jc w:val="both"/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18"/>
                <w:szCs w:val="18"/>
                <w:lang w:val="pt-BR"/>
              </w:rPr>
              <w:t xml:space="preserve">       </w:t>
            </w:r>
            <w:r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  <w:t>Sendo mais exato o evento ocorrerá no centro da cidade, próximo a praça central, local onde se tem um grande tráfego de pessoas.</w:t>
            </w:r>
          </w:p>
          <w:p>
            <w:pPr>
              <w:pStyle w:val="12"/>
              <w:widowControl/>
              <w:numPr>
                <w:ilvl w:val="0"/>
                <w:numId w:val="0"/>
              </w:numPr>
              <w:autoSpaceDE/>
              <w:autoSpaceDN/>
              <w:jc w:val="both"/>
              <w:rPr>
                <w:rFonts w:ascii="Arial" w:hAnsi="Arial" w:eastAsia="Times New Roman" w:cs="Arial"/>
                <w:color w:val="FF0000"/>
                <w:sz w:val="18"/>
                <w:szCs w:val="18"/>
                <w:lang w:val="pt-BR" w:eastAsia="pt-BR"/>
              </w:rPr>
            </w:pP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</w:tcPr>
          <w:p>
            <w:pPr>
              <w:pStyle w:val="12"/>
              <w:numPr>
                <w:ilvl w:val="0"/>
                <w:numId w:val="1"/>
              </w:numPr>
              <w:spacing w:before="1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>Local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de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execução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e</w:t>
            </w:r>
            <w:r>
              <w:rPr>
                <w:rFonts w:ascii="Arial" w:hAnsi="Arial" w:cs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público-alvo</w:t>
            </w:r>
          </w:p>
          <w:p>
            <w:pPr>
              <w:pStyle w:val="12"/>
              <w:numPr>
                <w:ilvl w:val="0"/>
                <w:numId w:val="0"/>
              </w:numPr>
              <w:spacing w:before="1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color w:val="FF0000"/>
                <w:sz w:val="18"/>
                <w:szCs w:val="18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  <w:t xml:space="preserve">  Será r</w:t>
            </w: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ealizado na cidade de Planalto, Paraná, se localizando no centro da cidade e próximo a praça central. </w:t>
            </w:r>
          </w:p>
          <w:p>
            <w:pPr>
              <w:pStyle w:val="12"/>
              <w:numPr>
                <w:ilvl w:val="0"/>
                <w:numId w:val="0"/>
              </w:numPr>
              <w:spacing w:before="1"/>
              <w:ind w:firstLine="266"/>
              <w:jc w:val="both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Juntamente com uma empresa parceira, o evento irá ocorrer na Matriz de uma empresa de Internet (Inova Telecom), local onde se tem um grande fluxo de pessoas diariamente, se tornando um local ideal para o evento, irei ficar na recepção, onde se tem o primeiro contato com o cliente. O estabelecimento tem 2 andares e cerca de 300m², com ao todo 30 funcionários somente na matriz, fica sempre em funcionamento ao publico em horário comercial. Tem um ambiente muito agradável, contando com café grátis para os visitantes.</w:t>
            </w:r>
          </w:p>
          <w:p>
            <w:pPr>
              <w:pStyle w:val="12"/>
              <w:numPr>
                <w:ilvl w:val="0"/>
                <w:numId w:val="0"/>
              </w:numPr>
              <w:spacing w:before="1"/>
              <w:ind w:firstLine="266"/>
              <w:jc w:val="both"/>
              <w:rPr>
                <w:rFonts w:hint="default" w:ascii="Arial" w:hAnsi="Arial" w:eastAsia="Arial" w:cs="Arial"/>
                <w:b w:val="0"/>
                <w:bCs/>
                <w:sz w:val="24"/>
                <w:szCs w:val="24"/>
                <w:lang w:val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24"/>
                <w:szCs w:val="24"/>
                <w:lang w:val="pt-BR"/>
              </w:rPr>
              <w:t>Publico masculino de todas as idades. Sem um total exato de participantes.</w:t>
            </w:r>
          </w:p>
          <w:p>
            <w:pPr>
              <w:pStyle w:val="12"/>
              <w:numPr>
                <w:ilvl w:val="0"/>
                <w:numId w:val="0"/>
              </w:numPr>
              <w:spacing w:before="1"/>
              <w:ind w:firstLine="266"/>
              <w:jc w:val="both"/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br w:type="textWrapping"/>
            </w:r>
            <w:r>
              <w:rPr>
                <w:rFonts w:hint="default"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drawing>
                <wp:inline distT="0" distB="0" distL="114300" distR="114300">
                  <wp:extent cx="2806065" cy="1869440"/>
                  <wp:effectExtent l="0" t="0" r="13335" b="16510"/>
                  <wp:docPr id="16" name="Imagem 16" descr="WhatsApp Image 2022-11-28 at 23.01.56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 descr="WhatsApp Image 2022-11-28 at 23.01.56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06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before="12" w:line="230" w:lineRule="auto"/>
              <w:jc w:val="both"/>
              <w:rPr>
                <w:rFonts w:ascii="Arial" w:hAnsi="Arial" w:eastAsia="Times New Roman" w:cs="Arial"/>
                <w:color w:val="FF0000"/>
                <w:sz w:val="18"/>
                <w:szCs w:val="18"/>
                <w:shd w:val="clear" w:color="auto" w:fill="FFFFFF"/>
                <w:lang w:val="pt-BR" w:eastAsia="pt-BR"/>
              </w:rPr>
            </w:pP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</w:tcPr>
          <w:p>
            <w:pPr>
              <w:pStyle w:val="5"/>
              <w:numPr>
                <w:ilvl w:val="0"/>
                <w:numId w:val="1"/>
              </w:numPr>
              <w:spacing w:before="5" w:line="235" w:lineRule="auto"/>
              <w:ind w:right="41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Materiais e métodos de abordagem </w:t>
            </w:r>
          </w:p>
          <w:p>
            <w:pPr>
              <w:ind w:firstLine="360" w:firstLineChars="150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Será realizado de forma presencial, tendo a distribuição de folhetos, repasse de informações sobre o assunto, levantamento de dados de como o índice da doença vem crescendo, orientar onde podem ser consultados e realizarem os exames, utilizando o método de explicações mais formais e de fácil entendimento.</w:t>
            </w:r>
          </w:p>
          <w:p>
            <w:pPr>
              <w:ind w:firstLine="360" w:firstLineChars="150"/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>O publico será espectador, podendo interagir com perguntas referente ao tema,</w:t>
            </w:r>
          </w:p>
          <w:p>
            <w:pP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drawing>
                <wp:inline distT="0" distB="0" distL="114300" distR="114300">
                  <wp:extent cx="1297305" cy="1529715"/>
                  <wp:effectExtent l="0" t="0" r="17145" b="13335"/>
                  <wp:docPr id="8" name="Imagem 8" descr="WhatsApp Image 2022-11-28 at 23.01.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WhatsApp Image 2022-11-28 at 23.01.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305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t xml:space="preserve">  </w:t>
            </w:r>
            <w:r>
              <w:rPr>
                <w:rFonts w:hint="default" w:ascii="Arial" w:hAnsi="Arial" w:cs="Arial"/>
                <w:b w:val="0"/>
                <w:bCs w:val="0"/>
                <w:color w:val="000000"/>
                <w:sz w:val="24"/>
                <w:szCs w:val="24"/>
                <w:lang w:val="pt-BR"/>
              </w:rPr>
              <w:drawing>
                <wp:inline distT="0" distB="0" distL="114300" distR="114300">
                  <wp:extent cx="1194435" cy="1534795"/>
                  <wp:effectExtent l="0" t="0" r="5715" b="8255"/>
                  <wp:docPr id="9" name="Imagem 9" descr="WhatsApp Image 2022-11-28 at 23.01.56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WhatsApp Image 2022-11-28 at 23.01.56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35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4" w:hRule="atLeast"/>
        </w:trPr>
        <w:tc>
          <w:tcPr>
            <w:tcW w:w="10490" w:type="dxa"/>
          </w:tcPr>
          <w:p>
            <w:pPr>
              <w:pStyle w:val="5"/>
              <w:numPr>
                <w:ilvl w:val="0"/>
                <w:numId w:val="1"/>
              </w:numPr>
              <w:spacing w:before="14" w:line="228" w:lineRule="auto"/>
              <w:ind w:right="95"/>
              <w:jc w:val="both"/>
              <w:rPr>
                <w:rFonts w:hint="default" w:ascii="Arial" w:hAnsi="Arial"/>
                <w:b w:val="0"/>
                <w:bCs/>
                <w:sz w:val="24"/>
                <w:lang w:val="pt-BR"/>
              </w:rPr>
            </w:pPr>
            <w:r>
              <w:rPr>
                <w:rFonts w:ascii="Arial" w:hAnsi="Arial" w:cs="Arial"/>
                <w:b/>
                <w:sz w:val="24"/>
              </w:rPr>
              <w:t>Resultados</w:t>
            </w:r>
            <w:r>
              <w:rPr>
                <w:rFonts w:ascii="Arial" w:hAnsi="Arial" w:cs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esperados</w:t>
            </w:r>
          </w:p>
          <w:p>
            <w:pPr>
              <w:pStyle w:val="5"/>
              <w:numPr>
                <w:ilvl w:val="0"/>
                <w:numId w:val="0"/>
              </w:numPr>
              <w:spacing w:before="14" w:line="228" w:lineRule="auto"/>
              <w:ind w:right="95" w:rightChars="0" w:firstLine="360" w:firstLineChars="150"/>
              <w:jc w:val="both"/>
              <w:rPr>
                <w:rFonts w:hint="default" w:ascii="Arial" w:hAnsi="Arial"/>
                <w:b w:val="0"/>
                <w:bCs/>
                <w:sz w:val="24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z w:val="24"/>
                <w:lang w:val="pt-BR"/>
              </w:rPr>
              <w:t>Aumento na Detecção Precoce de Doenças: Espera-se que mais homens realizem exames preventivos, possibilitando a detecção precoce de condições como o câncer de próstata e outras doenças relacionadas.</w:t>
            </w:r>
          </w:p>
          <w:p>
            <w:pPr>
              <w:pStyle w:val="5"/>
              <w:numPr>
                <w:ilvl w:val="0"/>
                <w:numId w:val="0"/>
              </w:numPr>
              <w:spacing w:before="14" w:line="228" w:lineRule="auto"/>
              <w:ind w:right="95" w:rightChars="0" w:firstLine="360" w:firstLineChars="150"/>
              <w:jc w:val="both"/>
              <w:rPr>
                <w:rFonts w:hint="default" w:ascii="Arial" w:hAnsi="Arial"/>
                <w:b w:val="0"/>
                <w:bCs/>
                <w:sz w:val="24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z w:val="24"/>
                <w:lang w:val="pt-BR"/>
              </w:rPr>
              <w:t>Redução na Mortalidade: Com a detecção precoce e o tratamento adequado, espera-se uma redução na taxa de mortalidade associada a doenças que afetam a saúde masculina.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14" w:line="228" w:lineRule="auto"/>
              <w:ind w:right="95" w:rightChars="0" w:firstLine="360" w:firstLineChars="150"/>
              <w:jc w:val="both"/>
              <w:rPr>
                <w:rFonts w:hint="default" w:ascii="Arial" w:hAnsi="Arial"/>
                <w:b w:val="0"/>
                <w:bCs/>
                <w:sz w:val="24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z w:val="24"/>
                <w:lang w:val="pt-BR"/>
              </w:rPr>
              <w:t>Mudança de Comportamento: A campanha visa promover uma mudança positiva no comportamento dos homens em relação à busca de cuidados preventivos e ao monitoramento da própria saúde.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14" w:line="228" w:lineRule="auto"/>
              <w:ind w:right="95" w:rightChars="0" w:firstLine="360" w:firstLineChars="150"/>
              <w:jc w:val="both"/>
              <w:rPr>
                <w:rFonts w:hint="default" w:ascii="Arial" w:hAnsi="Arial"/>
                <w:b w:val="0"/>
                <w:bCs/>
                <w:sz w:val="24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z w:val="24"/>
                <w:lang w:val="pt-BR"/>
              </w:rPr>
              <w:t>Desconstrução de Tabus: Espera-se que a campanha contribua para desmistificar tabus e estigmas associados à saúde masculina, encorajando a discussão aberta e franca sobre o tema.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autoSpaceDE w:val="0"/>
              <w:autoSpaceDN w:val="0"/>
              <w:spacing w:before="14" w:line="228" w:lineRule="auto"/>
              <w:ind w:right="95" w:rightChars="0" w:firstLine="360" w:firstLineChars="150"/>
              <w:jc w:val="both"/>
              <w:rPr>
                <w:rFonts w:hint="default" w:ascii="Arial" w:hAnsi="Arial"/>
                <w:b w:val="0"/>
                <w:bCs/>
                <w:sz w:val="24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z w:val="24"/>
                <w:lang w:val="pt-BR"/>
              </w:rPr>
              <w:t>Melhoria da Qualidade de Vida: Com a conscientização e a detecção precoce, os homens têm a oportunidade de receber tratamento adequado, o que pode resultar em uma melhor qualidade de vida.</w:t>
            </w: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4" w:hRule="atLeast"/>
        </w:trPr>
        <w:tc>
          <w:tcPr>
            <w:tcW w:w="10490" w:type="dxa"/>
          </w:tcPr>
          <w:p>
            <w:pPr>
              <w:spacing w:line="314" w:lineRule="exact"/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8"/>
              </w:rPr>
              <w:t>7.</w:t>
            </w:r>
            <w:r>
              <w:rPr>
                <w:rFonts w:ascii="Arial" w:hAnsi="Arial" w:cs="Arial"/>
                <w:b/>
                <w:spacing w:val="46"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Cronograma</w:t>
            </w:r>
          </w:p>
          <w:p>
            <w:pPr>
              <w:pStyle w:val="5"/>
              <w:spacing w:before="9"/>
              <w:jc w:val="both"/>
              <w:rPr>
                <w:rFonts w:ascii="Arial" w:hAnsi="Arial" w:cs="Arial"/>
                <w:sz w:val="19"/>
              </w:rPr>
            </w:pPr>
          </w:p>
          <w:tbl>
            <w:tblPr>
              <w:tblStyle w:val="11"/>
              <w:tblW w:w="0" w:type="auto"/>
              <w:tblInd w:w="318" w:type="dxa"/>
              <w:tblBorders>
                <w:top w:val="single" w:color="538DD3" w:sz="4" w:space="0"/>
                <w:left w:val="single" w:color="538DD3" w:sz="4" w:space="0"/>
                <w:bottom w:val="single" w:color="538DD3" w:sz="4" w:space="0"/>
                <w:right w:val="single" w:color="538DD3" w:sz="4" w:space="0"/>
                <w:insideH w:val="single" w:color="538DD3" w:sz="4" w:space="0"/>
                <w:insideV w:val="single" w:color="538DD3" w:sz="4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09"/>
              <w:gridCol w:w="992"/>
              <w:gridCol w:w="993"/>
              <w:gridCol w:w="1134"/>
              <w:gridCol w:w="675"/>
              <w:gridCol w:w="33"/>
              <w:gridCol w:w="976"/>
              <w:gridCol w:w="992"/>
              <w:gridCol w:w="993"/>
              <w:gridCol w:w="1134"/>
              <w:gridCol w:w="708"/>
            </w:tblGrid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1" w:hRule="atLeast"/>
              </w:trPr>
              <w:tc>
                <w:tcPr>
                  <w:tcW w:w="4803" w:type="dxa"/>
                  <w:gridSpan w:val="5"/>
                  <w:vMerge w:val="restart"/>
                </w:tcPr>
                <w:p>
                  <w:pPr>
                    <w:pStyle w:val="13"/>
                    <w:spacing w:before="156"/>
                    <w:ind w:left="1101"/>
                    <w:jc w:val="both"/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b/>
                      <w:sz w:val="20"/>
                    </w:rPr>
                    <w:t>ATIVIDADES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DO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PROJETO</w:t>
                  </w:r>
                </w:p>
              </w:tc>
              <w:tc>
                <w:tcPr>
                  <w:tcW w:w="4836" w:type="dxa"/>
                  <w:gridSpan w:val="6"/>
                </w:tcPr>
                <w:p>
                  <w:pPr>
                    <w:pStyle w:val="13"/>
                    <w:spacing w:before="74"/>
                    <w:ind w:left="1623" w:right="156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20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pacing w:val="-4"/>
                      <w:sz w:val="20"/>
                      <w:u w:val="single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</w:trPr>
              <w:tc>
                <w:tcPr>
                  <w:tcW w:w="4803" w:type="dxa"/>
                  <w:gridSpan w:val="5"/>
                  <w:vMerge w:val="continue"/>
                  <w:tcBorders>
                    <w:top w:val="nil"/>
                  </w:tcBorders>
                </w:tcPr>
                <w:p>
                  <w:pPr>
                    <w:jc w:val="both"/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spacing w:before="74"/>
                    <w:ind w:left="115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AGO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spacing w:before="74"/>
                    <w:ind w:left="154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SET</w:t>
                  </w: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spacing w:before="74"/>
                    <w:ind w:left="12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OUT</w:t>
                  </w: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spacing w:before="74"/>
                    <w:ind w:left="125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NOV</w:t>
                  </w: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spacing w:before="74"/>
                    <w:ind w:left="139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DEZ</w:t>
                  </w: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numPr>
                      <w:ilvl w:val="0"/>
                      <w:numId w:val="2"/>
                    </w:numPr>
                    <w:spacing w:before="82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color w:val="auto"/>
                      <w:sz w:val="20"/>
                    </w:rPr>
                    <w:t>Levantamento dos dados / pesquisa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ind w:left="0" w:leftChars="0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1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numPr>
                      <w:ilvl w:val="0"/>
                      <w:numId w:val="2"/>
                    </w:numPr>
                    <w:spacing w:before="79"/>
                    <w:ind w:left="388" w:leftChars="0" w:firstLine="0" w:firstLineChars="0"/>
                    <w:jc w:val="both"/>
                    <w:rPr>
                      <w:b/>
                      <w:sz w:val="20"/>
                    </w:rPr>
                  </w:pPr>
                  <w:r>
                    <w:rPr>
                      <w:color w:val="auto"/>
                      <w:sz w:val="20"/>
                    </w:rPr>
                    <w:t>Visita ao local da ação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88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numPr>
                      <w:ilvl w:val="0"/>
                      <w:numId w:val="2"/>
                    </w:numPr>
                    <w:spacing w:before="79"/>
                    <w:ind w:left="388" w:leftChars="0" w:firstLine="0" w:firstLineChars="0"/>
                    <w:jc w:val="both"/>
                    <w:rPr>
                      <w:b/>
                      <w:sz w:val="20"/>
                    </w:rPr>
                  </w:pPr>
                  <w:r>
                    <w:rPr>
                      <w:color w:val="auto"/>
                      <w:sz w:val="20"/>
                    </w:rPr>
                    <w:t xml:space="preserve">Compra </w:t>
                  </w:r>
                  <w:r>
                    <w:rPr>
                      <w:rFonts w:hint="default"/>
                      <w:color w:val="auto"/>
                      <w:sz w:val="20"/>
                      <w:lang w:val="pt-BR"/>
                    </w:rPr>
                    <w:t xml:space="preserve">e preparação </w:t>
                  </w:r>
                  <w:r>
                    <w:rPr>
                      <w:color w:val="auto"/>
                      <w:sz w:val="20"/>
                    </w:rPr>
                    <w:t>do Material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numPr>
                      <w:ilvl w:val="0"/>
                      <w:numId w:val="2"/>
                    </w:numPr>
                    <w:spacing w:before="82"/>
                    <w:ind w:left="388" w:leftChars="0" w:firstLine="0" w:firstLineChars="0"/>
                    <w:jc w:val="both"/>
                    <w:rPr>
                      <w:rFonts w:hint="default"/>
                      <w:b/>
                      <w:sz w:val="20"/>
                      <w:lang w:val="pt-BR"/>
                    </w:rPr>
                  </w:pPr>
                  <w:r>
                    <w:rPr>
                      <w:color w:val="auto"/>
                      <w:sz w:val="20"/>
                    </w:rPr>
                    <w:t>Preparação</w:t>
                  </w:r>
                  <w:r>
                    <w:rPr>
                      <w:rFonts w:hint="default"/>
                      <w:color w:val="auto"/>
                      <w:sz w:val="20"/>
                      <w:lang w:val="pt-BR"/>
                    </w:rPr>
                    <w:t xml:space="preserve"> e desenvolvimento</w:t>
                  </w:r>
                  <w:r>
                    <w:rPr>
                      <w:color w:val="auto"/>
                      <w:sz w:val="20"/>
                    </w:rPr>
                    <w:t xml:space="preserve"> da apresentação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rFonts w:hint="default"/>
                      <w:b/>
                      <w:sz w:val="20"/>
                      <w:lang w:val="pt-BR"/>
                    </w:rPr>
                    <w:t>5</w:t>
                  </w:r>
                  <w:r>
                    <w:rPr>
                      <w:b/>
                      <w:sz w:val="20"/>
                    </w:rPr>
                    <w:t xml:space="preserve">- </w:t>
                  </w:r>
                  <w:r>
                    <w:rPr>
                      <w:rFonts w:hint="default"/>
                      <w:b w:val="0"/>
                      <w:bCs/>
                      <w:sz w:val="20"/>
                      <w:szCs w:val="20"/>
                      <w:lang w:val="pt-BR"/>
                    </w:rPr>
                    <w:t xml:space="preserve">Avisos para divulgar o projeto e a data 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6- </w:t>
                  </w:r>
                  <w:r>
                    <w:rPr>
                      <w:rFonts w:hint="default"/>
                      <w:b w:val="0"/>
                      <w:bCs/>
                      <w:sz w:val="20"/>
                      <w:szCs w:val="20"/>
                      <w:lang w:val="pt-BR"/>
                    </w:rPr>
                    <w:t xml:space="preserve">Realização do projeto 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numPr>
                      <w:ilvl w:val="0"/>
                      <w:numId w:val="3"/>
                    </w:numPr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rFonts w:hint="default"/>
                      <w:b w:val="0"/>
                      <w:bCs/>
                      <w:sz w:val="20"/>
                      <w:szCs w:val="20"/>
                      <w:lang w:val="pt-BR"/>
                    </w:rPr>
                    <w:t>Resultado do projeto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90" w:hRule="atLeast"/>
              </w:trPr>
              <w:tc>
                <w:tcPr>
                  <w:tcW w:w="4803" w:type="dxa"/>
                  <w:gridSpan w:val="5"/>
                </w:tcPr>
                <w:p>
                  <w:pPr>
                    <w:pStyle w:val="13"/>
                    <w:spacing w:before="79"/>
                    <w:ind w:left="38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8- </w:t>
                  </w:r>
                  <w:r>
                    <w:rPr>
                      <w:color w:val="auto"/>
                      <w:sz w:val="20"/>
                    </w:rPr>
                    <w:t>Escrita do relatório de extensão</w:t>
                  </w:r>
                </w:p>
              </w:tc>
              <w:tc>
                <w:tcPr>
                  <w:tcW w:w="1009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lang w:val="pt-BR"/>
                    </w:rPr>
                    <w:t>X</w:t>
                  </w:r>
                </w:p>
              </w:tc>
              <w:tc>
                <w:tcPr>
                  <w:tcW w:w="708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  <w:tr>
              <w:tblPrEx>
                <w:tblBorders>
                  <w:top w:val="single" w:color="538DD3" w:sz="4" w:space="0"/>
                  <w:left w:val="single" w:color="538DD3" w:sz="4" w:space="0"/>
                  <w:bottom w:val="single" w:color="538DD3" w:sz="4" w:space="0"/>
                  <w:right w:val="single" w:color="538DD3" w:sz="4" w:space="0"/>
                  <w:insideH w:val="single" w:color="538DD3" w:sz="4" w:space="0"/>
                  <w:insideV w:val="single" w:color="538DD3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5"/>
                <w:wAfter w:w="4803" w:type="dxa"/>
                <w:trHeight w:val="90" w:hRule="atLeast"/>
              </w:trPr>
              <w:tc>
                <w:tcPr>
                  <w:tcW w:w="1009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2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993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  <w:tc>
                <w:tcPr>
                  <w:tcW w:w="708" w:type="dxa"/>
                  <w:gridSpan w:val="2"/>
                </w:tcPr>
                <w:p>
                  <w:pPr>
                    <w:pStyle w:val="13"/>
                    <w:jc w:val="both"/>
                    <w:rPr>
                      <w:sz w:val="16"/>
                    </w:rPr>
                  </w:pPr>
                </w:p>
              </w:tc>
            </w:tr>
          </w:tbl>
          <w:p>
            <w:pPr>
              <w:pStyle w:val="5"/>
              <w:jc w:val="both"/>
              <w:rPr>
                <w:rFonts w:ascii="Arial" w:hAnsi="Arial" w:cs="Arial"/>
                <w:sz w:val="20"/>
              </w:rPr>
            </w:pPr>
          </w:p>
          <w:p>
            <w:pPr>
              <w:pStyle w:val="5"/>
              <w:spacing w:before="9"/>
              <w:jc w:val="both"/>
              <w:rPr>
                <w:rFonts w:ascii="Arial" w:hAnsi="Arial" w:cs="Arial"/>
                <w:sz w:val="19"/>
              </w:rPr>
            </w:pPr>
          </w:p>
        </w:tc>
      </w:tr>
    </w:tbl>
    <w:p>
      <w:pPr>
        <w:pStyle w:val="5"/>
        <w:spacing w:before="9"/>
        <w:jc w:val="both"/>
        <w:rPr>
          <w:rFonts w:ascii="Arial" w:hAnsi="Arial" w:cs="Arial"/>
          <w:sz w:val="19"/>
        </w:rPr>
      </w:pPr>
    </w:p>
    <w:tbl>
      <w:tblPr>
        <w:tblStyle w:val="10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90" w:type="dxa"/>
          </w:tcPr>
          <w:p>
            <w:pPr>
              <w:spacing w:before="1"/>
              <w:ind w:left="100"/>
              <w:jc w:val="both"/>
              <w:rPr>
                <w:rFonts w:ascii="Arial" w:hAnsi="Arial" w:cs="Arial"/>
                <w:b/>
                <w:spacing w:val="-1"/>
                <w:sz w:val="24"/>
              </w:rPr>
            </w:pPr>
            <w:r>
              <w:rPr>
                <w:rFonts w:ascii="Arial" w:hAnsi="Arial" w:cs="Arial"/>
                <w:b/>
                <w:sz w:val="28"/>
              </w:rPr>
              <w:t>8.</w:t>
            </w:r>
            <w:r>
              <w:rPr>
                <w:rFonts w:ascii="Arial" w:hAnsi="Arial" w:cs="Arial"/>
                <w:b/>
                <w:spacing w:val="44"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Referências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Bibliográficas</w:t>
            </w:r>
            <w:r>
              <w:rPr>
                <w:rFonts w:ascii="Arial" w:hAnsi="Arial" w:cs="Arial"/>
                <w:b/>
                <w:spacing w:val="-1"/>
                <w:sz w:val="24"/>
              </w:rPr>
              <w:t xml:space="preserve"> </w:t>
            </w:r>
          </w:p>
          <w:p>
            <w:pPr>
              <w:spacing w:before="1"/>
              <w:ind w:left="100"/>
              <w:jc w:val="both"/>
              <w:rPr>
                <w:rFonts w:hint="default" w:ascii="Arial" w:hAnsi="Arial" w:cs="Arial"/>
                <w:b w:val="0"/>
                <w:bCs/>
                <w:spacing w:val="-1"/>
                <w:sz w:val="24"/>
                <w:lang w:val="pt-BR"/>
              </w:rPr>
            </w:pPr>
            <w:r>
              <w:rPr>
                <w:rFonts w:hint="default" w:ascii="Arial" w:hAnsi="Arial" w:cs="Arial"/>
                <w:b/>
                <w:spacing w:val="-1"/>
                <w:sz w:val="24"/>
                <w:lang w:val="pt-BR"/>
              </w:rPr>
              <w:t xml:space="preserve">   </w:t>
            </w:r>
            <w:r>
              <w:rPr>
                <w:rFonts w:hint="default" w:ascii="Arial" w:hAnsi="Arial" w:cs="Arial"/>
                <w:b w:val="0"/>
                <w:bCs/>
                <w:spacing w:val="-1"/>
                <w:sz w:val="24"/>
                <w:lang w:val="pt-BR"/>
              </w:rPr>
              <w:t xml:space="preserve">Livros: </w:t>
            </w:r>
          </w:p>
          <w:p>
            <w:pPr>
              <w:spacing w:before="1"/>
              <w:ind w:left="100"/>
              <w:jc w:val="both"/>
              <w:rPr>
                <w:rFonts w:hint="default" w:ascii="Arial" w:hAnsi="Arial" w:cs="Arial"/>
                <w:b w:val="0"/>
                <w:bCs/>
                <w:spacing w:val="-1"/>
                <w:sz w:val="24"/>
                <w:lang w:val="pt-BR"/>
              </w:rPr>
            </w:pPr>
          </w:p>
          <w:p>
            <w:pPr>
              <w:spacing w:before="1"/>
              <w:ind w:left="100"/>
              <w:jc w:val="both"/>
              <w:rPr>
                <w:rFonts w:hint="default" w:ascii="Arial" w:hAnsi="Arial"/>
                <w:b w:val="0"/>
                <w:bCs/>
                <w:spacing w:val="-1"/>
                <w:sz w:val="24"/>
                <w:lang w:val="pt-BR"/>
              </w:rPr>
            </w:pPr>
            <w:r>
              <w:rPr>
                <w:rFonts w:hint="default" w:ascii="Arial" w:hAnsi="Arial" w:cs="Arial"/>
                <w:b w:val="0"/>
                <w:bCs/>
                <w:spacing w:val="-1"/>
                <w:sz w:val="24"/>
                <w:lang w:val="pt-BR"/>
              </w:rPr>
              <w:t xml:space="preserve">   </w:t>
            </w:r>
            <w:r>
              <w:rPr>
                <w:rFonts w:hint="default" w:ascii="Arial" w:hAnsi="Arial"/>
                <w:b w:val="0"/>
                <w:bCs/>
                <w:spacing w:val="-1"/>
                <w:sz w:val="24"/>
                <w:lang w:val="pt-BR"/>
              </w:rPr>
              <w:t>Ministério da Saúde (Brasil). Instituto Nacional de Câncer. Novembro Azul: a atenção à saúde integral do homem. Ministério da Saúde, 2018.</w:t>
            </w:r>
          </w:p>
          <w:p>
            <w:pPr>
              <w:spacing w:before="1"/>
              <w:ind w:left="100"/>
              <w:jc w:val="both"/>
              <w:rPr>
                <w:rFonts w:hint="default" w:ascii="Arial" w:hAnsi="Arial"/>
                <w:b w:val="0"/>
                <w:bCs/>
                <w:spacing w:val="-1"/>
                <w:sz w:val="24"/>
                <w:lang w:val="pt-BR"/>
              </w:rPr>
            </w:pPr>
          </w:p>
          <w:p>
            <w:pPr>
              <w:spacing w:before="1"/>
              <w:ind w:left="100"/>
              <w:jc w:val="both"/>
              <w:rPr>
                <w:rFonts w:hint="default" w:ascii="Arial" w:hAnsi="Arial"/>
                <w:b w:val="0"/>
                <w:bCs/>
                <w:spacing w:val="-1"/>
                <w:sz w:val="24"/>
                <w:lang w:val="pt-BR"/>
              </w:rPr>
            </w:pPr>
            <w:r>
              <w:rPr>
                <w:rFonts w:hint="default" w:ascii="Arial" w:hAnsi="Arial"/>
                <w:b w:val="0"/>
                <w:bCs/>
                <w:spacing w:val="-1"/>
                <w:sz w:val="24"/>
                <w:lang w:val="pt-BR"/>
              </w:rPr>
              <w:t xml:space="preserve">   Clayton, D. B., &amp; Thomas, C. (Eds.). Prostate Cancer: A Patient's Guide to Treatment. Demos Medical Publishing, 2018.</w:t>
            </w:r>
          </w:p>
          <w:p>
            <w:pPr>
              <w:spacing w:before="1"/>
              <w:ind w:left="100"/>
              <w:jc w:val="both"/>
              <w:rPr>
                <w:rFonts w:hint="default" w:ascii="Arial" w:hAnsi="Arial" w:cs="Arial"/>
                <w:sz w:val="19"/>
                <w:lang w:val="pt-BR"/>
              </w:rPr>
            </w:pPr>
            <w:r>
              <w:rPr>
                <w:rFonts w:hint="default" w:ascii="Arial" w:hAnsi="Arial" w:cs="Arial"/>
                <w:sz w:val="19"/>
                <w:lang w:val="pt-BR"/>
              </w:rPr>
              <w:t xml:space="preserve"> </w:t>
            </w:r>
          </w:p>
          <w:p>
            <w:pPr>
              <w:spacing w:before="1"/>
              <w:ind w:firstLine="240" w:firstLineChars="100"/>
              <w:jc w:val="both"/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  <w:t>Sites:</w:t>
            </w:r>
          </w:p>
          <w:p>
            <w:pPr>
              <w:spacing w:before="1"/>
              <w:ind w:firstLine="240" w:firstLineChars="100"/>
              <w:jc w:val="both"/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</w:pPr>
          </w:p>
          <w:p>
            <w:pPr>
              <w:spacing w:before="1"/>
              <w:ind w:left="100"/>
              <w:jc w:val="both"/>
              <w:rPr>
                <w:rFonts w:hint="default" w:ascii="Arial" w:hAnsi="Arial"/>
                <w:color w:val="auto"/>
                <w:sz w:val="24"/>
                <w:szCs w:val="24"/>
                <w:lang w:val="pt-BR"/>
              </w:rPr>
            </w:pPr>
            <w:r>
              <w:rPr>
                <w:rFonts w:hint="default" w:ascii="Arial" w:hAnsi="Arial" w:cs="Arial"/>
                <w:color w:val="auto"/>
                <w:sz w:val="24"/>
                <w:szCs w:val="24"/>
                <w:lang w:val="pt-BR"/>
              </w:rPr>
              <w:t xml:space="preserve">  </w:t>
            </w:r>
            <w:r>
              <w:rPr>
                <w:rFonts w:hint="default" w:ascii="Arial" w:hAnsi="Arial"/>
                <w:color w:val="auto"/>
                <w:sz w:val="24"/>
                <w:szCs w:val="24"/>
                <w:lang w:val="pt-BR"/>
              </w:rPr>
              <w:t>Instituto Nacional de Câncer José Alencar Gomes da Silva (INCA). Novembro Azul. Disponível em: https://www.inca.gov.br/campanhas/novembro-azul. Acesso em: 25/09/202</w:t>
            </w:r>
          </w:p>
          <w:p>
            <w:pPr>
              <w:spacing w:before="1"/>
              <w:jc w:val="both"/>
              <w:rPr>
                <w:rFonts w:hint="default" w:ascii="Arial" w:hAnsi="Arial"/>
                <w:color w:val="auto"/>
                <w:sz w:val="24"/>
                <w:szCs w:val="24"/>
                <w:lang w:val="pt-BR"/>
              </w:rPr>
            </w:pPr>
          </w:p>
          <w:p>
            <w:pPr>
              <w:spacing w:before="1"/>
              <w:ind w:left="100"/>
              <w:jc w:val="both"/>
              <w:rPr>
                <w:rFonts w:hint="default" w:ascii="Arial" w:hAnsi="Arial"/>
                <w:color w:val="auto"/>
                <w:sz w:val="24"/>
                <w:szCs w:val="24"/>
                <w:lang w:val="pt-BR"/>
              </w:rPr>
            </w:pPr>
            <w:r>
              <w:rPr>
                <w:rFonts w:hint="default" w:ascii="Arial" w:hAnsi="Arial"/>
                <w:color w:val="auto"/>
                <w:sz w:val="24"/>
                <w:szCs w:val="24"/>
                <w:lang w:val="pt-BR"/>
              </w:rPr>
              <w:t xml:space="preserve">Ministério da Saúde (Brasil). Novembro Azul: Prevenção ao Câncer de Próstata. Disponível em: https://www.gov.br/saude/pt-br/campanhas/novembro-azul. Acesso em: </w:t>
            </w:r>
            <w:bookmarkStart w:id="1" w:name="_GoBack"/>
            <w:bookmarkEnd w:id="1"/>
            <w:r>
              <w:rPr>
                <w:rFonts w:hint="default" w:ascii="Arial" w:hAnsi="Arial"/>
                <w:color w:val="auto"/>
                <w:sz w:val="24"/>
                <w:szCs w:val="24"/>
                <w:lang w:val="pt-BR"/>
              </w:rPr>
              <w:t>25/09/2023.</w:t>
            </w:r>
          </w:p>
        </w:tc>
      </w:tr>
      <w:bookmarkEnd w:id="0"/>
    </w:tbl>
    <w:p>
      <w:pPr>
        <w:pStyle w:val="5"/>
        <w:numPr>
          <w:numId w:val="0"/>
        </w:numPr>
        <w:spacing w:before="9"/>
        <w:rPr>
          <w:rFonts w:asciiTheme="minorHAnsi" w:hAnsiTheme="minorHAnsi" w:cstheme="minorHAnsi"/>
          <w:sz w:val="24"/>
          <w:szCs w:val="24"/>
        </w:rPr>
      </w:pPr>
    </w:p>
    <w:sectPr>
      <w:pgSz w:w="12240" w:h="15840"/>
      <w:pgMar w:top="1360" w:right="500" w:bottom="1200" w:left="880" w:header="730" w:footer="101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537.35pt;margin-top:730.25pt;height:15.3pt;width:26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/>
                  <w:rPr>
                    <w:rFonts w:ascii="Times New Roman"/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 xml:space="preserve">/ </w:t>
                </w:r>
                <w:r>
                  <w:rPr>
                    <w:rFonts w:ascii="Times New Roman"/>
                    <w:b/>
                    <w:sz w:val="24"/>
                  </w:rPr>
                  <w:t>2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52.45pt;margin-top:36pt;height:32.9pt;width:519.5pt;mso-position-horizontal-relative:page;mso-position-vertical-relative:pag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tbl>
                <w:tblPr>
                  <w:tblStyle w:val="11"/>
                  <w:tblW w:w="0" w:type="auto"/>
                  <w:tblInd w:w="10" w:type="dxa"/>
                  <w:tblBorders>
                    <w:top w:val="single" w:color="528ED4" w:sz="8" w:space="0"/>
                    <w:left w:val="single" w:color="528ED4" w:sz="8" w:space="0"/>
                    <w:bottom w:val="single" w:color="528ED4" w:sz="8" w:space="0"/>
                    <w:right w:val="single" w:color="528ED4" w:sz="8" w:space="0"/>
                    <w:insideH w:val="single" w:color="528ED4" w:sz="8" w:space="0"/>
                    <w:insideV w:val="single" w:color="528ED4" w:sz="8" w:space="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blGrid>
                  <w:gridCol w:w="1846"/>
                  <w:gridCol w:w="4686"/>
                  <w:gridCol w:w="852"/>
                  <w:gridCol w:w="1133"/>
                  <w:gridCol w:w="921"/>
                  <w:gridCol w:w="921"/>
                </w:tblGrid>
                <w:tr>
                  <w:tblPrEx>
                    <w:tblBorders>
                      <w:top w:val="single" w:color="528ED4" w:sz="8" w:space="0"/>
                      <w:left w:val="single" w:color="528ED4" w:sz="8" w:space="0"/>
                      <w:bottom w:val="single" w:color="528ED4" w:sz="8" w:space="0"/>
                      <w:right w:val="single" w:color="528ED4" w:sz="8" w:space="0"/>
                      <w:insideH w:val="single" w:color="528ED4" w:sz="8" w:space="0"/>
                      <w:insideV w:val="single" w:color="528ED4" w:sz="8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160" w:hRule="atLeast"/>
                  </w:trPr>
                  <w:tc>
                    <w:tcPr>
                      <w:tcW w:w="1846" w:type="dxa"/>
                      <w:vMerge w:val="restart"/>
                    </w:tcPr>
                    <w:p>
                      <w:pPr>
                        <w:pStyle w:val="13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6671" w:type="dxa"/>
                      <w:gridSpan w:val="3"/>
                      <w:vMerge w:val="restart"/>
                    </w:tcPr>
                    <w:p>
                      <w:pPr>
                        <w:pStyle w:val="13"/>
                        <w:spacing w:line="208" w:lineRule="exact"/>
                        <w:ind w:left="1557" w:right="1537" w:firstLine="516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PROJETO DE INTERVENÇÃO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(DISCIPLINA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DE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EXTENSÃO</w:t>
                      </w:r>
                      <w:r>
                        <w:rPr>
                          <w:b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-</w:t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DISCENTE)</w:t>
                      </w:r>
                    </w:p>
                  </w:tc>
                  <w:tc>
                    <w:tcPr>
                      <w:tcW w:w="1842" w:type="dxa"/>
                      <w:gridSpan w:val="2"/>
                      <w:shd w:val="clear" w:color="auto" w:fill="DBE4F0"/>
                    </w:tcPr>
                    <w:p>
                      <w:pPr>
                        <w:pStyle w:val="13"/>
                        <w:spacing w:line="140" w:lineRule="exact"/>
                        <w:ind w:left="647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CÓDIGO:</w:t>
                      </w:r>
                    </w:p>
                  </w:tc>
                </w:tr>
                <w:tr>
                  <w:tblPrEx>
                    <w:tblBorders>
                      <w:top w:val="single" w:color="528ED4" w:sz="8" w:space="0"/>
                      <w:left w:val="single" w:color="528ED4" w:sz="8" w:space="0"/>
                      <w:bottom w:val="single" w:color="528ED4" w:sz="8" w:space="0"/>
                      <w:right w:val="single" w:color="528ED4" w:sz="8" w:space="0"/>
                      <w:insideH w:val="single" w:color="528ED4" w:sz="8" w:space="0"/>
                      <w:insideV w:val="single" w:color="528ED4" w:sz="8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234" w:hRule="atLeast"/>
                  </w:trPr>
                  <w:tc>
                    <w:tcPr>
                      <w:tcW w:w="1846" w:type="dxa"/>
                      <w:vMerge w:val="continue"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671" w:type="dxa"/>
                      <w:gridSpan w:val="3"/>
                      <w:vMerge w:val="continue"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842" w:type="dxa"/>
                      <w:gridSpan w:val="2"/>
                    </w:tcPr>
                    <w:p>
                      <w:pPr>
                        <w:pStyle w:val="13"/>
                        <w:spacing w:before="13" w:line="201" w:lineRule="exact"/>
                        <w:ind w:left="390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sz w:val="18"/>
                        </w:rPr>
                        <w:t>PEX-MDL-54</w:t>
                      </w:r>
                    </w:p>
                  </w:tc>
                </w:tr>
                <w:tr>
                  <w:tblPrEx>
                    <w:tblBorders>
                      <w:top w:val="single" w:color="528ED4" w:sz="8" w:space="0"/>
                      <w:left w:val="single" w:color="528ED4" w:sz="8" w:space="0"/>
                      <w:bottom w:val="single" w:color="528ED4" w:sz="8" w:space="0"/>
                      <w:right w:val="single" w:color="528ED4" w:sz="8" w:space="0"/>
                      <w:insideH w:val="single" w:color="528ED4" w:sz="8" w:space="0"/>
                      <w:insideV w:val="single" w:color="528ED4" w:sz="8" w:space="0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Ex>
                  <w:trPr>
                    <w:trHeight w:val="182" w:hRule="atLeast"/>
                  </w:trPr>
                  <w:tc>
                    <w:tcPr>
                      <w:tcW w:w="1846" w:type="dxa"/>
                      <w:shd w:val="clear" w:color="auto" w:fill="DBE4F0"/>
                    </w:tcPr>
                    <w:p>
                      <w:pPr>
                        <w:pStyle w:val="13"/>
                        <w:spacing w:before="10" w:line="152" w:lineRule="exact"/>
                        <w:ind w:left="357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APROVADO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POR:</w:t>
                      </w:r>
                    </w:p>
                  </w:tc>
                  <w:tc>
                    <w:tcPr>
                      <w:tcW w:w="4686" w:type="dxa"/>
                    </w:tcPr>
                    <w:p>
                      <w:pPr>
                        <w:pStyle w:val="13"/>
                        <w:spacing w:line="162" w:lineRule="exact"/>
                        <w:ind w:left="69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Francislene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Hasmann-Diretor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(a)</w:t>
                      </w:r>
                      <w:r>
                        <w:rPr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Adjunto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de</w:t>
                      </w:r>
                      <w:r>
                        <w:rPr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Regulação</w:t>
                      </w:r>
                    </w:p>
                  </w:tc>
                  <w:tc>
                    <w:tcPr>
                      <w:tcW w:w="852" w:type="dxa"/>
                      <w:shd w:val="clear" w:color="auto" w:fill="DBE4F0"/>
                    </w:tcPr>
                    <w:p>
                      <w:pPr>
                        <w:pStyle w:val="13"/>
                        <w:spacing w:before="10" w:line="152" w:lineRule="exact"/>
                        <w:ind w:left="205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DATA:</w:t>
                      </w:r>
                    </w:p>
                  </w:tc>
                  <w:tc>
                    <w:tcPr>
                      <w:tcW w:w="1133" w:type="dxa"/>
                    </w:tcPr>
                    <w:p>
                      <w:pPr>
                        <w:pStyle w:val="13"/>
                        <w:spacing w:before="10" w:line="152" w:lineRule="exact"/>
                        <w:ind w:left="68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27/07/2022</w:t>
                      </w:r>
                    </w:p>
                  </w:tc>
                  <w:tc>
                    <w:tcPr>
                      <w:tcW w:w="921" w:type="dxa"/>
                      <w:shd w:val="clear" w:color="auto" w:fill="DBE4F0"/>
                    </w:tcPr>
                    <w:p>
                      <w:pPr>
                        <w:pStyle w:val="13"/>
                        <w:spacing w:before="10" w:line="152" w:lineRule="exact"/>
                        <w:ind w:left="138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VERSÃO:</w:t>
                      </w:r>
                    </w:p>
                  </w:tc>
                  <w:tc>
                    <w:tcPr>
                      <w:tcW w:w="921" w:type="dxa"/>
                    </w:tcPr>
                    <w:p>
                      <w:pPr>
                        <w:pStyle w:val="13"/>
                        <w:spacing w:before="10" w:line="152" w:lineRule="exact"/>
                        <w:ind w:left="360" w:right="344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00</w:t>
                      </w:r>
                    </w:p>
                  </w:tc>
                </w:tr>
              </w:tbl>
              <w:p>
                <w:pPr>
                  <w:pStyle w:val="5"/>
                </w:pPr>
              </w:p>
            </w:txbxContent>
          </v:textbox>
        </v:shape>
      </w:pict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1070610</wp:posOffset>
          </wp:positionH>
          <wp:positionV relativeFrom="page">
            <wp:posOffset>513715</wp:posOffset>
          </wp:positionV>
          <wp:extent cx="423545" cy="1790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3566" cy="179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047099"/>
    <w:multiLevelType w:val="multilevel"/>
    <w:tmpl w:val="36047099"/>
    <w:lvl w:ilvl="0" w:tentative="0">
      <w:start w:val="1"/>
      <w:numFmt w:val="decimal"/>
      <w:lvlText w:val="%1."/>
      <w:lvlJc w:val="left"/>
      <w:pPr>
        <w:ind w:left="462" w:hanging="360"/>
      </w:pPr>
      <w:rPr>
        <w:rFonts w:hint="default"/>
        <w:b/>
        <w:color w:val="auto"/>
        <w:sz w:val="28"/>
      </w:rPr>
    </w:lvl>
    <w:lvl w:ilvl="1" w:tentative="0">
      <w:start w:val="1"/>
      <w:numFmt w:val="lowerLetter"/>
      <w:lvlText w:val="%2."/>
      <w:lvlJc w:val="left"/>
      <w:pPr>
        <w:ind w:left="1182" w:hanging="360"/>
      </w:pPr>
    </w:lvl>
    <w:lvl w:ilvl="2" w:tentative="0">
      <w:start w:val="1"/>
      <w:numFmt w:val="lowerRoman"/>
      <w:lvlText w:val="%3."/>
      <w:lvlJc w:val="right"/>
      <w:pPr>
        <w:ind w:left="1902" w:hanging="180"/>
      </w:pPr>
    </w:lvl>
    <w:lvl w:ilvl="3" w:tentative="0">
      <w:start w:val="1"/>
      <w:numFmt w:val="decimal"/>
      <w:lvlText w:val="%4."/>
      <w:lvlJc w:val="left"/>
      <w:pPr>
        <w:ind w:left="2622" w:hanging="360"/>
      </w:pPr>
    </w:lvl>
    <w:lvl w:ilvl="4" w:tentative="0">
      <w:start w:val="1"/>
      <w:numFmt w:val="lowerLetter"/>
      <w:lvlText w:val="%5."/>
      <w:lvlJc w:val="left"/>
      <w:pPr>
        <w:ind w:left="3342" w:hanging="360"/>
      </w:pPr>
    </w:lvl>
    <w:lvl w:ilvl="5" w:tentative="0">
      <w:start w:val="1"/>
      <w:numFmt w:val="lowerRoman"/>
      <w:lvlText w:val="%6."/>
      <w:lvlJc w:val="right"/>
      <w:pPr>
        <w:ind w:left="4062" w:hanging="180"/>
      </w:pPr>
    </w:lvl>
    <w:lvl w:ilvl="6" w:tentative="0">
      <w:start w:val="1"/>
      <w:numFmt w:val="decimal"/>
      <w:lvlText w:val="%7."/>
      <w:lvlJc w:val="left"/>
      <w:pPr>
        <w:ind w:left="4782" w:hanging="360"/>
      </w:pPr>
    </w:lvl>
    <w:lvl w:ilvl="7" w:tentative="0">
      <w:start w:val="1"/>
      <w:numFmt w:val="lowerLetter"/>
      <w:lvlText w:val="%8."/>
      <w:lvlJc w:val="left"/>
      <w:pPr>
        <w:ind w:left="5502" w:hanging="360"/>
      </w:pPr>
    </w:lvl>
    <w:lvl w:ilvl="8" w:tentative="0">
      <w:start w:val="1"/>
      <w:numFmt w:val="lowerRoman"/>
      <w:lvlText w:val="%9."/>
      <w:lvlJc w:val="right"/>
      <w:pPr>
        <w:ind w:left="6222" w:hanging="180"/>
      </w:pPr>
    </w:lvl>
  </w:abstractNum>
  <w:abstractNum w:abstractNumId="1">
    <w:nsid w:val="6B196B0A"/>
    <w:multiLevelType w:val="singleLevel"/>
    <w:tmpl w:val="6B196B0A"/>
    <w:lvl w:ilvl="0" w:tentative="0">
      <w:start w:val="7"/>
      <w:numFmt w:val="decimal"/>
      <w:suff w:val="space"/>
      <w:lvlText w:val="%1-"/>
      <w:lvlJc w:val="left"/>
    </w:lvl>
  </w:abstractNum>
  <w:abstractNum w:abstractNumId="2">
    <w:nsid w:val="6E3427F1"/>
    <w:multiLevelType w:val="singleLevel"/>
    <w:tmpl w:val="6E3427F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590382"/>
    <w:rsid w:val="000143B9"/>
    <w:rsid w:val="000B1FA2"/>
    <w:rsid w:val="00182833"/>
    <w:rsid w:val="00265F39"/>
    <w:rsid w:val="002C2C31"/>
    <w:rsid w:val="003C2DED"/>
    <w:rsid w:val="00433AC8"/>
    <w:rsid w:val="00501F48"/>
    <w:rsid w:val="00590382"/>
    <w:rsid w:val="00670922"/>
    <w:rsid w:val="00677E89"/>
    <w:rsid w:val="00783049"/>
    <w:rsid w:val="007B42DE"/>
    <w:rsid w:val="00841B55"/>
    <w:rsid w:val="0086523D"/>
    <w:rsid w:val="008B5D3D"/>
    <w:rsid w:val="009C5868"/>
    <w:rsid w:val="009F51E8"/>
    <w:rsid w:val="00B267B7"/>
    <w:rsid w:val="00C045EB"/>
    <w:rsid w:val="00D00741"/>
    <w:rsid w:val="00D76ABB"/>
    <w:rsid w:val="00D976E5"/>
    <w:rsid w:val="00DA1272"/>
    <w:rsid w:val="00FA58D7"/>
    <w:rsid w:val="187A2992"/>
    <w:rsid w:val="33514A74"/>
    <w:rsid w:val="49A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Body Text"/>
    <w:basedOn w:val="1"/>
    <w:qFormat/>
    <w:uiPriority w:val="1"/>
    <w:rPr>
      <w:sz w:val="16"/>
      <w:szCs w:val="16"/>
    </w:rPr>
  </w:style>
  <w:style w:type="paragraph" w:styleId="6">
    <w:name w:val="annotation text"/>
    <w:basedOn w:val="1"/>
    <w:semiHidden/>
    <w:unhideWhenUsed/>
    <w:uiPriority w:val="99"/>
  </w:style>
  <w:style w:type="paragraph" w:styleId="7">
    <w:name w:val="Title"/>
    <w:basedOn w:val="1"/>
    <w:qFormat/>
    <w:uiPriority w:val="10"/>
    <w:pPr>
      <w:spacing w:before="88"/>
      <w:ind w:left="4891" w:right="5027"/>
      <w:jc w:val="center"/>
    </w:pPr>
    <w:rPr>
      <w:sz w:val="36"/>
      <w:szCs w:val="36"/>
    </w:rPr>
  </w:style>
  <w:style w:type="paragraph" w:styleId="8">
    <w:name w:val="header"/>
    <w:basedOn w:val="1"/>
    <w:link w:val="15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footer"/>
    <w:basedOn w:val="1"/>
    <w:link w:val="16"/>
    <w:unhideWhenUsed/>
    <w:uiPriority w:val="99"/>
    <w:pPr>
      <w:tabs>
        <w:tab w:val="center" w:pos="4252"/>
        <w:tab w:val="right" w:pos="8504"/>
      </w:tabs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34"/>
  </w:style>
  <w:style w:type="paragraph" w:customStyle="1" w:styleId="13">
    <w:name w:val="Table Paragraph"/>
    <w:basedOn w:val="1"/>
    <w:qFormat/>
    <w:uiPriority w:val="1"/>
    <w:rPr>
      <w:rFonts w:ascii="Arial" w:hAnsi="Arial" w:eastAsia="Arial" w:cs="Arial"/>
    </w:rPr>
  </w:style>
  <w:style w:type="character" w:customStyle="1" w:styleId="14">
    <w:name w:val="original-content"/>
    <w:basedOn w:val="2"/>
    <w:qFormat/>
    <w:uiPriority w:val="0"/>
  </w:style>
  <w:style w:type="character" w:customStyle="1" w:styleId="15">
    <w:name w:val="Cabeçalho Caráter"/>
    <w:basedOn w:val="2"/>
    <w:link w:val="8"/>
    <w:qFormat/>
    <w:uiPriority w:val="99"/>
    <w:rPr>
      <w:rFonts w:ascii="Arial MT" w:hAnsi="Arial MT" w:eastAsia="Arial MT" w:cs="Arial MT"/>
      <w:lang w:val="pt-PT"/>
    </w:rPr>
  </w:style>
  <w:style w:type="character" w:customStyle="1" w:styleId="16">
    <w:name w:val="Rodapé Caráter"/>
    <w:basedOn w:val="2"/>
    <w:link w:val="9"/>
    <w:qFormat/>
    <w:uiPriority w:val="99"/>
    <w:rPr>
      <w:rFonts w:ascii="Arial MT" w:hAnsi="Arial MT" w:eastAsia="Arial MT" w:cs="Arial MT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A19D2A-3F14-4DCF-9044-492EB9FFF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1012</Words>
  <Characters>5468</Characters>
  <Lines>45</Lines>
  <Paragraphs>12</Paragraphs>
  <TotalTime>14</TotalTime>
  <ScaleCrop>false</ScaleCrop>
  <LinksUpToDate>false</LinksUpToDate>
  <CharactersWithSpaces>6468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2023-06-09T14:54:00Z</dcterms:created>
  <dc:creator>Francislene Hasmann</dc:creator>
  <cp:lastModifiedBy>emano</cp:lastModifiedBy>
  <dcterms:modified xsi:type="dcterms:W3CDTF">2023-09-26T00:57:04Z</dcterms:modified>
  <dc:title>REGULAMENTO DE PROJETOS DE EXTENSÃO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2023-06-09T00:00:00Z</vt:filetime>
  </property>
  <property fmtid="{D5CDD505-2E9C-101B-9397-08002B2CF9AE}" pid="5" name="KSOProductBuildVer">
    <vt:lpwstr>1046-12.2.0.13215</vt:lpwstr>
  </property>
  <property fmtid="{D5CDD505-2E9C-101B-9397-08002B2CF9AE}" pid="6" name="ICV">
    <vt:lpwstr>085E88D8231F4909B29C77AF33F897DC</vt:lpwstr>
  </property>
</Properties>
</file>