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Requisitos e Escopo (PRD)</w:t>
      </w:r>
    </w:p>
    <w:p>
      <w:pPr>
        <w:jc w:val="center"/>
      </w:pPr>
      <w:r>
        <w:t>Projeto: Mary Kay Manager (MVP)</w:t>
      </w:r>
    </w:p>
    <w:p>
      <w:r>
        <w:br/>
        <w:t>Este documento define a arquitetura, o banco de dados e os requisitos para o desenvolvimento do sistema "Mary Kay Manager", servindo como instrução base para o agente de codificação (Antigravity / AI Assistant).</w:t>
      </w:r>
    </w:p>
    <w:p>
      <w:pPr>
        <w:pStyle w:val="Heading1"/>
      </w:pPr>
      <w:r>
        <w:t>1. Visão Geral do Produto</w:t>
      </w:r>
    </w:p>
    <w:p>
      <w:r>
        <w:t>Um web app mobile-first (focado em uso via smartphone) de uso exclusivo administrativo. O objetivo principal é gerenciar clientes, registrar vendas parceladas, prever o fluxo de caixa mensal e facilitar a cobrança diária através de links dinâmicos de redirecionamento para o WhatsApp com mensagens pré-formatadas. O sistema visa substituir controles manuais (cadernos) por automação e previsibilidade financeira.</w:t>
      </w:r>
    </w:p>
    <w:p>
      <w:pPr>
        <w:pStyle w:val="Heading1"/>
      </w:pPr>
      <w:r>
        <w:t>2. Stack Tecnológico Recomendado</w:t>
      </w:r>
    </w:p>
    <w:p>
      <w:r>
        <w:rPr>
          <w:b/>
        </w:rPr>
        <w:t>Frontend:</w:t>
      </w:r>
      <w:r>
        <w:t xml:space="preserve"> Next.js (React) ou SvelteKit.</w:t>
        <w:br/>
      </w:r>
      <w:r>
        <w:rPr>
          <w:b/>
        </w:rPr>
        <w:t>Estilização:</w:t>
      </w:r>
      <w:r>
        <w:t xml:space="preserve"> Tailwind CSS + shadcn/ui (para componentes de interface rápidos e responsivos).</w:t>
        <w:br/>
      </w:r>
      <w:r>
        <w:rPr>
          <w:b/>
        </w:rPr>
        <w:t>Backend as a Service (BaaS):</w:t>
      </w:r>
      <w:r>
        <w:t xml:space="preserve"> Supabase (PostgreSQL para Banco de Dados e Supabase Auth para Autenticação).</w:t>
        <w:br/>
      </w:r>
      <w:r>
        <w:rPr>
          <w:b/>
        </w:rPr>
        <w:t>Hospedagem:</w:t>
      </w:r>
      <w:r>
        <w:t xml:space="preserve"> Vercel ou Netlify.</w:t>
        <w:br/>
      </w:r>
      <w:r>
        <w:rPr>
          <w:b/>
        </w:rPr>
        <w:t>Tratamento de Datas:</w:t>
      </w:r>
      <w:r>
        <w:t xml:space="preserve"> date-fns ou dayjs (Essencial forçar o fuso horário America/Recife para evitar bugs na virada do dia para a geração de cobranças).</w:t>
      </w:r>
    </w:p>
    <w:p>
      <w:pPr>
        <w:pStyle w:val="Heading1"/>
      </w:pPr>
      <w:r>
        <w:t>3. Modelo de Dados (Supabase / PostgreSQL)</w:t>
      </w:r>
    </w:p>
    <w:p>
      <w:r>
        <w:t>Abaixo estão as especificações das tabelas essenciais para o MVP. O agente de IA deve criar as migrations/tabelas no Supabase seguindo esta estrutura:</w:t>
      </w:r>
    </w:p>
    <w:p>
      <w:pPr>
        <w:pStyle w:val="Heading2"/>
      </w:pPr>
      <w:r>
        <w:t>Tabela: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id_cliente</w:t>
            </w:r>
          </w:p>
        </w:tc>
        <w:tc>
          <w:tcPr>
            <w:tcW w:type="dxa" w:w="2880"/>
          </w:tcPr>
          <w:p>
            <w:r>
              <w:t>UUID / Serial</w:t>
            </w:r>
          </w:p>
        </w:tc>
        <w:tc>
          <w:tcPr>
            <w:tcW w:type="dxa" w:w="2880"/>
          </w:tcPr>
          <w:p>
            <w:r>
              <w:t>Chave Primária (PK)</w:t>
            </w:r>
          </w:p>
        </w:tc>
      </w:tr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Nome da cliente</w:t>
            </w:r>
          </w:p>
        </w:tc>
      </w:tr>
      <w:tr>
        <w:tc>
          <w:tcPr>
            <w:tcW w:type="dxa" w:w="2880"/>
          </w:tcPr>
          <w:p>
            <w:r>
              <w:t>telefone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WhatsApp da cliente (com DDD)</w:t>
            </w:r>
          </w:p>
        </w:tc>
      </w:tr>
      <w:tr>
        <w:tc>
          <w:tcPr>
            <w:tcW w:type="dxa" w:w="2880"/>
          </w:tcPr>
          <w:p>
            <w:r>
              <w:t>data_cadastro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Data de criação do registro</w:t>
            </w:r>
          </w:p>
        </w:tc>
      </w:tr>
    </w:tbl>
    <w:p>
      <w:pPr>
        <w:pStyle w:val="Heading2"/>
      </w:pPr>
      <w:r>
        <w:t>Tabela: VENDA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id_venda</w:t>
            </w:r>
          </w:p>
        </w:tc>
        <w:tc>
          <w:tcPr>
            <w:tcW w:type="dxa" w:w="2880"/>
          </w:tcPr>
          <w:p>
            <w:r>
              <w:t>UUID / Serial</w:t>
            </w:r>
          </w:p>
        </w:tc>
        <w:tc>
          <w:tcPr>
            <w:tcW w:type="dxa" w:w="2880"/>
          </w:tcPr>
          <w:p>
            <w:r>
              <w:t>Chave Primária (PK)</w:t>
            </w:r>
          </w:p>
        </w:tc>
      </w:tr>
      <w:tr>
        <w:tc>
          <w:tcPr>
            <w:tcW w:type="dxa" w:w="2880"/>
          </w:tcPr>
          <w:p>
            <w:r>
              <w:t>id_cliente</w:t>
            </w:r>
          </w:p>
        </w:tc>
        <w:tc>
          <w:tcPr>
            <w:tcW w:type="dxa" w:w="2880"/>
          </w:tcPr>
          <w:p>
            <w:r>
              <w:t>UUID / Integer</w:t>
            </w:r>
          </w:p>
        </w:tc>
        <w:tc>
          <w:tcPr>
            <w:tcW w:type="dxa" w:w="2880"/>
          </w:tcPr>
          <w:p>
            <w:r>
              <w:t>Chave Estrangeira (FK) -&gt; CLIENTE.id</w:t>
            </w:r>
          </w:p>
        </w:tc>
      </w:tr>
      <w:tr>
        <w:tc>
          <w:tcPr>
            <w:tcW w:type="dxa" w:w="2880"/>
          </w:tcPr>
          <w:p>
            <w:r>
              <w:t>descricao_produtos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Descrição simples do que foi comprado</w:t>
            </w:r>
          </w:p>
        </w:tc>
      </w:tr>
      <w:tr>
        <w:tc>
          <w:tcPr>
            <w:tcW w:type="dxa" w:w="2880"/>
          </w:tcPr>
          <w:p>
            <w:r>
              <w:t>valor_total</w:t>
            </w:r>
          </w:p>
        </w:tc>
        <w:tc>
          <w:tcPr>
            <w:tcW w:type="dxa" w:w="2880"/>
          </w:tcPr>
          <w:p>
            <w:r>
              <w:t>Decimal / Numeric</w:t>
            </w:r>
          </w:p>
        </w:tc>
        <w:tc>
          <w:tcPr>
            <w:tcW w:type="dxa" w:w="2880"/>
          </w:tcPr>
          <w:p>
            <w:r>
              <w:t>Valor total da compra</w:t>
            </w:r>
          </w:p>
        </w:tc>
      </w:tr>
      <w:tr>
        <w:tc>
          <w:tcPr>
            <w:tcW w:type="dxa" w:w="2880"/>
          </w:tcPr>
          <w:p>
            <w:r>
              <w:t>data_venda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Data em que a compra ocorreu</w:t>
            </w:r>
          </w:p>
        </w:tc>
      </w:tr>
      <w:tr>
        <w:tc>
          <w:tcPr>
            <w:tcW w:type="dxa" w:w="2880"/>
          </w:tcPr>
          <w:p>
            <w:r>
              <w:t>total_de_parcelas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Número de vezes em que a compra foi dividida</w:t>
            </w:r>
          </w:p>
        </w:tc>
      </w:tr>
    </w:tbl>
    <w:p>
      <w:pPr>
        <w:pStyle w:val="Heading2"/>
      </w:pPr>
      <w:r>
        <w:t>Tabela: PARCELA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id_parcela</w:t>
            </w:r>
          </w:p>
        </w:tc>
        <w:tc>
          <w:tcPr>
            <w:tcW w:type="dxa" w:w="2880"/>
          </w:tcPr>
          <w:p>
            <w:r>
              <w:t>UUID / Serial</w:t>
            </w:r>
          </w:p>
        </w:tc>
        <w:tc>
          <w:tcPr>
            <w:tcW w:type="dxa" w:w="2880"/>
          </w:tcPr>
          <w:p>
            <w:r>
              <w:t>Chave Primária (PK)</w:t>
            </w:r>
          </w:p>
        </w:tc>
      </w:tr>
      <w:tr>
        <w:tc>
          <w:tcPr>
            <w:tcW w:type="dxa" w:w="2880"/>
          </w:tcPr>
          <w:p>
            <w:r>
              <w:t>id_venda</w:t>
            </w:r>
          </w:p>
        </w:tc>
        <w:tc>
          <w:tcPr>
            <w:tcW w:type="dxa" w:w="2880"/>
          </w:tcPr>
          <w:p>
            <w:r>
              <w:t>UUID / Integer</w:t>
            </w:r>
          </w:p>
        </w:tc>
        <w:tc>
          <w:tcPr>
            <w:tcW w:type="dxa" w:w="2880"/>
          </w:tcPr>
          <w:p>
            <w:r>
              <w:t>Chave Estrangeira (FK) -&gt; VENDA.id</w:t>
            </w:r>
          </w:p>
        </w:tc>
      </w:tr>
      <w:tr>
        <w:tc>
          <w:tcPr>
            <w:tcW w:type="dxa" w:w="2880"/>
          </w:tcPr>
          <w:p>
            <w:r>
              <w:t>numero_da_parcela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Sequencial (ex: 1, 2, 3...)</w:t>
            </w:r>
          </w:p>
        </w:tc>
      </w:tr>
      <w:tr>
        <w:tc>
          <w:tcPr>
            <w:tcW w:type="dxa" w:w="2880"/>
          </w:tcPr>
          <w:p>
            <w:r>
              <w:t>valor_parcela</w:t>
            </w:r>
          </w:p>
        </w:tc>
        <w:tc>
          <w:tcPr>
            <w:tcW w:type="dxa" w:w="2880"/>
          </w:tcPr>
          <w:p>
            <w:r>
              <w:t>Decimal / Numeric</w:t>
            </w:r>
          </w:p>
        </w:tc>
        <w:tc>
          <w:tcPr>
            <w:tcW w:type="dxa" w:w="2880"/>
          </w:tcPr>
          <w:p>
            <w:r>
              <w:t>Valor individual desta prestação</w:t>
            </w:r>
          </w:p>
        </w:tc>
      </w:tr>
      <w:tr>
        <w:tc>
          <w:tcPr>
            <w:tcW w:type="dxa" w:w="2880"/>
          </w:tcPr>
          <w:p>
            <w:r>
              <w:t>data_vencimento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Data exata programada para cobrança</w:t>
            </w:r>
          </w:p>
        </w:tc>
      </w:tr>
      <w:tr>
        <w:tc>
          <w:tcPr>
            <w:tcW w:type="dxa" w:w="2880"/>
          </w:tcPr>
          <w:p>
            <w:r>
              <w:t>status_pago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False (pendente) / True (pago) - Default: False</w:t>
            </w:r>
          </w:p>
        </w:tc>
      </w:tr>
      <w:tr>
        <w:tc>
          <w:tcPr>
            <w:tcW w:type="dxa" w:w="2880"/>
          </w:tcPr>
          <w:p>
            <w:r>
              <w:t>data_pagamento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Nulo por padrão. Atualizado quando status_pago = True</w:t>
            </w:r>
          </w:p>
        </w:tc>
      </w:tr>
    </w:tbl>
    <w:p>
      <w:pPr>
        <w:pStyle w:val="Heading1"/>
      </w:pPr>
      <w:r>
        <w:t>4. Requisitos Funcionais</w:t>
      </w:r>
    </w:p>
    <w:p>
      <w:pPr>
        <w:pStyle w:val="ListBullet"/>
      </w:pPr>
      <w:r>
        <w:t>RF01 - Autenticação: Login seguro exigido para visualizar qualquer tela (Supabase Auth).</w:t>
      </w:r>
    </w:p>
    <w:p>
      <w:pPr>
        <w:pStyle w:val="ListBullet"/>
      </w:pPr>
      <w:r>
        <w:t>RF02 - Gestão de Clientes (CRUD): Tela para criar, listar, editar e excluir clientes.</w:t>
      </w:r>
    </w:p>
    <w:p>
      <w:pPr>
        <w:pStyle w:val="ListBullet"/>
      </w:pPr>
      <w:r>
        <w:t>RF03 - Registro de Venda: Formulário para selecionar uma cliente, adicionar descrição da compra, valor total e número de parcelas.</w:t>
      </w:r>
    </w:p>
    <w:p>
      <w:pPr>
        <w:pStyle w:val="ListBullet"/>
      </w:pPr>
      <w:r>
        <w:t>RF04 - Geração Automática de Parcelas: Ao confirmar a venda, o backend deve processar a divisão (valor total / parcelas) e salvar MÚLTIPLAS linhas na tabela PARCELA, adicionando 30 dias na data de vencimento a cada iteração (ou intervalos customizados).</w:t>
      </w:r>
    </w:p>
    <w:p>
      <w:pPr>
        <w:pStyle w:val="ListBullet"/>
      </w:pPr>
      <w:r>
        <w:t>RF05 - Dashboard Financeiro: Tela inicial exibindo total a receber no mês corrente (query filtrando parcelas não pagas com vencimento no mês atual).</w:t>
      </w:r>
    </w:p>
    <w:p>
      <w:pPr>
        <w:pStyle w:val="ListBullet"/>
      </w:pPr>
      <w:r>
        <w:t>RF06 - Hub de Cobranças do Dia: Lista de parcelas vencendo na data de hoje que ainda possuem status_pago == False.</w:t>
      </w:r>
    </w:p>
    <w:p>
      <w:pPr>
        <w:pStyle w:val="ListBullet"/>
      </w:pPr>
      <w:r>
        <w:t>RF07 - Botão de Disparo Dinâmico: Cada item no Hub de Cobranças deve ter um link wa.me interpolando o telefone da cliente, o valor da parcela e a chave Pix da consultora para envio em 1 clique via WhatsApp.</w:t>
      </w:r>
    </w:p>
    <w:p>
      <w:pPr>
        <w:pStyle w:val="ListBullet"/>
      </w:pPr>
      <w:r>
        <w:t>RF08 - Check de Pagamento: Ação rápida na interface para marcar a parcela como paga, atualizando o DB.</w:t>
      </w:r>
    </w:p>
    <w:p>
      <w:pPr>
        <w:pStyle w:val="Heading1"/>
      </w:pPr>
      <w:r>
        <w:t>5. Regras de Negócio e Casos Especiais</w:t>
      </w:r>
    </w:p>
    <w:p>
      <w:pPr>
        <w:pStyle w:val="ListBullet"/>
      </w:pPr>
      <w:r>
        <w:t>RN01 - Arredondamento de Parcelas: Se a divisão não for exata (ex: 100 / 3), a diferença de centavos deve ser somada à última parcela para que a soma total bata com o valor da venda.</w:t>
      </w:r>
    </w:p>
    <w:p>
      <w:pPr>
        <w:pStyle w:val="ListBullet"/>
      </w:pPr>
      <w:r>
        <w:t>RN02 - Vendas à Vista: Tratadas pelo sistema como 1 parcela com vencimento imediato (data atual).</w:t>
      </w:r>
    </w:p>
    <w:p>
      <w:pPr>
        <w:pStyle w:val="ListBullet"/>
      </w:pPr>
      <w:r>
        <w:t>RN03 - Pagamentos Parciais: Não são aceitos no MVP. A parcela é booleana (Paga ou Não Paga).</w:t>
      </w:r>
    </w:p>
    <w:p>
      <w:pPr>
        <w:pStyle w:val="ListBullet"/>
      </w:pPr>
      <w:r>
        <w:t>RN04 - Responsividade: Elementos como Tabelas devem rolar horizontalmente em telas de celular ou virar cards iterativos. O agente de IA deve garantir que os botões (Tap Targets) tenham no mínimo 44x44px para usabilidade mobile.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