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eplwz8aujmz" w:id="0"/>
      <w:bookmarkEnd w:id="0"/>
      <w:r w:rsidDel="00000000" w:rsidR="00000000" w:rsidRPr="00000000">
        <w:rPr>
          <w:rtl w:val="0"/>
        </w:rPr>
        <w:t xml:space="preserve">Documentación del Código Web EasyPlay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pzoxk904lp7" w:id="1"/>
      <w:bookmarkEnd w:id="1"/>
      <w:r w:rsidDel="00000000" w:rsidR="00000000" w:rsidRPr="00000000">
        <w:rPr>
          <w:rtl w:val="0"/>
        </w:rPr>
        <w:t xml:space="preserve">home.html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El archivo define una estructura de una página web para configurar un control con opciones para los dispositivos: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Master (RFID)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Slave Device</w:t>
      </w:r>
      <w:r w:rsidDel="00000000" w:rsidR="00000000" w:rsidRPr="00000000">
        <w:rPr>
          <w:sz w:val="24"/>
          <w:szCs w:val="24"/>
          <w:rtl w:val="0"/>
        </w:rPr>
        <w:t xml:space="preserve">. Permite al usuario seleccionar configuraciones para diferentes acciones del control, joystick y botones.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bottom"/>
        <w:tblW w:w="92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190"/>
        <w:gridCol w:w="5385"/>
        <w:tblGridChange w:id="0">
          <w:tblGrid>
            <w:gridCol w:w="1695"/>
            <w:gridCol w:w="219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Etiqueta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&lt;div&gt;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container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principal, agrupa el contenido de la página.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master-container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secundario, dentro de container, agrupa los elementos específicos del Master(RFID).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io-box-container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para agrupar secciones de entrada/salida (input/output).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master-section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para el encabezado de la sección Master(RFID).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io-box display-flex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para un grupo de configuraciones de I/O (input/output).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span/span1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que agrupa opciones de “radio buttons” y botones de selección en círculo.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&lt;label&gt;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io-box-select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para el selector de dirección Joystick.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&lt;input&gt;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input-box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usuario definir una acción específica para un botón del joystick.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slave-container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secundario, dentro de container, agrupa los elementos específicos del Slave.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slave-section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Contenedor para el encabezado de la sección Slave</w:t>
            </w:r>
          </w:p>
        </w:tc>
      </w:tr>
    </w:tbl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h1mwcdlwv59b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