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91C4" w14:textId="7EB0317A" w:rsidR="00EB7D2D" w:rsidRDefault="00A151FE" w:rsidP="00A151FE">
      <w:pPr>
        <w:spacing w:line="480" w:lineRule="auto"/>
      </w:pPr>
      <w:r>
        <w:t>We used the isolated controls to create virtual meta-ecosystems (that is, pairing two patches to calculate the diversity levels, yet without having these patches connected by flows of resources). We constructed these virtual control meta-ecosystems by bootstrapping (without replacement) all possible pairs of isolated patches to compare to S</w:t>
      </w:r>
      <w:r w:rsidRPr="00B7478D">
        <w:rPr>
          <w:vertAlign w:val="subscript"/>
        </w:rPr>
        <w:t>L</w:t>
      </w:r>
      <w:r>
        <w:t>L</w:t>
      </w:r>
      <w:r w:rsidRPr="00B7478D">
        <w:rPr>
          <w:vertAlign w:val="subscript"/>
        </w:rPr>
        <w:t>S</w:t>
      </w:r>
      <w:r>
        <w:t xml:space="preserve"> and M</w:t>
      </w:r>
      <w:r w:rsidRPr="00B7478D">
        <w:rPr>
          <w:vertAlign w:val="subscript"/>
        </w:rPr>
        <w:t>M</w:t>
      </w:r>
      <w:r>
        <w:t>M</w:t>
      </w:r>
      <w:r w:rsidRPr="00B7478D">
        <w:rPr>
          <w:vertAlign w:val="subscript"/>
        </w:rPr>
        <w:t>M</w:t>
      </w:r>
      <w:r>
        <w:t>.</w:t>
      </w:r>
    </w:p>
    <w:sectPr w:rsidR="00E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E"/>
    <w:rsid w:val="003B5091"/>
    <w:rsid w:val="004572C6"/>
    <w:rsid w:val="006D35DC"/>
    <w:rsid w:val="00A151FE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05C18"/>
  <w15:chartTrackingRefBased/>
  <w15:docId w15:val="{E12B8D02-DC35-0649-B1C8-33A05190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FE"/>
    <w:rPr>
      <w:rFonts w:ascii="Calibri" w:eastAsia="Calibri" w:hAnsi="Calibri" w:cs="Calibri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2</cp:revision>
  <dcterms:created xsi:type="dcterms:W3CDTF">2024-02-09T14:11:00Z</dcterms:created>
  <dcterms:modified xsi:type="dcterms:W3CDTF">2024-02-09T23:43:00Z</dcterms:modified>
</cp:coreProperties>
</file>