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4ED0BF8" w14:textId="1AF71B99" w:rsidR="00DC03FD" w:rsidRPr="00BA0DC8" w:rsidRDefault="003947A8" w:rsidP="00BA0DC8">
      <w:pPr>
        <w:pStyle w:val="Heading1"/>
        <w:spacing w:before="0" w:beforeAutospacing="0" w:after="0" w:afterAutospacing="0" w:line="480" w:lineRule="auto"/>
        <w:rPr>
          <w:sz w:val="24"/>
          <w:szCs w:val="24"/>
          <w:shd w:val="clear" w:color="auto" w:fill="FFFFFF"/>
        </w:rPr>
      </w:pPr>
      <w:r w:rsidRPr="00F95949">
        <w:rPr>
          <w:sz w:val="24"/>
          <w:szCs w:val="24"/>
          <w:shd w:val="clear" w:color="auto" w:fill="FFFFFF"/>
        </w:rPr>
        <w:t>Abstract</w:t>
      </w:r>
    </w:p>
    <w:p w14:paraId="77DAB97D" w14:textId="26C70082" w:rsidR="00DC03FD" w:rsidRPr="0007493E" w:rsidRDefault="003947A8" w:rsidP="006E65F2">
      <w:pPr>
        <w:spacing w:line="480" w:lineRule="auto"/>
      </w:pPr>
      <w:r w:rsidRPr="0007493E">
        <w:t>Providing standard definitions of what should be considered as a node in food webs is still an unsolved problem. Especially for comparative and predictive food web modelling, a more systematic understanding is needed for the effects of trophic aggregation procedures. Aggregation is unavoidable during data management. Therefore, it is crucial to know whether food web properties are conserved during this process.</w:t>
      </w:r>
    </w:p>
    <w:p w14:paraId="5ECCFD5D" w14:textId="5B900630" w:rsidR="003947A8" w:rsidRPr="0007493E" w:rsidRDefault="003947A8" w:rsidP="006E65F2">
      <w:pPr>
        <w:spacing w:line="480" w:lineRule="auto"/>
        <w:ind w:firstLine="720"/>
        <w:rPr>
          <w:rFonts w:asciiTheme="minorHAnsi" w:eastAsiaTheme="minorHAnsi" w:hAnsiTheme="minorHAnsi" w:cstheme="minorBidi"/>
          <w:lang w:eastAsia="en-US"/>
        </w:rPr>
      </w:pPr>
      <w:r w:rsidRPr="0007493E">
        <w:t>Here, we study how different aggregation methods change the positional importance of species in food webs. In particular</w:t>
      </w:r>
      <w:r w:rsidR="00DC03FD" w:rsidRPr="0007493E">
        <w:t>,</w:t>
      </w:r>
      <w:r w:rsidRPr="0007493E">
        <w:t xml:space="preserve"> we investigated the effects of various aggregation algorithms on 24 indices of importance. Our work was carried out on 76 aquatic food webs coming from the Ecopath with Ecosim database</w:t>
      </w:r>
      <w:r w:rsidR="00DA748A">
        <w:t xml:space="preserve"> (EcoBase)</w:t>
      </w:r>
      <w:r w:rsidRPr="0007493E">
        <w:t xml:space="preserve">. We considered six main types of aggregation, according to the way that the nodes were clustered. These were (i) hierarchical clustering based on the Jaccard index, (ii) hierarchical clustering based on regular equivalence (REGE), (iii) maximisation of directed modularity, (iv) maximisation of modularity according to modules in which species fed on the same preys, (v) maximisation of modularity according to modules in which species are fed upon by the same predators, and (vi) clustering through the group model. </w:t>
      </w:r>
    </w:p>
    <w:p w14:paraId="7920D0BE" w14:textId="76E70A3F" w:rsidR="003947A8" w:rsidRPr="0007493E" w:rsidRDefault="003947A8" w:rsidP="006E65F2">
      <w:pPr>
        <w:spacing w:line="480" w:lineRule="auto"/>
        <w:ind w:firstLine="720"/>
      </w:pPr>
      <w:r w:rsidRPr="0007493E">
        <w:t xml:space="preserve">Hierarchical clustering based on the Jaccard index and REGE index outperformed the other four methods on maintaining the relative importance of species for all the indices of importance (except for the contrastatus index, </w:t>
      </w:r>
      <m:oMath>
        <m:r>
          <w:rPr>
            <w:rFonts w:ascii="Cambria Math" w:hAnsi="Cambria Math"/>
          </w:rPr>
          <m:t>s’</m:t>
        </m:r>
      </m:oMath>
      <w:r w:rsidRPr="0007493E">
        <w:t>). The choice between these two methods should follow our research question and the importance index we are interested in studying. The other four aggregation methods change more the centrality of species, especially the one based on maximising directed modularity. When using these aggregation algorithms, one has to keep in mind that the network will not only be smaller but also provides different information.</w:t>
      </w:r>
    </w:p>
    <w:p w14:paraId="1F68FE05" w14:textId="77777777" w:rsidR="00DC03FD" w:rsidRPr="00DC03FD" w:rsidRDefault="00DC03FD" w:rsidP="006E65F2">
      <w:pPr>
        <w:spacing w:line="480" w:lineRule="auto"/>
      </w:pPr>
    </w:p>
    <w:p w14:paraId="2713AA50" w14:textId="0F872E3D" w:rsidR="003947A8" w:rsidRPr="00DC03FD" w:rsidRDefault="003947A8" w:rsidP="006E65F2">
      <w:pPr>
        <w:spacing w:line="480" w:lineRule="auto"/>
      </w:pPr>
      <w:r w:rsidRPr="00433E57">
        <w:rPr>
          <w:i/>
          <w:kern w:val="36"/>
          <w:shd w:val="clear" w:color="auto" w:fill="FFFFFF"/>
        </w:rPr>
        <w:lastRenderedPageBreak/>
        <w:t>Keyword</w:t>
      </w:r>
      <w:r w:rsidR="00881AA2">
        <w:rPr>
          <w:i/>
          <w:kern w:val="36"/>
          <w:shd w:val="clear" w:color="auto" w:fill="FFFFFF"/>
        </w:rPr>
        <w:t>s</w:t>
      </w:r>
      <w:r w:rsidR="00D9500E">
        <w:rPr>
          <w:i/>
          <w:kern w:val="36"/>
          <w:shd w:val="clear" w:color="auto" w:fill="FFFFFF"/>
        </w:rPr>
        <w:t xml:space="preserve">: </w:t>
      </w:r>
      <w:r w:rsidR="00D9500E">
        <w:t>keystone species, centrality indices, trophic role, ecological networks, food web aggregation, trophospecies</w:t>
      </w:r>
    </w:p>
    <w:p w14:paraId="38799588" w14:textId="77777777" w:rsidR="003947A8" w:rsidRPr="00433E57" w:rsidRDefault="003947A8" w:rsidP="006E65F2">
      <w:pPr>
        <w:spacing w:line="480" w:lineRule="auto"/>
        <w:rPr>
          <w:color w:val="2F5496"/>
        </w:rPr>
      </w:pPr>
      <w:r w:rsidRPr="00433E57">
        <w:rPr>
          <w:color w:val="2F5496"/>
        </w:rPr>
        <w:br w:type="page"/>
      </w:r>
    </w:p>
    <w:p w14:paraId="2B6A4D69" w14:textId="77777777" w:rsidR="003947A8" w:rsidRPr="00433E57" w:rsidRDefault="003947A8" w:rsidP="006E65F2">
      <w:pPr>
        <w:pStyle w:val="Heading1"/>
        <w:spacing w:before="0" w:beforeAutospacing="0" w:after="0" w:afterAutospacing="0" w:line="480" w:lineRule="auto"/>
        <w:rPr>
          <w:sz w:val="24"/>
          <w:szCs w:val="24"/>
          <w:shd w:val="clear" w:color="auto" w:fill="FFFFFF"/>
        </w:rPr>
      </w:pPr>
      <w:r w:rsidRPr="00433E57">
        <w:rPr>
          <w:sz w:val="24"/>
          <w:szCs w:val="24"/>
          <w:shd w:val="clear" w:color="auto" w:fill="FFFFFF"/>
        </w:rPr>
        <w:lastRenderedPageBreak/>
        <w:t>Introduction</w:t>
      </w:r>
    </w:p>
    <w:p w14:paraId="0228E680" w14:textId="77777777" w:rsidR="00DC03FD" w:rsidRDefault="00DC03FD" w:rsidP="006E65F2">
      <w:pPr>
        <w:spacing w:line="480" w:lineRule="auto"/>
      </w:pPr>
    </w:p>
    <w:p w14:paraId="2828882B" w14:textId="578B9D6B" w:rsidR="003947A8" w:rsidRDefault="003947A8" w:rsidP="006E65F2">
      <w:pPr>
        <w:spacing w:line="480" w:lineRule="auto"/>
      </w:pPr>
      <w:r w:rsidRPr="00455705">
        <w:t xml:space="preserve">Trophic data management is something that ecologists always must deal with when working with food webs. Trophic interactions can be described among individuals, life stages, species, higher taxa, functional groups, and several other, appropriately defined nodes of food webs. Some kind of aggregation is unavoidable, </w:t>
      </w:r>
      <w:r>
        <w:t xml:space="preserve">and </w:t>
      </w:r>
      <w:r w:rsidRPr="00455705">
        <w:t xml:space="preserve">even the most highly </w:t>
      </w:r>
      <w:r w:rsidR="00433E57">
        <w:t>resolved</w:t>
      </w:r>
      <w:r w:rsidR="00433E57" w:rsidRPr="00455705">
        <w:t xml:space="preserve"> </w:t>
      </w:r>
      <w:r w:rsidRPr="00455705">
        <w:t>food webs contain big aggregates (e.g., “</w:t>
      </w:r>
      <w:r w:rsidR="008B2F48">
        <w:t>cyano</w:t>
      </w:r>
      <w:r w:rsidRPr="00455705">
        <w:t xml:space="preserve">bacteria'', see </w:t>
      </w:r>
      <w:r w:rsidR="008B2F48">
        <w:fldChar w:fldCharType="begin" w:fldLock="1"/>
      </w:r>
      <w:r w:rsidR="00862118">
        <w:instrText>ADDIN CSL_CITATION {"citationItems":[{"id":"ITEM-1","itemData":{"DOI":"10.1038/srep21806","ISSN":"20452322","PMID":"26883643","abstract":"A planktonic food-web model including sixty-three functional nodes (representing auto-mixo-and heterotrophs) was developed to integrate most trophic diversity present in the plankton. The model was implemented in two variants-which we named 'green' and 'blue'-characterized by opposite amounts of phytoplankton biomass and representing, respectively, bloom and non-bloom states of the system. Taxonomically disaggregated food-webs described herein allowed to shed light on how components of the plankton community changed their trophic behavior in the two different conditions, and modified the overall functioning of the plankton food web. The green and blue food-webs showed distinct organizations in terms of trophic roles of the nodes and carbon fluxes between them. Such reorganization stemmed from switches in selective grazing by both metazoan and protozoan consumers. Switches in food-web structure resulted in relatively small differences in the efficiency of material transfer towards higher trophic levels. For instance, from green to blue states, a seven-fold decrease in phytoplankton biomass translated into only a two-fold decrease in potential planktivorous fish biomass. By linking diversity, structure and function in the plankton food-web, we discuss the role of internal mechanisms, relying on species-specific functionalities, in driving the 'adaptive' responses of plankton communities to perturbations.","author":[{"dropping-particle":"","family":"D'Alelio","given":"Domenico","non-dropping-particle":"","parse-names":false,"suffix":""},{"dropping-particle":"","family":"Libralato","given":"Simone","non-dropping-particle":"","parse-names":false,"suffix":""},{"dropping-particle":"","family":"Wyatt","given":"Timothy","non-dropping-particle":"","parse-names":false,"suffix":""},{"dropping-particle":"","family":"Ribera D'Alcalà","given":"Maurizio","non-dropping-particle":"","parse-names":false,"suffix":""}],"container-title":"Scientific Reports","id":"ITEM-1","issue":"1","issued":{"date-parts":[["2016"]]},"page":"1-13","publisher":"Nature Publishing Group","title":"Ecological-network models link diversity, structure and function in the plankton food-web","type":"article-journal","volume":"6"},"uris":["http://www.mendeley.com/documents/?uuid=617e9a9f-ff59-4b10-9f8d-894c27da9b14"]}],"mendeley":{"formattedCitation":"(D’Alelio, Libralato, Wyatt, &amp; Ribera D’Alcalà, 2016)","manualFormatting":"D’Alelio, Libralato, Wyatt, &amp; Ribera D’Alcalà (2016)","plainTextFormattedCitation":"(D’Alelio, Libralato, Wyatt, &amp; Ribera D’Alcalà, 2016)","previouslyFormattedCitation":"(D’Alelio, Libralato, Wyatt, &amp; Ribera D’Alcalà, 2016)"},"properties":{"noteIndex":0},"schema":"https://github.com/citation-style-language/schema/raw/master/csl-citation.json"}</w:instrText>
      </w:r>
      <w:r w:rsidR="008B2F48">
        <w:fldChar w:fldCharType="separate"/>
      </w:r>
      <w:r w:rsidR="008B2F48" w:rsidRPr="008B2F48">
        <w:rPr>
          <w:noProof/>
        </w:rPr>
        <w:t xml:space="preserve">D’Alelio, Libralato, Wyatt, &amp; Ribera D’Alcalà </w:t>
      </w:r>
      <w:r w:rsidR="008B2F48">
        <w:rPr>
          <w:noProof/>
        </w:rPr>
        <w:t>(</w:t>
      </w:r>
      <w:r w:rsidR="008B2F48" w:rsidRPr="008B2F48">
        <w:rPr>
          <w:noProof/>
        </w:rPr>
        <w:t>2016)</w:t>
      </w:r>
      <w:r w:rsidR="008B2F48">
        <w:fldChar w:fldCharType="end"/>
      </w:r>
      <w:r w:rsidRPr="00455705">
        <w:t xml:space="preserve">). At the same time, even the least </w:t>
      </w:r>
      <w:r w:rsidR="00433E57">
        <w:t>resolved</w:t>
      </w:r>
      <w:r w:rsidR="00433E57" w:rsidRPr="00455705">
        <w:t xml:space="preserve"> </w:t>
      </w:r>
      <w:r w:rsidRPr="00455705">
        <w:t xml:space="preserve">food webs may contain species (e.g., “hake”, see </w:t>
      </w:r>
      <w:r>
        <w:fldChar w:fldCharType="begin" w:fldLock="1"/>
      </w:r>
      <w:r>
        <w:instrText>ADDIN CSL_CITATION {"citationItems":[{"id":"ITEM-1","itemData":{"DOI":"10.1046/j.1365-2656.1998.00224.x","ISSN":"00218790","abstract":"1. A method for finding the consequences of long-term generalized press perturbations in multispecies ecological communities, with relatively modest requirements for data, is explicated. The approach uses energetic and allometric reasoning to set some parameter values for which data are not available. The remaining unknown parameters are treated as random variables, enabling the calculation of probability distributions for the outcomes that are of interest. 2. The method is used to investigate the effect of a cull of fur seals on fisheries in the Benguela ecosystem, using a 29-species foodweb for that system. In the case of Cape fur seals treated here, it is found that a cull of seals is more likely to be detrimental to total yields from all exploited species than it is to be beneficial. 3. The influence of weak links on the effects of a cull is investigated. Using both consumption by each species and consumption of each species to define link strength, a clear threshold in link strength is found, indicating that 44% of all links could be deleted from the foodweb without affecting the predictions significantly. Even using a criterion based on consumption by each species alone (conventional dietary proportion data), about the same number of links can be deleted without seriously affecting the predictions of the model. This is a very helpful (and encouraging) result for the design of an observational protocol for systematic efforts to gather data for multispecies modelling.","author":[{"dropping-particle":"","family":"Yodzis","given":"Peter","non-dropping-particle":"","parse-names":false,"suffix":""}],"container-title":"Journal of Animal Ecology","id":"ITEM-1","issue":"4","issued":{"date-parts":[["1998"]]},"page":"635-658","title":"Local trophodynamics and the interaction of marine mammals and fisheries in the Benguela ecosystem","type":"article-journal","volume":"67"},"uris":["http://www.mendeley.com/documents/?uuid=69dac698-5e0c-42e4-b019-d783214586da"]}],"mendeley":{"formattedCitation":"(Yodzis, 1998)","manualFormatting":"Yodzis (1998)","plainTextFormattedCitation":"(Yodzis, 1998)","previouslyFormattedCitation":"(Yodzis, 1998)"},"properties":{"noteIndex":0},"schema":"https://github.com/citation-style-language/schema/raw/master/csl-citation.json"}</w:instrText>
      </w:r>
      <w:r>
        <w:fldChar w:fldCharType="separate"/>
      </w:r>
      <w:r w:rsidRPr="00115B10">
        <w:rPr>
          <w:noProof/>
        </w:rPr>
        <w:t xml:space="preserve">Yodzis </w:t>
      </w:r>
      <w:r>
        <w:rPr>
          <w:noProof/>
        </w:rPr>
        <w:t>(</w:t>
      </w:r>
      <w:r w:rsidRPr="00115B10">
        <w:rPr>
          <w:noProof/>
        </w:rPr>
        <w:t>1998)</w:t>
      </w:r>
      <w:r>
        <w:fldChar w:fldCharType="end"/>
      </w:r>
      <w:r w:rsidRPr="00455705">
        <w:t>). Data aggregation can happen also at later stages, during data analysis, especially in large networks, where the study of hundreds of nodes would be unfeasible</w:t>
      </w:r>
      <w:r>
        <w:t xml:space="preserve"> (</w:t>
      </w:r>
      <w:r>
        <w:fldChar w:fldCharType="begin" w:fldLock="1"/>
      </w:r>
      <w:r>
        <w:instrText>ADDIN CSL_CITATION {"citationItems":[{"id":"ITEM-1","itemData":{"author":[{"dropping-particle":"","family":"Yodzis","given":"Peter","non-dropping-particle":"","parse-names":false,"suffix":""},{"dropping-particle":"","family":"Winemiller","given":"Kirk O","non-dropping-particle":"","parse-names":false,"suffix":""}],"container-title":"Oikos","id":"ITEM-1","issue":"2","issued":{"date-parts":[["1999"]]},"note":"METHODS\n\n1. TROPHIC SIMILARITY\nFlows versus topology and addition versus multiplication. \n2. ORIGINAL TROPHIC ENTITIES\nProblems with species resolution. \n3. TOPOLOGICAL SIMILARITY\nUsing binary data.\n4. FLOW SIMILARITY\nUsing weighted data. \n5. TROPHIC SIMILARITY BETWEEN CLUSTERS\nWhich algorithm to use.\n6. ESTIMATION OF FLOWS FROM DIETART PROPORTIONS\nEstimating interaction strength by using the gut content of fish. \n7. DEFINING TROPHOSPECIES \nEvaluating the aggregation","page":"327-340","title":"In Search of Operational Trophospecies in a Tropical Aquatic Food Web","type":"article-journal","volume":"87"},"uris":["http://www.mendeley.com/documents/?uuid=cebc322c-8298-43af-95d5-3bacf888886a"]}],"mendeley":{"formattedCitation":"(Yodzis &amp; Winemiller, 1999)","manualFormatting":"Yodzis &amp; Winemiller, 1999)","plainTextFormattedCitation":"(Yodzis &amp; Winemiller, 1999)","previouslyFormattedCitation":"(Yodzis &amp; Winemiller, 1999)"},"properties":{"noteIndex":0},"schema":"https://github.com/citation-style-language/schema/raw/master/csl-citation.json"}</w:instrText>
      </w:r>
      <w:r>
        <w:fldChar w:fldCharType="separate"/>
      </w:r>
      <w:r w:rsidRPr="004A71B6">
        <w:rPr>
          <w:noProof/>
        </w:rPr>
        <w:t>Yodzis &amp; Winemiller</w:t>
      </w:r>
      <w:r>
        <w:rPr>
          <w:noProof/>
        </w:rPr>
        <w:t xml:space="preserve">, </w:t>
      </w:r>
      <w:r w:rsidRPr="004A71B6">
        <w:rPr>
          <w:noProof/>
        </w:rPr>
        <w:t>1999)</w:t>
      </w:r>
      <w:r>
        <w:fldChar w:fldCharType="end"/>
      </w:r>
      <w:r w:rsidRPr="00455705">
        <w:t>.</w:t>
      </w:r>
    </w:p>
    <w:p w14:paraId="35FC96FD" w14:textId="77777777" w:rsidR="003947A8" w:rsidRDefault="003947A8" w:rsidP="006E65F2">
      <w:pPr>
        <w:spacing w:line="480" w:lineRule="auto"/>
        <w:ind w:firstLine="720"/>
      </w:pPr>
      <w:r w:rsidRPr="00455705">
        <w:t xml:space="preserve">Data aggregation methods are </w:t>
      </w:r>
      <w:r>
        <w:t>problem dependent</w:t>
      </w:r>
      <w:r w:rsidRPr="00455705">
        <w:t xml:space="preserve">. Not considering this can bias the way by which we interpret the results of food web models </w:t>
      </w:r>
      <w:r>
        <w:fldChar w:fldCharType="begin" w:fldLock="1"/>
      </w:r>
      <w:r>
        <w:instrText>ADDIN CSL_CITATION {"citationItems":[{"id":"ITEM-1","itemData":{"DOI":"10.2307/1941141","abstract":"No abstract","author":[{"dropping-particle":"","family":"Paine","given":"R. T.","non-dropping-particle":"","parse-names":false,"suffix":""}],"container-title":"Ecology","id":"ITEM-1","issue":"6","issued":{"date-parts":[["1988"]]},"page":"1648-1654","title":"Road Maps of Interactions or Grist for Theoretical Development?","type":"article-journal","volume":"69"},"uris":["http://www.mendeley.com/documents/?uuid=42c0e683-ccf1-4cda-a217-cf886be3eced"]},{"id":"ITEM-2","itemData":{"DOI":"10.1016/S0065-2504(08)60043-4","ISBN":"0120139243","ISSN":"00652504","abstract":"This chapter gives an overview on Food Webs, the theory and the reality. A principal goal for ecology is to understand the nature of species interactions and to determine the extent to which they can explain the observed patterns and dynamic properties of biological communities. The most obvious interaction of all is predation. Formal presentation of the feeding links between species has often been in the form of a food web graph and these images have led some to draw an analogy between food webs and road maps. The chapter presents a brief review of patterns catalogued to date. Published food webs combine two sets of information about the community of animals and plants they represent: a list of the elements in the system, and the distribution of feeding link (information on who eats whom). The chapter also discusses food web models and concentrates on the underlying principles of these modeling approaches; Lotka-Volterra: an industry standard, model predictions and the effects of data re-evaluation, community assembly, and the cascade model. © 1993 Academic Press Limited","author":[{"dropping-particle":"","family":"Hall","given":"S. J.","non-dropping-particle":"","parse-names":false,"suffix":""},{"dropping-particle":"","family":"Raffaelli","given":"D. G.","non-dropping-particle":"","parse-names":false,"suffix":""}],"container-title":"Advances in Ecological Research","id":"ITEM-2","issue":"C","issued":{"date-parts":[["1993"]]},"number-of-pages":"187-239","title":"Food Webs: Theory and Reality","type":"book","volume":"24"},"uris":["http://www.mendeley.com/documents/?uuid=5004de7f-e0cc-4dd1-9206-463dfd017797"]}],"mendeley":{"formattedCitation":"(Hall &amp; Raffaelli, 1993; Paine, 1988)","plainTextFormattedCitation":"(Hall &amp; Raffaelli, 1993; Paine, 1988)","previouslyFormattedCitation":"(Hall &amp; Raffaelli, 1993; Paine, 1988)"},"properties":{"noteIndex":0},"schema":"https://github.com/citation-style-language/schema/raw/master/csl-citation.json"}</w:instrText>
      </w:r>
      <w:r>
        <w:fldChar w:fldCharType="separate"/>
      </w:r>
      <w:r w:rsidRPr="00D15D91">
        <w:rPr>
          <w:noProof/>
        </w:rPr>
        <w:t>(Hall &amp; Raffaelli, 1993; Paine, 1988)</w:t>
      </w:r>
      <w:r>
        <w:fldChar w:fldCharType="end"/>
      </w:r>
      <w:r w:rsidRPr="00455705">
        <w:t>.</w:t>
      </w:r>
      <w:r>
        <w:t xml:space="preserve"> </w:t>
      </w:r>
      <w:r w:rsidRPr="00455705">
        <w:t xml:space="preserve">For instance, various levels of aggregation at different trophic levels might bias our interpretation if we are trying to characterise the structure of a network </w:t>
      </w:r>
      <w:r>
        <w:fldChar w:fldCharType="begin" w:fldLock="1"/>
      </w:r>
      <w:r>
        <w:instrText>ADDIN CSL_CITATION {"citationItems":[{"id":"ITEM-1","itemData":{"author":[{"dropping-particle":"","family":"Yodzis","given":"Peter","non-dropping-particle":"","parse-names":false,"suffix":""},{"dropping-particle":"","family":"Winemiller","given":"Kirk O","non-dropping-particle":"","parse-names":false,"suffix":""}],"container-title":"Oikos","id":"ITEM-1","issue":"2","issued":{"date-parts":[["1999"]]},"note":"METHODS\n\n1. TROPHIC SIMILARITY\nFlows versus topology and addition versus multiplication. \n2. ORIGINAL TROPHIC ENTITIES\nProblems with species resolution. \n3. TOPOLOGICAL SIMILARITY\nUsing binary data.\n4. FLOW SIMILARITY\nUsing weighted data. \n5. TROPHIC SIMILARITY BETWEEN CLUSTERS\nWhich algorithm to use.\n6. ESTIMATION OF FLOWS FROM DIETART PROPORTIONS\nEstimating interaction strength by using the gut content of fish. \n7. DEFINING TROPHOSPECIES \nEvaluating the aggregation","page":"327-340","title":"In Search of Operational Trophospecies in a Tropical Aquatic Food Web","type":"article-journal","volume":"87"},"uris":["http://www.mendeley.com/documents/?uuid=cebc322c-8298-43af-95d5-3bacf888886a"]}],"mendeley":{"formattedCitation":"(Yodzis &amp; Winemiller, 1999)","plainTextFormattedCitation":"(Yodzis &amp; Winemiller, 1999)","previouslyFormattedCitation":"(Yodzis &amp; Winemiller, 1999)"},"properties":{"noteIndex":0},"schema":"https://github.com/citation-style-language/schema/raw/master/csl-citation.json"}</w:instrText>
      </w:r>
      <w:r>
        <w:fldChar w:fldCharType="separate"/>
      </w:r>
      <w:r w:rsidRPr="00D04EFB">
        <w:rPr>
          <w:noProof/>
        </w:rPr>
        <w:t>(Yodzis &amp; Winemiller, 1999)</w:t>
      </w:r>
      <w:r>
        <w:fldChar w:fldCharType="end"/>
      </w:r>
      <w:r w:rsidRPr="00455705">
        <w:t>.</w:t>
      </w:r>
      <w:r>
        <w:t xml:space="preserve"> </w:t>
      </w:r>
      <w:r w:rsidRPr="00455705">
        <w:t>Both low- and high-resolution networks can be useful or useless, the key challenge is to properly match the problem, the data management, and the model construction. Even if this seems like a ubiquitous problem in food web ecology, standards for whether and how to aggregate data in a meaningful way does not exist yet.</w:t>
      </w:r>
    </w:p>
    <w:p w14:paraId="363938AF" w14:textId="5C59CECD" w:rsidR="003947A8" w:rsidRDefault="003947A8" w:rsidP="006E65F2">
      <w:pPr>
        <w:spacing w:line="480" w:lineRule="auto"/>
        <w:ind w:firstLine="720"/>
      </w:pPr>
      <w:r>
        <w:t xml:space="preserve">The process of data aggregation assumes that there are nodes in the network that are similar enough that we can consider them functionally equivalent. For example, two fishes from the same genus might be aggregated into a node of the genus (e.g., </w:t>
      </w:r>
      <w:r w:rsidRPr="00B4358F">
        <w:rPr>
          <w:i/>
          <w:iCs/>
        </w:rPr>
        <w:t>Poecilia sphenops</w:t>
      </w:r>
      <w:r>
        <w:t xml:space="preserve"> and </w:t>
      </w:r>
      <w:r w:rsidRPr="00B4358F">
        <w:rPr>
          <w:i/>
          <w:iCs/>
        </w:rPr>
        <w:t>Poecilia reticulata</w:t>
      </w:r>
      <w:r>
        <w:t xml:space="preserve"> could be aggregated into </w:t>
      </w:r>
      <w:r w:rsidRPr="00B4358F">
        <w:rPr>
          <w:i/>
          <w:iCs/>
        </w:rPr>
        <w:t>Poecilia</w:t>
      </w:r>
      <w:r>
        <w:t xml:space="preserve">). Similarity can be understood mathematically (equivalent network positions) and biologically (similar trophic habits). </w:t>
      </w:r>
      <w:r>
        <w:fldChar w:fldCharType="begin" w:fldLock="1"/>
      </w:r>
      <w:r>
        <w:instrText>ADDIN CSL_CITATION {"citationItems":[{"id":"ITEM-1","itemData":{"author":[{"dropping-particle":"","family":"Yodzis","given":"Peter","non-dropping-particle":"","parse-names":false,"suffix":""},{"dropping-particle":"","family":"Winemiller","given":"Kirk O","non-dropping-particle":"","parse-names":false,"suffix":""}],"container-title":"Oikos","id":"ITEM-1","issue":"2","issued":{"date-parts":[["1999"]]},"note":"METHODS\n\n1. TROPHIC SIMILARITY\nFlows versus topology and addition versus multiplication. \n2. ORIGINAL TROPHIC ENTITIES\nProblems with species resolution. \n3. TOPOLOGICAL SIMILARITY\nUsing binary data.\n4. FLOW SIMILARITY\nUsing weighted data. \n5. TROPHIC SIMILARITY BETWEEN CLUSTERS\nWhich algorithm to use.\n6. ESTIMATION OF FLOWS FROM DIETART PROPORTIONS\nEstimating interaction strength by using the gut content of fish. \n7. DEFINING TROPHOSPECIES \nEvaluating the aggregation","page":"327-340","title":"In Search of Operational Trophospecies in a Tropical Aquatic Food Web","type":"article-journal","volume":"87"},"uris":["http://www.mendeley.com/documents/?uuid=cebc322c-8298-43af-95d5-3bacf888886a"]},{"id":"ITEM-2","itemData":{"DOI":"10.1006/jtbi.2003.3147","ISBN":"1252328184","ISSN":"00225193","PMID":"12468282","abstract":"We present a graph theoretic model of analysing food web structure called regular equivalence. Regular equivalence is a method for partitioning the species in a food web into \"isotrophic classes\" that play the same structural roles, even if they are not directly consuming the same prey or if they do not share the same predators. We contrast regular equivalence models, in which two species are members of the same trophic group if they have trophic links to the same set of other trophic groups, with structural equivalence models, in which species are equivalent if they are connected to the exact same other species. Here, the regular equivalence approach is applied to two published food webs: (1) a topological web (Malaysian pitcher plant insect food web) and (2) a carbon-flow web (St. Marks, Florida seagrass ecosystem food web). Regular equivalence produced a more satisfactory set of classes than did the structural approach, grouping basal taxa with other basal taxa and not with top predators. Regular equivalence models provide a way to mathematically formalize trophic position, trophic group and trophic niche. These models are part of a family of models that includes structural models used extensively by ecologists now. Regular equivalence models uncover similarities in trophic roles at a higher level of organization than do the structural models. The approach outlined is useful for measuring the trophic roles of species in food web models, measuring similarity in trophic relations of two or more species, comparing food webs over time and across geographic regions, and aggregating taxa into trophic groups that reduce the complexity of ecosystem feeding relations without obscuring network relationships. In addition, we hope the approach will prove useful in predicting the outcome of predator-prey interactions in experimental studies. © 2003 Elsevier Science Ltd. All rights reserved.","author":[{"dropping-particle":"","family":"Luczkovich","given":"Joseph J.","non-dropping-particle":"","parse-names":false,"suffix":""},{"dropping-particle":"","family":"Borgatti","given":"Stephen P.","non-dropping-particle":"","parse-names":false,"suffix":""},{"dropping-particle":"","family":"Johnson","given":"Jeffrey C.","non-dropping-particle":"","parse-names":false,"suffix":""},{"dropping-particle":"","family":"Everett","given":"Martin G.","non-dropping-particle":"","parse-names":false,"suffix":""}],"container-title":"Journal of Theoretical Biology","id":"ITEM-2","issue":"3","issued":{"date-parts":[["2003"]]},"page":"303-321","title":"Defining and measuring trophic role similarity in food webs using regular equivalence","type":"article-journal","volume":"220"},"uris":["http://www.mendeley.com/documents/?uuid=2001617d-e82f-4264-8861-2dab09668709"]}],"mendeley":{"formattedCitation":"(Luczkovich, Borgatti, Johnson, &amp; Everett, 2003; Yodzis &amp; Winemiller, 1999)","manualFormatting":"Yodzis &amp; Winemiller (1999)","plainTextFormattedCitation":"(Luczkovich, Borgatti, Johnson, &amp; Everett, 2003; Yodzis &amp; Winemiller, 1999)","previouslyFormattedCitation":"(Luczkovich, Borgatti, Johnson, &amp; Everett, 2003; Yodzis &amp; Winemiller, 1999)"},"properties":{"noteIndex":0},"schema":"https://github.com/citation-style-language/schema/raw/master/csl-citation.json"}</w:instrText>
      </w:r>
      <w:r>
        <w:fldChar w:fldCharType="separate"/>
      </w:r>
      <w:r w:rsidRPr="004E4AF2">
        <w:rPr>
          <w:noProof/>
        </w:rPr>
        <w:t xml:space="preserve">Yodzis &amp; Winemiller </w:t>
      </w:r>
      <w:r>
        <w:rPr>
          <w:noProof/>
        </w:rPr>
        <w:t>(</w:t>
      </w:r>
      <w:r w:rsidRPr="004E4AF2">
        <w:rPr>
          <w:noProof/>
        </w:rPr>
        <w:t>1999)</w:t>
      </w:r>
      <w:r>
        <w:fldChar w:fldCharType="end"/>
      </w:r>
      <w:r>
        <w:t xml:space="preserve"> and </w:t>
      </w:r>
      <w:r>
        <w:fldChar w:fldCharType="begin" w:fldLock="1"/>
      </w:r>
      <w:r>
        <w:instrText>ADDIN CSL_CITATION {"citationItems":[{"id":"ITEM-1","itemData":{"DOI":"10.1006/jtbi.2003.3147","ISBN":"1252328184","ISSN":"00225193","PMID":"12468282","abstract":"We present a graph theoretic model of analysing food web structure called regular equivalence. Regular equivalence is a method for partitioning the species in a food web into \"isotrophic classes\" that play the same structural roles, even if they are not directly consuming the same prey or if they do not share the same predators. We contrast regular equivalence models, in which two species are members of the same trophic group if they have trophic links to the same set of other trophic groups, with structural equivalence models, in which species are equivalent if they are connected to the exact same other species. Here, the regular equivalence approach is applied to two published food webs: (1) a topological web (Malaysian pitcher plant insect food web) and (2) a carbon-flow web (St. Marks, Florida seagrass ecosystem food web). Regular equivalence produced a more satisfactory set of classes than did the structural approach, grouping basal taxa with other basal taxa and not with top predators. Regular equivalence models provide a way to mathematically formalize trophic position, trophic group and trophic niche. These models are part of a family of models that includes structural models used extensively by ecologists now. Regular equivalence models uncover similarities in trophic roles at a higher level of organization than do the structural models. The approach outlined is useful for measuring the trophic roles of species in food web models, measuring similarity in trophic relations of two or more species, comparing food webs over time and across geographic regions, and aggregating taxa into trophic groups that reduce the complexity of ecosystem feeding relations without obscuring network relationships. In addition, we hope the approach will prove useful in predicting the outcome of predator-prey interactions in experimental studies. © 2003 Elsevier Science Ltd. All rights reserved.","author":[{"dropping-particle":"","family":"Luczkovich","given":"Joseph J.","non-dropping-particle":"","parse-names":false,"suffix":""},{"dropping-particle":"","family":"Borgatti","given":"Stephen P.","non-dropping-particle":"","parse-names":false,"suffix":""},{"dropping-particle":"","family":"Johnson","given":"Jeffrey C.","non-dropping-particle":"","parse-names":false,"suffix":""},{"dropping-particle":"","family":"Everett","given":"Martin G.","non-dropping-particle":"","parse-names":false,"suffix":""}],"container-title":"Journal of Theoretical Biology","id":"ITEM-1","issue":"3","issued":{"date-parts":[["2003"]]},"page":"303-321","title":"Defining and measuring trophic role similarity in food webs using regular equivalence","type":"article-journal","volume":"220"},"uris":["http://www.mendeley.com/documents/?uuid=2001617d-e82f-4264-8861-2dab09668709"]}],"mendeley":{"formattedCitation":"(Luczkovich et al., 2003)","manualFormatting":"Luczkovich et al. (2003)","plainTextFormattedCitation":"(Luczkovich et al., 2003)","previouslyFormattedCitation":"(Luczkovich et al., 2003)"},"properties":{"noteIndex":0},"schema":"https://github.com/citation-style-language/schema/raw/master/csl-citation.json"}</w:instrText>
      </w:r>
      <w:r>
        <w:fldChar w:fldCharType="separate"/>
      </w:r>
      <w:r w:rsidRPr="009D0015">
        <w:rPr>
          <w:noProof/>
        </w:rPr>
        <w:t xml:space="preserve">Luczkovich et al. </w:t>
      </w:r>
      <w:r>
        <w:rPr>
          <w:noProof/>
        </w:rPr>
        <w:t>(</w:t>
      </w:r>
      <w:r w:rsidRPr="009D0015">
        <w:rPr>
          <w:noProof/>
        </w:rPr>
        <w:t>2003)</w:t>
      </w:r>
      <w:r>
        <w:fldChar w:fldCharType="end"/>
      </w:r>
      <w:r>
        <w:t xml:space="preserve"> tried to find nodes in equivalent </w:t>
      </w:r>
      <w:r>
        <w:lastRenderedPageBreak/>
        <w:t xml:space="preserve">network positions by borrowing two definitions from social networks. </w:t>
      </w:r>
      <w:r>
        <w:fldChar w:fldCharType="begin" w:fldLock="1"/>
      </w:r>
      <w:r>
        <w:instrText>ADDIN CSL_CITATION {"citationItems":[{"id":"ITEM-1","itemData":{"author":[{"dropping-particle":"","family":"Yodzis","given":"Peter","non-dropping-particle":"","parse-names":false,"suffix":""},{"dropping-particle":"","family":"Winemiller","given":"Kirk O","non-dropping-particle":"","parse-names":false,"suffix":""}],"container-title":"Oikos","id":"ITEM-1","issue":"2","issued":{"date-parts":[["1999"]]},"note":"METHODS\n\n1. TROPHIC SIMILARITY\nFlows versus topology and addition versus multiplication. \n2. ORIGINAL TROPHIC ENTITIES\nProblems with species resolution. \n3. TOPOLOGICAL SIMILARITY\nUsing binary data.\n4. FLOW SIMILARITY\nUsing weighted data. \n5. TROPHIC SIMILARITY BETWEEN CLUSTERS\nWhich algorithm to use.\n6. ESTIMATION OF FLOWS FROM DIETART PROPORTIONS\nEstimating interaction strength by using the gut content of fish. \n7. DEFINING TROPHOSPECIES \nEvaluating the aggregation","page":"327-340","title":"In Search of Operational Trophospecies in a Tropical Aquatic Food Web","type":"article-journal","volume":"87"},"uris":["http://www.mendeley.com/documents/?uuid=cebc322c-8298-43af-95d5-3bacf888886a"]},{"id":"ITEM-2","itemData":{"DOI":"10.1006/jtbi.2003.3147","ISBN":"1252328184","ISSN":"00225193","PMID":"12468282","abstract":"We present a graph theoretic model of analysing food web structure called regular equivalence. Regular equivalence is a method for partitioning the species in a food web into \"isotrophic classes\" that play the same structural roles, even if they are not directly consuming the same prey or if they do not share the same predators. We contrast regular equivalence models, in which two species are members of the same trophic group if they have trophic links to the same set of other trophic groups, with structural equivalence models, in which species are equivalent if they are connected to the exact same other species. Here, the regular equivalence approach is applied to two published food webs: (1) a topological web (Malaysian pitcher plant insect food web) and (2) a carbon-flow web (St. Marks, Florida seagrass ecosystem food web). Regular equivalence produced a more satisfactory set of classes than did the structural approach, grouping basal taxa with other basal taxa and not with top predators. Regular equivalence models provide a way to mathematically formalize trophic position, trophic group and trophic niche. These models are part of a family of models that includes structural models used extensively by ecologists now. Regular equivalence models uncover similarities in trophic roles at a higher level of organization than do the structural models. The approach outlined is useful for measuring the trophic roles of species in food web models, measuring similarity in trophic relations of two or more species, comparing food webs over time and across geographic regions, and aggregating taxa into trophic groups that reduce the complexity of ecosystem feeding relations without obscuring network relationships. In addition, we hope the approach will prove useful in predicting the outcome of predator-prey interactions in experimental studies. © 2003 Elsevier Science Ltd. All rights reserved.","author":[{"dropping-particle":"","family":"Luczkovich","given":"Joseph J.","non-dropping-particle":"","parse-names":false,"suffix":""},{"dropping-particle":"","family":"Borgatti","given":"Stephen P.","non-dropping-particle":"","parse-names":false,"suffix":""},{"dropping-particle":"","family":"Johnson","given":"Jeffrey C.","non-dropping-particle":"","parse-names":false,"suffix":""},{"dropping-particle":"","family":"Everett","given":"Martin G.","non-dropping-particle":"","parse-names":false,"suffix":""}],"container-title":"Journal of Theoretical Biology","id":"ITEM-2","issue":"3","issued":{"date-parts":[["2003"]]},"page":"303-321","title":"Defining and measuring trophic role similarity in food webs using regular equivalence","type":"article-journal","volume":"220"},"uris":["http://www.mendeley.com/documents/?uuid=2001617d-e82f-4264-8861-2dab09668709"]}],"mendeley":{"formattedCitation":"(Luczkovich et al., 2003; Yodzis &amp; Winemiller, 1999)","manualFormatting":"Yodzis &amp; Winemiller (1999)","plainTextFormattedCitation":"(Luczkovich et al., 2003; Yodzis &amp; Winemiller, 1999)","previouslyFormattedCitation":"(Luczkovich et al., 2003; Yodzis &amp; Winemiller, 1999)"},"properties":{"noteIndex":0},"schema":"https://github.com/citation-style-language/schema/raw/master/csl-citation.json"}</w:instrText>
      </w:r>
      <w:r>
        <w:fldChar w:fldCharType="separate"/>
      </w:r>
      <w:r w:rsidRPr="004E4AF2">
        <w:rPr>
          <w:noProof/>
        </w:rPr>
        <w:t xml:space="preserve">Yodzis &amp; Winemiller </w:t>
      </w:r>
      <w:r>
        <w:rPr>
          <w:noProof/>
        </w:rPr>
        <w:t>(</w:t>
      </w:r>
      <w:r w:rsidRPr="004E4AF2">
        <w:rPr>
          <w:noProof/>
        </w:rPr>
        <w:t>1999)</w:t>
      </w:r>
      <w:r>
        <w:fldChar w:fldCharType="end"/>
      </w:r>
      <w:r>
        <w:t xml:space="preserve"> borrowed the concept of structural equivalence – where two nodes are similar when sharing a high number of neighbours – and called the aggregation of structurally equivalent species” tropho</w:t>
      </w:r>
      <w:r w:rsidR="001E0D3F">
        <w:t>-</w:t>
      </w:r>
      <w:r>
        <w:t xml:space="preserve">species”. </w:t>
      </w:r>
      <w:r>
        <w:fldChar w:fldCharType="begin" w:fldLock="1"/>
      </w:r>
      <w:r>
        <w:instrText>ADDIN CSL_CITATION {"citationItems":[{"id":"ITEM-1","itemData":{"DOI":"10.1006/jtbi.2003.3147","ISBN":"1252328184","ISSN":"00225193","PMID":"12468282","abstract":"We present a graph theoretic model of analysing food web structure called regular equivalence. Regular equivalence is a method for partitioning the species in a food web into \"isotrophic classes\" that play the same structural roles, even if they are not directly consuming the same prey or if they do not share the same predators. We contrast regular equivalence models, in which two species are members of the same trophic group if they have trophic links to the same set of other trophic groups, with structural equivalence models, in which species are equivalent if they are connected to the exact same other species. Here, the regular equivalence approach is applied to two published food webs: (1) a topological web (Malaysian pitcher plant insect food web) and (2) a carbon-flow web (St. Marks, Florida seagrass ecosystem food web). Regular equivalence produced a more satisfactory set of classes than did the structural approach, grouping basal taxa with other basal taxa and not with top predators. Regular equivalence models provide a way to mathematically formalize trophic position, trophic group and trophic niche. These models are part of a family of models that includes structural models used extensively by ecologists now. Regular equivalence models uncover similarities in trophic roles at a higher level of organization than do the structural models. The approach outlined is useful for measuring the trophic roles of species in food web models, measuring similarity in trophic relations of two or more species, comparing food webs over time and across geographic regions, and aggregating taxa into trophic groups that reduce the complexity of ecosystem feeding relations without obscuring network relationships. In addition, we hope the approach will prove useful in predicting the outcome of predator-prey interactions in experimental studies. © 2003 Elsevier Science Ltd. All rights reserved.","author":[{"dropping-particle":"","family":"Luczkovich","given":"Joseph J.","non-dropping-particle":"","parse-names":false,"suffix":""},{"dropping-particle":"","family":"Borgatti","given":"Stephen P.","non-dropping-particle":"","parse-names":false,"suffix":""},{"dropping-particle":"","family":"Johnson","given":"Jeffrey C.","non-dropping-particle":"","parse-names":false,"suffix":""},{"dropping-particle":"","family":"Everett","given":"Martin G.","non-dropping-particle":"","parse-names":false,"suffix":""}],"container-title":"Journal of Theoretical Biology","id":"ITEM-1","issue":"3","issued":{"date-parts":[["2003"]]},"page":"303-321","title":"Defining and measuring trophic role similarity in food webs using regular equivalence","type":"article-journal","volume":"220"},"uris":["http://www.mendeley.com/documents/?uuid=2001617d-e82f-4264-8861-2dab09668709"]}],"mendeley":{"formattedCitation":"(Luczkovich et al., 2003)","manualFormatting":"Luczkovich et al. (2003)","plainTextFormattedCitation":"(Luczkovich et al., 2003)","previouslyFormattedCitation":"(Luczkovich et al., 2003)"},"properties":{"noteIndex":0},"schema":"https://github.com/citation-style-language/schema/raw/master/csl-citation.json"}</w:instrText>
      </w:r>
      <w:r>
        <w:fldChar w:fldCharType="separate"/>
      </w:r>
      <w:r w:rsidRPr="009D0015">
        <w:rPr>
          <w:noProof/>
        </w:rPr>
        <w:t xml:space="preserve">Luczkovich et al. </w:t>
      </w:r>
      <w:r>
        <w:rPr>
          <w:noProof/>
        </w:rPr>
        <w:t>(</w:t>
      </w:r>
      <w:r w:rsidRPr="009D0015">
        <w:rPr>
          <w:noProof/>
        </w:rPr>
        <w:t>200</w:t>
      </w:r>
      <w:r>
        <w:rPr>
          <w:noProof/>
        </w:rPr>
        <w:t>3)</w:t>
      </w:r>
      <w:r>
        <w:fldChar w:fldCharType="end"/>
      </w:r>
      <w:r>
        <w:rPr>
          <w:noProof/>
        </w:rPr>
        <w:t xml:space="preserve"> </w:t>
      </w:r>
      <w:r>
        <w:t>borrowed the concept of regular equivalence – where two nodes are similar when sharing a high number of similar but not necessarily the same neighbours. Nodes belonging to the same equivalence class are said to be sharing the same trophic role.</w:t>
      </w:r>
    </w:p>
    <w:p w14:paraId="5D4BDFDA" w14:textId="17332DE4" w:rsidR="003947A8" w:rsidRDefault="003947A8" w:rsidP="00033CD5">
      <w:pPr>
        <w:spacing w:line="480" w:lineRule="auto"/>
        <w:ind w:firstLine="720"/>
      </w:pPr>
      <w:r w:rsidRPr="00455705">
        <w:t>Groups of nodes that have different neighbours but form dense subgraphs are called modules.</w:t>
      </w:r>
      <w:r>
        <w:t xml:space="preserve"> </w:t>
      </w:r>
      <w:r w:rsidRPr="00455705">
        <w:t>Species in food web modules can play different roles (e.g., predator and prey)</w:t>
      </w:r>
      <w:r>
        <w:t>,</w:t>
      </w:r>
      <w:r w:rsidRPr="00455705">
        <w:t xml:space="preserve"> but they maintain well-defined multispecies processes (e.g., connecting benthic and pelagic organisms). Aggregating the modules of a food web has been suggested already by</w:t>
      </w:r>
      <w:r>
        <w:t xml:space="preserve"> </w:t>
      </w:r>
      <w:r>
        <w:fldChar w:fldCharType="begin" w:fldLock="1"/>
      </w:r>
      <w:r>
        <w:instrText>ADDIN CSL_CITATION {"citationItems":[{"id":"ITEM-1","itemData":{"DOI":"10.1111/j.1461-0248.2009.01321.x","ISSN":"1461023X","PMID":"19453619","abstract":"The concept of a group is ubiquitous in biology. It underlies classifications in evolution and ecology, including those used to describe phylogenetic levels, the habitat and functional roles of organisms in ecosystems. Surprisingly, this concept is not explicitly included in simple models for the structure of food webs, the ecological networks formed by consumer-resource interactions. We present here the simplest possible model based on groups, and show that it performs substantially better than current models at predicting the structure of large food webs. Our group-based model can be applied to different types of biological and non-biological networks, and for the first time merges in the same framework two important notions in network theory: that of compartments (sets of highly interacting nodes) and that of roles (sets of nodes that have similar interaction patterns). This model provides a basis to examine the significance of groups in biological networks and to develop more accurate models for ecological network structure. It is especially relevant at a time when a new generation of empirical data is providing increasingly large food webs. © 2009 Blackwell Publishing Ltd/CNRS.","author":[{"dropping-particle":"","family":"Allesina","given":"Stefano","non-dropping-particle":"","parse-names":false,"suffix":""},{"dropping-particle":"","family":"Pascual","given":"Mercedes","non-dropping-particle":"","parse-names":false,"suffix":""}],"container-title":"Ecology Letters","id":"ITEM-1","issue":"7","issued":{"date-parts":[["2009"]]},"page":"652-662","title":"Food web models: A plea for groups","type":"article-journal","volume":"12"},"uris":["http://www.mendeley.com/documents/?uuid=55a5b639-71c7-45ad-a306-ce532d9d052d"]}],"mendeley":{"formattedCitation":"(Allesina &amp; Pascual, 2009)","manualFormatting":"Allesina &amp; Pascual (2009)","plainTextFormattedCitation":"(Allesina &amp; Pascual, 2009)","previouslyFormattedCitation":"(Allesina &amp; Pascual, 2009)"},"properties":{"noteIndex":0},"schema":"https://github.com/citation-style-language/schema/raw/master/csl-citation.json"}</w:instrText>
      </w:r>
      <w:r>
        <w:fldChar w:fldCharType="separate"/>
      </w:r>
      <w:r w:rsidRPr="00716589">
        <w:rPr>
          <w:noProof/>
        </w:rPr>
        <w:t xml:space="preserve">Allesina &amp; Pascual </w:t>
      </w:r>
      <w:r>
        <w:rPr>
          <w:noProof/>
        </w:rPr>
        <w:t>(</w:t>
      </w:r>
      <w:r w:rsidRPr="00716589">
        <w:rPr>
          <w:noProof/>
        </w:rPr>
        <w:t>2009)</w:t>
      </w:r>
      <w:r>
        <w:fldChar w:fldCharType="end"/>
      </w:r>
      <w:r w:rsidRPr="00455705">
        <w:t>. The two most reliable ways of finding modules in food webs are through the group model and modularity maximisation. The group model was firstly developed by</w:t>
      </w:r>
      <w:r>
        <w:t xml:space="preserve"> </w:t>
      </w:r>
      <w:r>
        <w:fldChar w:fldCharType="begin" w:fldLock="1"/>
      </w:r>
      <w:r>
        <w:instrText>ADDIN CSL_CITATION {"citationItems":[{"id":"ITEM-1","itemData":{"DOI":"10.1111/j.1461-0248.2009.01321.x","ISSN":"1461023X","PMID":"19453619","abstract":"The concept of a group is ubiquitous in biology. It underlies classifications in evolution and ecology, including those used to describe phylogenetic levels, the habitat and functional roles of organisms in ecosystems. Surprisingly, this concept is not explicitly included in simple models for the structure of food webs, the ecological networks formed by consumer-resource interactions. We present here the simplest possible model based on groups, and show that it performs substantially better than current models at predicting the structure of large food webs. Our group-based model can be applied to different types of biological and non-biological networks, and for the first time merges in the same framework two important notions in network theory: that of compartments (sets of highly interacting nodes) and that of roles (sets of nodes that have similar interaction patterns). This model provides a basis to examine the significance of groups in biological networks and to develop more accurate models for ecological network structure. It is especially relevant at a time when a new generation of empirical data is providing increasingly large food webs. © 2009 Blackwell Publishing Ltd/CNRS.","author":[{"dropping-particle":"","family":"Allesina","given":"Stefano","non-dropping-particle":"","parse-names":false,"suffix":""},{"dropping-particle":"","family":"Pascual","given":"Mercedes","non-dropping-particle":"","parse-names":false,"suffix":""}],"container-title":"Ecology Letters","id":"ITEM-1","issue":"7","issued":{"date-parts":[["2009"]]},"page":"652-662","title":"Food web models: A plea for groups","type":"article-journal","volume":"12"},"uris":["http://www.mendeley.com/documents/?uuid=55a5b639-71c7-45ad-a306-ce532d9d052d"]}],"mendeley":{"formattedCitation":"(Allesina &amp; Pascual, 2009)","manualFormatting":"Allesina &amp; Pascual (2009)","plainTextFormattedCitation":"(Allesina &amp; Pascual, 2009)","previouslyFormattedCitation":"(Allesina &amp; Pascual, 2009)"},"properties":{"noteIndex":0},"schema":"https://github.com/citation-style-language/schema/raw/master/csl-citation.json"}</w:instrText>
      </w:r>
      <w:r>
        <w:fldChar w:fldCharType="separate"/>
      </w:r>
      <w:r w:rsidRPr="00716589">
        <w:rPr>
          <w:noProof/>
        </w:rPr>
        <w:t xml:space="preserve">Allesina &amp; Pascual </w:t>
      </w:r>
      <w:r>
        <w:rPr>
          <w:noProof/>
        </w:rPr>
        <w:t>(</w:t>
      </w:r>
      <w:r w:rsidRPr="00716589">
        <w:rPr>
          <w:noProof/>
        </w:rPr>
        <w:t>2009)</w:t>
      </w:r>
      <w:r>
        <w:fldChar w:fldCharType="end"/>
      </w:r>
      <w:r w:rsidRPr="00455705">
        <w:t xml:space="preserve"> and then </w:t>
      </w:r>
      <w:r>
        <w:t>made more computationally efficient</w:t>
      </w:r>
      <w:r w:rsidRPr="00455705">
        <w:t xml:space="preserve"> by</w:t>
      </w:r>
      <w:r>
        <w:t xml:space="preserve"> </w:t>
      </w:r>
      <w:r>
        <w:fldChar w:fldCharType="begin" w:fldLock="1"/>
      </w:r>
      <w:r>
        <w:instrText>ADDIN CSL_CITATION {"citationItems":[{"id":"ITEM-1","itemData":{"DOI":"10.1371/journal.pcbi.1004330","ISSN":"15537358","PMID":"26197151","abstract":"The group model is a useful tool to understand broad-scale patterns of interaction in a network, but it has previously been limited in use to food webs, which contain only predator-prey interactions. Natural populations interact with each other in a variety of ways and, although most published ecological networks only include information about a single interaction type (e.g., feeding, pollination), ecologists are beginning to consider networks which combine multiple interaction types. Here we extend the group model to signed directed networks such as ecological interaction webs. As a specific application of this method, we examine the effects of including or excluding specific interaction types on our understanding of species roles in ecological networks. We consider all three currently available interaction webs, two of which are extended plant-mutualist networks with herbivores and parasitoids added, and one of which is an extended intertidal food web with interactions of all possible sign structures (+/+, -/0, etc.). Species in the extended food web grouped similarly with all interactions, only trophic links, and only nontrophic links. However, removing mutualism or herbivory had a much larger effect in the extended plant-pollinator webs. Species removal even affected groups that were not directly connected to those that were removed, as we found by excluding a small number of parasitoids. These results suggest that including additional species in the network provides far more information than additional interactions for this aspect of network structure. Our methods provide a useful framework for simplifying networks to their essential structure, allowing us to identify generalities in network structure and better understand the roles species play in their communities.","author":[{"dropping-particle":"","family":"Sander","given":"Elizabeth L.","non-dropping-particle":"","parse-names":false,"suffix":""},{"dropping-particle":"","family":"Wootton","given":"J. Timothy","non-dropping-particle":"","parse-names":false,"suffix":""},{"dropping-particle":"","family":"Allesina","given":"Stefano","non-dropping-particle":"","parse-names":false,"suffix":""}],"container-title":"PLoS Computational Biology","id":"ITEM-1","issue":"7","issued":{"date-parts":[["2015"]]},"page":"1-22","title":"What Can Interaction Webs Tell Us About Species Roles?","type":"article-journal","volume":"11"},"uris":["http://www.mendeley.com/documents/?uuid=4e005e6c-3b48-499e-ba91-3c57699a4d95"]}],"mendeley":{"formattedCitation":"(Sander, Wootton, &amp; Allesina, 2015)","manualFormatting":"Sander, Wootton, &amp; Allesina (2015)","plainTextFormattedCitation":"(Sander, Wootton, &amp; Allesina, 2015)","previouslyFormattedCitation":"(Sander, Wootton, &amp; Allesina, 2015)"},"properties":{"noteIndex":0},"schema":"https://github.com/citation-style-language/schema/raw/master/csl-citation.json"}</w:instrText>
      </w:r>
      <w:r>
        <w:fldChar w:fldCharType="separate"/>
      </w:r>
      <w:r w:rsidRPr="00716589">
        <w:rPr>
          <w:noProof/>
        </w:rPr>
        <w:t xml:space="preserve">Sander, Wootton, &amp; Allesina </w:t>
      </w:r>
      <w:r>
        <w:rPr>
          <w:noProof/>
        </w:rPr>
        <w:t>(</w:t>
      </w:r>
      <w:r w:rsidRPr="00716589">
        <w:rPr>
          <w:noProof/>
        </w:rPr>
        <w:t>2015)</w:t>
      </w:r>
      <w:r>
        <w:fldChar w:fldCharType="end"/>
      </w:r>
      <w:r w:rsidRPr="00455705">
        <w:t>.</w:t>
      </w:r>
      <w:r>
        <w:t xml:space="preserve"> </w:t>
      </w:r>
      <w:r w:rsidRPr="00455705">
        <w:t xml:space="preserve">Modularity maximisation was applied to food webs by </w:t>
      </w:r>
      <w:r>
        <w:fldChar w:fldCharType="begin" w:fldLock="1"/>
      </w:r>
      <w:r>
        <w:instrText>ADDIN CSL_CITATION {"citationItems":[{"id":"ITEM-1","itemData":{"DOI":"10.1890/09-1175.1","ISSN":"0012-9658","author":[{"dropping-particle":"","family":"Guimerà","given":"R.","non-dropping-particle":"","parse-names":false,"suffix":""},{"dropping-particle":"","family":"Stouffer","given":"D. B.","non-dropping-particle":"","parse-names":false,"suffix":""},{"dropping-particle":"","family":"Sales-Pardo","given":"M.","non-dropping-particle":"","parse-names":false,"suffix":""},{"dropping-particle":"","family":"Leicht","given":"E. A.","non-dropping-particle":"","parse-names":false,"suffix":""},{"dropping-particle":"","family":"Newman","given":"M. E. J.","non-dropping-particle":"","parse-names":false,"suffix":""},{"dropping-particle":"","family":"Amaral","given":"L. A. N.","non-dropping-particle":"","parse-names":false,"suffix":""}],"container-title":"Ecology","id":"ITEM-1","issue":"10","issued":{"date-parts":[["2010"]]},"page":"2941-2951","title":"Origin of compartmentalization in food webs","type":"article-journal","volume":"91"},"uris":["http://www.mendeley.com/documents/?uuid=cf55ecbc-f061-4d12-9cf4-16d5e7ed3de3"]}],"mendeley":{"formattedCitation":"(R. Guimerà et al., 2010)","manualFormatting":"Guimerà et al. (2010)","plainTextFormattedCitation":"(R. Guimerà et al., 2010)","previouslyFormattedCitation":"(R. Guimerà et al., 2010)"},"properties":{"noteIndex":0},"schema":"https://github.com/citation-style-language/schema/raw/master/csl-citation.json"}</w:instrText>
      </w:r>
      <w:r>
        <w:fldChar w:fldCharType="separate"/>
      </w:r>
      <w:r w:rsidRPr="00716589">
        <w:rPr>
          <w:noProof/>
        </w:rPr>
        <w:t xml:space="preserve">Guimerà et al. </w:t>
      </w:r>
      <w:r>
        <w:rPr>
          <w:noProof/>
        </w:rPr>
        <w:t>(</w:t>
      </w:r>
      <w:r w:rsidRPr="00716589">
        <w:rPr>
          <w:noProof/>
        </w:rPr>
        <w:t>2010)</w:t>
      </w:r>
      <w:r>
        <w:fldChar w:fldCharType="end"/>
      </w:r>
      <w:r>
        <w:t xml:space="preserve"> </w:t>
      </w:r>
      <w:r w:rsidRPr="00455705">
        <w:t>following three definitions of modularity.</w:t>
      </w:r>
      <w:r>
        <w:t xml:space="preserve"> </w:t>
      </w:r>
      <w:r w:rsidRPr="00455705">
        <w:t xml:space="preserve">The first one, which we will refer to as density-based modularity, is the degree </w:t>
      </w:r>
      <w:r>
        <w:t>to</w:t>
      </w:r>
      <w:r w:rsidRPr="00455705">
        <w:t xml:space="preserve"> which nodes inside modules interact more among themselves than with nodes of other modules.</w:t>
      </w:r>
      <w:r>
        <w:t xml:space="preserve"> </w:t>
      </w:r>
      <w:r w:rsidRPr="00455705">
        <w:t xml:space="preserve">The second one, which we </w:t>
      </w:r>
      <w:r>
        <w:t xml:space="preserve">call </w:t>
      </w:r>
      <w:r w:rsidRPr="00455705">
        <w:t xml:space="preserve">prey-based modularity, is the degree </w:t>
      </w:r>
      <w:r>
        <w:t>to</w:t>
      </w:r>
      <w:r w:rsidRPr="00455705">
        <w:t xml:space="preserve"> which nodes inside modules tend to interact with the same predators.</w:t>
      </w:r>
      <w:r>
        <w:t xml:space="preserve"> </w:t>
      </w:r>
      <w:r w:rsidRPr="00455705">
        <w:t xml:space="preserve">The third one, which we </w:t>
      </w:r>
      <w:r>
        <w:t xml:space="preserve">gave the name of </w:t>
      </w:r>
      <w:r w:rsidRPr="00455705">
        <w:t xml:space="preserve">predator-based modularity, is the degree </w:t>
      </w:r>
      <w:r>
        <w:t>to</w:t>
      </w:r>
      <w:r w:rsidRPr="00455705">
        <w:t xml:space="preserve"> which nodes inside modules tend to interact with the same preys.</w:t>
      </w:r>
    </w:p>
    <w:p w14:paraId="648170CC" w14:textId="24ECCCF6" w:rsidR="003947A8" w:rsidRPr="00E163ED" w:rsidRDefault="003947A8" w:rsidP="00E163ED">
      <w:pPr>
        <w:spacing w:line="480" w:lineRule="auto"/>
        <w:ind w:firstLine="720"/>
        <w:rPr>
          <w:i/>
          <w:iCs/>
        </w:rPr>
      </w:pPr>
      <w:r w:rsidRPr="0092229B">
        <w:t xml:space="preserve">The positional importance of species differs in both highly aggregated and </w:t>
      </w:r>
      <w:r w:rsidR="00C04A82" w:rsidRPr="0092229B">
        <w:t>highly resolved</w:t>
      </w:r>
      <w:r w:rsidR="001E0D3F" w:rsidRPr="0092229B">
        <w:t xml:space="preserve"> </w:t>
      </w:r>
      <w:r w:rsidRPr="0092229B">
        <w:t xml:space="preserve">networks. Central positions may be a proxy for functional importance and the community-wide distribution of either centrality values </w:t>
      </w:r>
      <w:r w:rsidRPr="0092229B">
        <w:fldChar w:fldCharType="begin" w:fldLock="1"/>
      </w:r>
      <w:r w:rsidRPr="0092229B">
        <w:instrText>ADDIN CSL_CITATION {"citationItems":[{"id":"ITEM-1","itemData":{"DOI":"10.1016/j.ecocom.2009.11.006","ISSN":"1476945X","abstract":"Network analysis examines the role of species in ecological communities. The most common approach involves measurement of centrality of species or other groups of individuals based on their topological positions in food webs, followed by establishing the rank order of importance of these groups. However, ranking may differ considerably with indices of centrality and therefore comparison of rank orders is essential to obtain more meaningful results on species performance. Since ranking ignores absolute differences between centrality values, species orders may neglect important structural information in food webs. Consequently, simultaneous examination of the distribution of index values is inevitable. Hierarchical clustering and consensus generation revealed that rank orders of centrality exhibit a similar pattern over six example food webs, while distributions differ not only with indices because their relationships are largely inconsistent with food webs as well. Therefore, optimal analysis of networks and the selection of keystone species in any ecological study should rely upon both of these procedures. Similar conclusions are drawn from the detailed evaluation of a sample food web from the Florida Bay. © 2009 Elsevier B.V.","author":[{"dropping-particle":"","family":"Bauer","given":"Barbara","non-dropping-particle":"","parse-names":false,"suffix":""},{"dropping-particle":"","family":"Jordán","given":"Ferenc","non-dropping-particle":"","parse-names":false,"suffix":""},{"dropping-particle":"","family":"Podani","given":"János","non-dropping-particle":"","parse-names":false,"suffix":""}],"container-title":"Ecological Complexity","id":"ITEM-1","issue":"4","issued":{"date-parts":[["2010"]]},"page":"471-477","title":"Node centrality indices in food webs: Rank orders versus distributions","type":"article-journal","volume":"7"},"uris":["http://www.mendeley.com/documents/?uuid=e8b024d3-01bd-439a-b6d6-fbb7076dd41d"]}],"mendeley":{"formattedCitation":"(Bauer, Jordán, &amp; Podani, 2010)","plainTextFormattedCitation":"(Bauer, Jordán, &amp; Podani, 2010)","previouslyFormattedCitation":"(Bauer, Jordán, &amp; Podani, 2010)"},"properties":{"noteIndex":0},"schema":"https://github.com/citation-style-language/schema/raw/master/csl-citation.json"}</w:instrText>
      </w:r>
      <w:r w:rsidRPr="0092229B">
        <w:fldChar w:fldCharType="separate"/>
      </w:r>
      <w:r w:rsidRPr="0092229B">
        <w:rPr>
          <w:noProof/>
        </w:rPr>
        <w:t>(Bauer, Jordán, &amp; Podani, 2010)</w:t>
      </w:r>
      <w:r w:rsidRPr="0092229B">
        <w:fldChar w:fldCharType="end"/>
      </w:r>
      <w:r w:rsidRPr="0092229B">
        <w:t xml:space="preserve"> or hypothetical importance values </w:t>
      </w:r>
      <w:r w:rsidRPr="0092229B">
        <w:fldChar w:fldCharType="begin" w:fldLock="1"/>
      </w:r>
      <w:r w:rsidRPr="0092229B">
        <w:instrText>ADDIN CSL_CITATION {"citationItems":[{"id":"ITEM-1","itemData":{"author":[{"dropping-particle":"","family":"Mills","given":"L. Scott","non-dropping-particle":"","parse-names":false,"suffix":""},{"dropping-particle":"","family":"Doak","given":"Michael E.","non-dropping-particle":"","parse-names":false,"suffix":""},{"dropping-particle":"","family":"Soulé","given":"Daniel F.","non-dropping-particle":"","parse-names":false,"suffix":""}],"container-title":"BioScience","id":"ITEM-1","issue":"4","issued":{"date-parts":[["1993"]]},"page":"219-224","title":"The keystone-species concept in ecology and conservation","type":"article-journal","volume":"43"},"uris":["http://www.mendeley.com/documents/?uuid=eada5537-98c7-4ad6-80c4-1ca852cdb374"]}],"mendeley":{"formattedCitation":"(Mills, Doak, &amp; Soulé, 1993)","plainTextFormattedCitation":"(Mills, Doak, &amp; Soulé, 1993)","previouslyFormattedCitation":"(Mills, Doak, &amp; Soulé, 1993)"},"properties":{"noteIndex":0},"schema":"https://github.com/citation-style-language/schema/raw/master/csl-citation.json"}</w:instrText>
      </w:r>
      <w:r w:rsidRPr="0092229B">
        <w:fldChar w:fldCharType="separate"/>
      </w:r>
      <w:r w:rsidRPr="0092229B">
        <w:rPr>
          <w:noProof/>
        </w:rPr>
        <w:t>(Mills, Doak, &amp; Soulé, 1993)</w:t>
      </w:r>
      <w:r w:rsidRPr="0092229B">
        <w:fldChar w:fldCharType="end"/>
      </w:r>
      <w:r w:rsidRPr="0092229B">
        <w:t xml:space="preserve"> provide macroscopic </w:t>
      </w:r>
      <w:r w:rsidRPr="0092229B">
        <w:lastRenderedPageBreak/>
        <w:t>descriptors of ecosystems.</w:t>
      </w:r>
      <w:r w:rsidR="00E163ED">
        <w:rPr>
          <w:i/>
          <w:iCs/>
        </w:rPr>
        <w:t xml:space="preserve"> </w:t>
      </w:r>
      <w:r>
        <w:t xml:space="preserve">Here, we investigate how different aggregation methods maintain the relative importance of species according to 24 of the most used indices of importance in food web </w:t>
      </w:r>
      <w:r w:rsidRPr="001E2F59">
        <w:t xml:space="preserve">research. Our investigation was carried out on 76 Ecopath with Ecosim </w:t>
      </w:r>
      <w:r w:rsidR="00D14CC1">
        <w:t xml:space="preserve">(EwE) </w:t>
      </w:r>
      <w:r w:rsidRPr="001E2F59">
        <w:t xml:space="preserve">food web models available on the EcoBase database </w:t>
      </w:r>
      <w:r w:rsidRPr="001E2F59">
        <w:fldChar w:fldCharType="begin" w:fldLock="1"/>
      </w:r>
      <w:r w:rsidRPr="001E2F59">
        <w:instrText>ADDIN CSL_CITATION {"citationItems":[{"id":"ITEM-1","itemData":{"ISSN":"1198-6727","abstract":"It is now clear that research addressed at a large scale can allow for new insights on complex phenomena taking place in the global ocean. Ecological studies are more and more based on data-driven methodologies that rely on pre-existing datasets. However, open-access, digital and cross-disciplinary datasets are still uncommon for ecology. In the face of the global overexploitation of marine resources and rapid degradation of ecosystem integrity, new research tools are required to tackle these issues and enable new powerful, interdisciplinary research capabilities. We have, in fisheries research generally, and at the Fisheries Centre in particular, broad experience with fisheries data collection, and analysis of food web aspects of ecosystem dynamics. With this report titled EcoBase: a repository solution to gather and communicate information from EwE models, Colléter and colleagues have made a big effort at collecting information from all existing ecosystem models worldwide, built using the Ecopath with Ecosim (EwE) approach. EwE is the world’s most widely used ecological modeling approach, and its development is led by Fisheries Centre researchers, including, Villy Christensen, Daniel Pauly and Carl Walters. A new accomplishment is now achieved with the EcoBase project initiated by the Ecopath Research and Development Consortium (ERDC) and carried out by the authors of this report. The ERDC was initiated at the Fisheries Centre in October 2011, and formally established in Edinburgh, Scotland, in May 2012. It contributes to creating synergies and partnerships between scientists in aquatic ecology, and promotes the EwE modeling approach. The main goals of EcoBase are to (i) gather published EwE models; (ii) communicate on EwE modeling research; (iii) facilitate meta-analyses based on EwE models. EcoBase is meant to be a comprehensive, open-access, digital repository where EwE models are made discoverable, accessible and reusable by the scientific community. The structure, capabilities and current state of the EcoBase models repository are described in further details in this report. This represents new opportunities for research and trans-disciplinary analyses, including, trophic functioning, fisheries impact or economic aspects, for which I commend the authors. U. R. Sumaila, Director, Fisheries Centre, UBC.","author":[{"dropping-particle":"","family":"Colléter","given":"M.","non-dropping-particle":"","parse-names":false,"suffix":""},{"dropping-particle":"","family":"Valls","given":"A.","non-dropping-particle":"","parse-names":false,"suffix":""},{"dropping-particle":"","family":"Guitton","given":"J.","non-dropping-particle":"","parse-names":false,"suffix":""},{"dropping-particle":"","family":"Morissette","given":"L.","non-dropping-particle":"","parse-names":false,"suffix":""},{"dropping-particle":"","family":"Arreguín-Sánchez","given":"F.","non-dropping-particle":"","parse-names":false,"suffix":""},{"dropping-particle":"","family":"Christensen","given":"V.","non-dropping-particle":"","parse-names":false,"suffix":""},{"dropping-particle":"","family":"Gascuel","given":"D.","non-dropping-particle":"","parse-names":false,"suffix":""},{"dropping-particle":"","family":"Pauly","given":"D.","non-dropping-particle":"","parse-names":false,"suffix":""}],"container-title":"Fisheries Centre Research Reports","id":"ITEM-1","issued":{"date-parts":[["2013"]]},"title":"EcoBase: A repository solution to gather and communicate information from EwE models","type":"report"},"uris":["http://www.mendeley.com/documents/?uuid=74bcb9ab-9a77-43c1-beb4-567783f67168"]}],"mendeley":{"formattedCitation":"(Colléter et al., 2013)","plainTextFormattedCitation":"(Colléter et al., 2013)","previouslyFormattedCitation":"(Colléter et al., 2013)"},"properties":{"noteIndex":0},"schema":"https://github.com/citation-style-language/schema/raw/master/csl-citation.json"}</w:instrText>
      </w:r>
      <w:r w:rsidRPr="001E2F59">
        <w:fldChar w:fldCharType="separate"/>
      </w:r>
      <w:r w:rsidRPr="001E2F59">
        <w:rPr>
          <w:noProof/>
        </w:rPr>
        <w:t>(Colléter et al., 2013)</w:t>
      </w:r>
      <w:r w:rsidRPr="001E2F59">
        <w:fldChar w:fldCharType="end"/>
      </w:r>
      <w:r w:rsidRPr="001E2F59">
        <w:t xml:space="preserve">. By having been constructed with the same methodology (see </w:t>
      </w:r>
      <w:r w:rsidRPr="001E2F59">
        <w:fldChar w:fldCharType="begin" w:fldLock="1"/>
      </w:r>
      <w:r w:rsidR="00EE6DBF">
        <w:instrText>ADDIN CSL_CITATION {"citationItems":[{"id":"ITEM-1","itemData":{"abstract":"The rigorous demonstration of truly stable alternate community states is elusive in marine ecosystems and might remain so for some time. Examples of marine community states that have shifted are nevertheless increasingly conspicuous. The growing concern over these altered community states is often related to questions of persistence and reversibility, especially when these shifted states are considered to be degraded. I used empirically-based trophic models and direct empirical field studies to explore the potential of particular hypothesized mechanisms to generate and maintain alternate community states in four marine ecosystems: a Galápagos rocky reef, Prince William Sound, Alaska, the West Florida Continental Shelf, and coral reefs of the Spermonde Archipelago or Southwest Sulawesi, Indonesia. Construction and analysis of an Ecopath with Ecosim (EwE) model of a Galápagos rocky reef indicated that the unsustainable fishery targeting the holothurian Stichopus fuscus can, by itself, trigger the replacement of previously diverse reef platform communities with Aiptasia sp. anemone barrens. Construction and analysis of a Prince William Sound, Alaska EwE model indicated that severe disturbances such as the Exxon Valdez oil spill can shift a marine biotic community to an alternate state that persists in a stable manner for decades, and that the character of such disturbances, in terms of their breadth and community-level life-history signatures, might strongly influence whether a community shifts to an alternate state. In addition, a search for keystone species provided a whole-system approach to identifying species or functional groups whose depletion or removal might have the most severe consequences for community structure, and the most potential for mediating shifts. Construction and analysis of a West Florida Shelf EwE model indicated that increased sea floor shading by coastal phytoplankton (i.e., resulting from nutrient runoff pollution) can cause broad shifts in this continental shelf community by shading benthic primary producers, which support much of the overall shelf community. An empirical field study of monsoons and runoff in Southwest Sulawesi, Indonesia indicates some of the mechanisms involved in shifting tropical reefs from coral-dominated to algae-dominated systems. These contributions feature some newly emerging approaches for gaining insights into marine communities and for developing hypotheses that can be more rigorously evaluated in t…","author":[{"dropping-particle":"","family":"Okey","given":"Thomas Anthony","non-dropping-particle":"","parse-names":false,"suffix":""}],"id":"ITEM-1","issued":{"date-parts":[["2004"]]},"publisher":"University of British Columbia, Canada","title":"Shifted community states in four marine ecosystems: some potential mechanisms","type":"thesis"},"uris":["http://www.mendeley.com/documents/?uuid=16445185-f738-4ad8-977a-601c5890a42b"]}],"mendeley":{"formattedCitation":"(Thomas Anthony Okey, 2004)","manualFormatting":"Okey (2004)","plainTextFormattedCitation":"(Thomas Anthony Okey, 2004)","previouslyFormattedCitation":"(Okey, 2004)"},"properties":{"noteIndex":0},"schema":"https://github.com/citation-style-language/schema/raw/master/csl-citation.json"}</w:instrText>
      </w:r>
      <w:r w:rsidRPr="001E2F59">
        <w:fldChar w:fldCharType="separate"/>
      </w:r>
      <w:r w:rsidRPr="001E2F59">
        <w:rPr>
          <w:noProof/>
        </w:rPr>
        <w:t>Okey (2004)</w:t>
      </w:r>
      <w:r w:rsidRPr="001E2F59">
        <w:fldChar w:fldCharType="end"/>
      </w:r>
      <w:r w:rsidRPr="001E2F59">
        <w:t>), they provided us with comparable results. See supporting information for a list of these food webs.</w:t>
      </w:r>
    </w:p>
    <w:p w14:paraId="63BD2DC6" w14:textId="4C124F6C" w:rsidR="001E2F59" w:rsidRDefault="005326AE" w:rsidP="006E65F2">
      <w:pPr>
        <w:pStyle w:val="Heading1"/>
        <w:spacing w:before="0" w:beforeAutospacing="0" w:after="0" w:afterAutospacing="0" w:line="480" w:lineRule="auto"/>
        <w:rPr>
          <w:sz w:val="24"/>
          <w:szCs w:val="24"/>
        </w:rPr>
      </w:pPr>
      <w:r>
        <w:rPr>
          <w:sz w:val="24"/>
          <w:szCs w:val="24"/>
        </w:rPr>
        <w:softHyphen/>
      </w:r>
      <w:r>
        <w:rPr>
          <w:sz w:val="24"/>
          <w:szCs w:val="24"/>
        </w:rPr>
        <w:softHyphen/>
      </w:r>
      <w:r>
        <w:rPr>
          <w:sz w:val="24"/>
          <w:szCs w:val="24"/>
        </w:rPr>
        <w:softHyphen/>
      </w:r>
    </w:p>
    <w:p w14:paraId="54D13413" w14:textId="0C13840A" w:rsidR="003947A8" w:rsidRPr="00F95949" w:rsidRDefault="003947A8" w:rsidP="006E65F2">
      <w:pPr>
        <w:pStyle w:val="Heading1"/>
        <w:spacing w:before="0" w:beforeAutospacing="0" w:after="0" w:afterAutospacing="0" w:line="480" w:lineRule="auto"/>
        <w:rPr>
          <w:sz w:val="24"/>
          <w:szCs w:val="24"/>
        </w:rPr>
      </w:pPr>
      <w:r w:rsidRPr="00F95949">
        <w:rPr>
          <w:sz w:val="24"/>
          <w:szCs w:val="24"/>
        </w:rPr>
        <w:t>Material and methods</w:t>
      </w:r>
    </w:p>
    <w:p w14:paraId="5B96BE20" w14:textId="77777777" w:rsidR="001E2F59" w:rsidRDefault="001E2F59" w:rsidP="006E65F2">
      <w:pPr>
        <w:pStyle w:val="Heading2"/>
        <w:spacing w:before="0" w:beforeAutospacing="0" w:after="0" w:afterAutospacing="0" w:line="480" w:lineRule="auto"/>
        <w:rPr>
          <w:sz w:val="24"/>
          <w:szCs w:val="24"/>
        </w:rPr>
      </w:pPr>
    </w:p>
    <w:p w14:paraId="78C7A14E" w14:textId="6B920355" w:rsidR="003947A8" w:rsidRPr="00F95949" w:rsidRDefault="003947A8" w:rsidP="006E65F2">
      <w:pPr>
        <w:pStyle w:val="Heading2"/>
        <w:spacing w:before="0" w:beforeAutospacing="0" w:after="0" w:afterAutospacing="0" w:line="480" w:lineRule="auto"/>
        <w:rPr>
          <w:b w:val="0"/>
          <w:sz w:val="24"/>
          <w:szCs w:val="24"/>
        </w:rPr>
      </w:pPr>
      <w:r w:rsidRPr="00F95949">
        <w:rPr>
          <w:b w:val="0"/>
          <w:sz w:val="24"/>
          <w:szCs w:val="24"/>
        </w:rPr>
        <w:t>Clustering techniques</w:t>
      </w:r>
    </w:p>
    <w:p w14:paraId="07EE2025" w14:textId="77777777" w:rsidR="001E2F59" w:rsidRDefault="001E2F59" w:rsidP="006E65F2">
      <w:pPr>
        <w:spacing w:line="480" w:lineRule="auto"/>
      </w:pPr>
    </w:p>
    <w:p w14:paraId="1D841676" w14:textId="4108C158" w:rsidR="003947A8" w:rsidRPr="001E2F59" w:rsidRDefault="003947A8" w:rsidP="006E65F2">
      <w:pPr>
        <w:spacing w:line="480" w:lineRule="auto"/>
      </w:pPr>
      <w:r w:rsidRPr="001E2F59">
        <w:t>To cluster similar nodes, we used the following six clustering techniques.</w:t>
      </w:r>
    </w:p>
    <w:p w14:paraId="0B6E0823" w14:textId="77777777" w:rsidR="001E2F59" w:rsidRDefault="001E2F59" w:rsidP="006E65F2">
      <w:pPr>
        <w:pStyle w:val="Heading3"/>
        <w:spacing w:before="0" w:beforeAutospacing="0" w:after="0" w:afterAutospacing="0" w:line="480" w:lineRule="auto"/>
        <w:rPr>
          <w:sz w:val="24"/>
          <w:szCs w:val="24"/>
        </w:rPr>
      </w:pPr>
    </w:p>
    <w:p w14:paraId="6F5E80B6" w14:textId="5553D061" w:rsidR="003947A8" w:rsidRPr="00F95949" w:rsidRDefault="003947A8" w:rsidP="006E65F2">
      <w:pPr>
        <w:pStyle w:val="Heading3"/>
        <w:spacing w:before="0" w:beforeAutospacing="0" w:after="0" w:afterAutospacing="0" w:line="480" w:lineRule="auto"/>
        <w:rPr>
          <w:b w:val="0"/>
          <w:i/>
          <w:sz w:val="24"/>
          <w:szCs w:val="24"/>
        </w:rPr>
      </w:pPr>
      <w:r w:rsidRPr="00F95949">
        <w:rPr>
          <w:b w:val="0"/>
          <w:i/>
          <w:sz w:val="24"/>
          <w:szCs w:val="24"/>
        </w:rPr>
        <w:t>Hierarchical clustering with Jaccard index</w:t>
      </w:r>
    </w:p>
    <w:p w14:paraId="46D466DA" w14:textId="77777777" w:rsidR="001E2F59" w:rsidRDefault="001E2F59" w:rsidP="006E65F2">
      <w:pPr>
        <w:spacing w:line="480" w:lineRule="auto"/>
      </w:pPr>
    </w:p>
    <w:p w14:paraId="177CA9C6" w14:textId="03F4B50B" w:rsidR="003947A8" w:rsidRPr="001E2F59" w:rsidRDefault="003947A8" w:rsidP="006E65F2">
      <w:pPr>
        <w:spacing w:line="480" w:lineRule="auto"/>
      </w:pPr>
      <w:r w:rsidRPr="001E2F59">
        <w:t xml:space="preserve">As a first clustering method, we clustered structurally equivalent nodes as in </w:t>
      </w:r>
      <w:r w:rsidRPr="001E2F59">
        <w:fldChar w:fldCharType="begin" w:fldLock="1"/>
      </w:r>
      <w:r w:rsidRPr="001E2F59">
        <w:instrText>ADDIN CSL_CITATION {"citationItems":[{"id":"ITEM-1","itemData":{"author":[{"dropping-particle":"","family":"Yodzis","given":"Peter","non-dropping-particle":"","parse-names":false,"suffix":""},{"dropping-particle":"","family":"Winemiller","given":"Kirk O","non-dropping-particle":"","parse-names":false,"suffix":""}],"container-title":"Oikos","id":"ITEM-1","issue":"2","issued":{"date-parts":[["1999"]]},"note":"METHODS\n\n1. TROPHIC SIMILARITY\nFlows versus topology and addition versus multiplication. \n2. ORIGINAL TROPHIC ENTITIES\nProblems with species resolution. \n3. TOPOLOGICAL SIMILARITY\nUsing binary data.\n4. FLOW SIMILARITY\nUsing weighted data. \n5. TROPHIC SIMILARITY BETWEEN CLUSTERS\nWhich algorithm to use.\n6. ESTIMATION OF FLOWS FROM DIETART PROPORTIONS\nEstimating interaction strength by using the gut content of fish. \n7. DEFINING TROPHOSPECIES \nEvaluating the aggregation","page":"327-340","title":"In Search of Operational Trophospecies in a Tropical Aquatic Food Web","type":"article-journal","volume":"87"},"uris":["http://www.mendeley.com/documents/?uuid=cebc322c-8298-43af-95d5-3bacf888886a"]}],"mendeley":{"formattedCitation":"(Yodzis &amp; Winemiller, 1999)","manualFormatting":"Yodzis &amp; Winemiller (1999)","plainTextFormattedCitation":"(Yodzis &amp; Winemiller, 1999)","previouslyFormattedCitation":"(Yodzis &amp; Winemiller, 1999)"},"properties":{"noteIndex":0},"schema":"https://github.com/citation-style-language/schema/raw/master/csl-citation.json"}</w:instrText>
      </w:r>
      <w:r w:rsidRPr="001E2F59">
        <w:fldChar w:fldCharType="separate"/>
      </w:r>
      <w:r w:rsidRPr="001E2F59">
        <w:rPr>
          <w:noProof/>
        </w:rPr>
        <w:t>Yodzis &amp; Winemiller (1999)</w:t>
      </w:r>
      <w:r w:rsidRPr="001E2F59">
        <w:fldChar w:fldCharType="end"/>
      </w:r>
      <w:r w:rsidRPr="001E2F59">
        <w:t xml:space="preserve">. We used the Jaccard similarity index </w:t>
      </w:r>
      <w:r w:rsidRPr="001E2F59">
        <w:fldChar w:fldCharType="begin" w:fldLock="1"/>
      </w:r>
      <w:r w:rsidRPr="001E2F59">
        <w:instrText>ADDIN CSL_CITATION {"citationItems":[{"id":"ITEM-1","itemData":{"author":[{"dropping-particle":"","family":"Jaccard P.","given":"","non-dropping-particle":"","parse-names":false,"suffix":""}],"container-title":"New Phytologist","id":"ITEM-1","issue":"2","issued":{"date-parts":[["1912"]]},"page":"37-50","title":"The distribution of the flora in the alpine zone","type":"article-journal","volume":"11"},"uris":["http://www.mendeley.com/documents/?uuid=edb9d101-1e45-39ea-bba0-1358162cf7c7"]}],"mendeley":{"formattedCitation":"(Jaccard P., 1912)","manualFormatting":"(Jaccard, 1912)","plainTextFormattedCitation":"(Jaccard P., 1912)","previouslyFormattedCitation":"(Jaccard P., 1912)"},"properties":{"noteIndex":0},"schema":"https://github.com/citation-style-language/schema/raw/master/csl-citation.json"}</w:instrText>
      </w:r>
      <w:r w:rsidRPr="001E2F59">
        <w:fldChar w:fldCharType="separate"/>
      </w:r>
      <w:r w:rsidRPr="001E2F59">
        <w:rPr>
          <w:noProof/>
        </w:rPr>
        <w:t>(Jaccard, 1912)</w:t>
      </w:r>
      <w:r w:rsidRPr="001E2F59">
        <w:fldChar w:fldCharType="end"/>
      </w:r>
      <w:r w:rsidRPr="001E2F59">
        <w:t xml:space="preserve"> as a measure of structural equivalence. See supporting information for the clustering algorithm.</w:t>
      </w:r>
    </w:p>
    <w:p w14:paraId="44F134B7" w14:textId="77777777" w:rsidR="001E2F59" w:rsidRDefault="001E2F59" w:rsidP="006E65F2">
      <w:pPr>
        <w:pStyle w:val="Heading3"/>
        <w:spacing w:before="0" w:beforeAutospacing="0" w:after="0" w:afterAutospacing="0" w:line="480" w:lineRule="auto"/>
        <w:rPr>
          <w:sz w:val="24"/>
          <w:szCs w:val="24"/>
        </w:rPr>
      </w:pPr>
    </w:p>
    <w:p w14:paraId="2489DAE3" w14:textId="5D7AA3F7" w:rsidR="003947A8" w:rsidRPr="00F95949" w:rsidRDefault="003947A8" w:rsidP="006E65F2">
      <w:pPr>
        <w:pStyle w:val="Heading3"/>
        <w:spacing w:before="0" w:beforeAutospacing="0" w:after="0" w:afterAutospacing="0" w:line="480" w:lineRule="auto"/>
        <w:rPr>
          <w:b w:val="0"/>
          <w:i/>
          <w:sz w:val="24"/>
          <w:szCs w:val="24"/>
        </w:rPr>
      </w:pPr>
      <w:r w:rsidRPr="00F95949">
        <w:rPr>
          <w:b w:val="0"/>
          <w:i/>
          <w:sz w:val="24"/>
          <w:szCs w:val="24"/>
        </w:rPr>
        <w:t>Hierarchical clustering with REGE index</w:t>
      </w:r>
    </w:p>
    <w:p w14:paraId="723AF099" w14:textId="77777777" w:rsidR="001E2F59" w:rsidRDefault="001E2F59" w:rsidP="006E65F2">
      <w:pPr>
        <w:spacing w:line="480" w:lineRule="auto"/>
      </w:pPr>
    </w:p>
    <w:p w14:paraId="579EF4A7" w14:textId="74801F3A" w:rsidR="003947A8" w:rsidRPr="001E2F59" w:rsidRDefault="003947A8" w:rsidP="006E65F2">
      <w:pPr>
        <w:spacing w:line="480" w:lineRule="auto"/>
      </w:pPr>
      <w:r w:rsidRPr="001E2F59">
        <w:t xml:space="preserve">Our second clustering method consisted of clustering regularly equivalent nodes as in </w:t>
      </w:r>
      <w:r w:rsidRPr="001E2F59">
        <w:fldChar w:fldCharType="begin" w:fldLock="1"/>
      </w:r>
      <w:r w:rsidRPr="001E2F59">
        <w:instrText>ADDIN CSL_CITATION {"citationItems":[{"id":"ITEM-1","itemData":{"DOI":"10.1006/jtbi.2003.3147","ISBN":"1252328184","ISSN":"00225193","PMID":"12468282","abstract":"We present a graph theoretic model of analysing food web structure called regular equivalence. Regular equivalence is a method for partitioning the species in a food web into \"isotrophic classes\" that play the same structural roles, even if they are not directly consuming the same prey or if they do not share the same predators. We contrast regular equivalence models, in which two species are members of the same trophic group if they have trophic links to the same set of other trophic groups, with structural equivalence models, in which species are equivalent if they are connected to the exact same other species. Here, the regular equivalence approach is applied to two published food webs: (1) a topological web (Malaysian pitcher plant insect food web) and (2) a carbon-flow web (St. Marks, Florida seagrass ecosystem food web). Regular equivalence produced a more satisfactory set of classes than did the structural approach, grouping basal taxa with other basal taxa and not with top predators. Regular equivalence models provide a way to mathematically formalize trophic position, trophic group and trophic niche. These models are part of a family of models that includes structural models used extensively by ecologists now. Regular equivalence models uncover similarities in trophic roles at a higher level of organization than do the structural models. The approach outlined is useful for measuring the trophic roles of species in food web models, measuring similarity in trophic relations of two or more species, comparing food webs over time and across geographic regions, and aggregating taxa into trophic groups that reduce the complexity of ecosystem feeding relations without obscuring network relationships. In addition, we hope the approach will prove useful in predicting the outcome of predator-prey interactions in experimental studies. © 2003 Elsevier Science Ltd. All rights reserved.","author":[{"dropping-particle":"","family":"Luczkovich","given":"Joseph J.","non-dropping-particle":"","parse-names":false,"suffix":""},{"dropping-particle":"","family":"Borgatti","given":"Stephen P.","non-dropping-particle":"","parse-names":false,"suffix":""},{"dropping-particle":"","family":"Johnson","given":"Jeffrey C.","non-dropping-particle":"","parse-names":false,"suffix":""},{"dropping-particle":"","family":"Everett","given":"Martin G.","non-dropping-particle":"","parse-names":false,"suffix":""}],"container-title":"Journal of Theoretical Biology","id":"ITEM-1","issue":"3","issued":{"date-parts":[["2003"]]},"page":"303-321","title":"Defining and measuring trophic role similarity in food webs using regular equivalence","type":"article-journal","volume":"220"},"uris":["http://www.mendeley.com/documents/?uuid=2001617d-e82f-4264-8861-2dab09668709"]}],"mendeley":{"formattedCitation":"(Luczkovich et al., 2003)","manualFormatting":"Luczkovich et al., (2003)","plainTextFormattedCitation":"(Luczkovich et al., 2003)","previouslyFormattedCitation":"(Luczkovich et al., 2003)"},"properties":{"noteIndex":0},"schema":"https://github.com/citation-style-language/schema/raw/master/csl-citation.json"}</w:instrText>
      </w:r>
      <w:r w:rsidRPr="001E2F59">
        <w:fldChar w:fldCharType="separate"/>
      </w:r>
      <w:r w:rsidRPr="001E2F59">
        <w:rPr>
          <w:noProof/>
        </w:rPr>
        <w:t>Luczkovich et al., (2003)</w:t>
      </w:r>
      <w:r w:rsidRPr="001E2F59">
        <w:fldChar w:fldCharType="end"/>
      </w:r>
      <w:r w:rsidRPr="001E2F59">
        <w:t xml:space="preserve">.  The measure of regular equivalence we used was the REGE index </w:t>
      </w:r>
      <w:r w:rsidRPr="001E2F59">
        <w:fldChar w:fldCharType="begin" w:fldLock="1"/>
      </w:r>
      <w:r w:rsidRPr="001E2F59">
        <w:instrText>ADDIN CSL_CITATION {"citationItems":[{"id":"ITEM-1","itemData":{"DOI":"10.1016/0378-8733(93)90012-A","ISSN":"03788733","abstract":"In this paper we present two algorithms for computing the extent of regular equivalence among pairs of nodes in a network. The first algorithm, REGE, is well known, but has not previously been described in the literature. The second algorithm, CATREGE, is new. Whereas REGE is applicable to quantitative data, CATREGE is used for categorical data. For binary data, either algorithm may be used, though the CATREGE algorithm is significantly faster and its output similarity coefficients have better metric properties. The CATREGE algorithm is also useful pedagogically, because it is easier to grasp. © 1993.","author":[{"dropping-particle":"","family":"Borgatti","given":"Stephen P.","non-dropping-particle":"","parse-names":false,"suffix":""},{"dropping-particle":"","family":"Everett","given":"Martin G.","non-dropping-particle":"","parse-names":false,"suffix":""}],"container-title":"Social Networks","id":"ITEM-1","issue":"4","issued":{"date-parts":[["1993"]]},"page":"361-376","title":"Two algorithms for computing regular equivalence","type":"article-journal","volume":"15"},"uris":["http://www.mendeley.com/documents/?uuid=e0ff74dc-0328-4664-9866-e24711bca06b"]}],"mendeley":{"formattedCitation":"(Borgatti &amp; Everett, 1993)","plainTextFormattedCitation":"(Borgatti &amp; Everett, 1993)","previouslyFormattedCitation":"(Borgatti &amp; Everett, 1993)"},"properties":{"noteIndex":0},"schema":"https://github.com/citation-style-language/schema/raw/master/csl-citation.json"}</w:instrText>
      </w:r>
      <w:r w:rsidRPr="001E2F59">
        <w:fldChar w:fldCharType="separate"/>
      </w:r>
      <w:r w:rsidRPr="001E2F59">
        <w:rPr>
          <w:noProof/>
        </w:rPr>
        <w:t>(Borgatti &amp; Everett, 1993)</w:t>
      </w:r>
      <w:r w:rsidRPr="001E2F59">
        <w:fldChar w:fldCharType="end"/>
      </w:r>
      <w:r w:rsidRPr="001E2F59">
        <w:t>. See supporting information for the clustering algorithm.</w:t>
      </w:r>
    </w:p>
    <w:p w14:paraId="0F3B8103" w14:textId="77777777" w:rsidR="001E2F59" w:rsidRDefault="001E2F59" w:rsidP="006E65F2">
      <w:pPr>
        <w:pStyle w:val="Heading3"/>
        <w:spacing w:before="0" w:beforeAutospacing="0" w:after="0" w:afterAutospacing="0" w:line="480" w:lineRule="auto"/>
        <w:rPr>
          <w:sz w:val="24"/>
          <w:szCs w:val="24"/>
        </w:rPr>
      </w:pPr>
    </w:p>
    <w:p w14:paraId="081CA1BC" w14:textId="5A2D1996" w:rsidR="003947A8" w:rsidRPr="00F95949" w:rsidRDefault="003947A8" w:rsidP="006E65F2">
      <w:pPr>
        <w:pStyle w:val="Heading3"/>
        <w:spacing w:before="0" w:beforeAutospacing="0" w:after="0" w:afterAutospacing="0" w:line="480" w:lineRule="auto"/>
        <w:rPr>
          <w:b w:val="0"/>
          <w:i/>
          <w:sz w:val="24"/>
          <w:szCs w:val="24"/>
        </w:rPr>
      </w:pPr>
      <w:r w:rsidRPr="00F95949">
        <w:rPr>
          <w:b w:val="0"/>
          <w:i/>
          <w:sz w:val="24"/>
          <w:szCs w:val="24"/>
        </w:rPr>
        <w:lastRenderedPageBreak/>
        <w:t>Clustering of density-based modules</w:t>
      </w:r>
    </w:p>
    <w:p w14:paraId="0693B711" w14:textId="77777777" w:rsidR="001E2F59" w:rsidRDefault="001E2F59" w:rsidP="006E65F2">
      <w:pPr>
        <w:spacing w:line="480" w:lineRule="auto"/>
      </w:pPr>
    </w:p>
    <w:p w14:paraId="4D754E76" w14:textId="23E9674F" w:rsidR="003947A8" w:rsidRDefault="003947A8" w:rsidP="006E65F2">
      <w:pPr>
        <w:spacing w:line="480" w:lineRule="auto"/>
      </w:pPr>
      <w:r w:rsidRPr="001E2F59">
        <w:t>As a third clustering method, we clustered the nodes inside the modules found by</w:t>
      </w:r>
      <w:r>
        <w:t xml:space="preserve"> maximising the density modularity, as in </w:t>
      </w:r>
      <w:r>
        <w:fldChar w:fldCharType="begin" w:fldLock="1"/>
      </w:r>
      <w:r>
        <w:instrText>ADDIN CSL_CITATION {"citationItems":[{"id":"ITEM-1","itemData":{"DOI":"10.1890/09-1175.1","ISSN":"0012-9658","author":[{"dropping-particle":"","family":"Guimerà","given":"R.","non-dropping-particle":"","parse-names":false,"suffix":""},{"dropping-particle":"","family":"Stouffer","given":"D. B.","non-dropping-particle":"","parse-names":false,"suffix":""},{"dropping-particle":"","family":"Sales-Pardo","given":"M.","non-dropping-particle":"","parse-names":false,"suffix":""},{"dropping-particle":"","family":"Leicht","given":"E. A.","non-dropping-particle":"","parse-names":false,"suffix":""},{"dropping-particle":"","family":"Newman","given":"M. E. J.","non-dropping-particle":"","parse-names":false,"suffix":""},{"dropping-particle":"","family":"Amaral","given":"L. A. N.","non-dropping-particle":"","parse-names":false,"suffix":""}],"container-title":"Ecology","id":"ITEM-1","issue":"10","issued":{"date-parts":[["2010"]]},"page":"2941-2951","title":"Origin of compartmentalization in food webs","type":"article-journal","volume":"91"},"uris":["http://www.mendeley.com/documents/?uuid=cf55ecbc-f061-4d12-9cf4-16d5e7ed3de3"]}],"mendeley":{"formattedCitation":"(R. Guimerà et al., 2010)","manualFormatting":"Guimerà et al. (2010)","plainTextFormattedCitation":"(R. Guimerà et al., 2010)","previouslyFormattedCitation":"(R. Guimerà et al., 2010)"},"properties":{"noteIndex":0},"schema":"https://github.com/citation-style-language/schema/raw/master/csl-citation.json"}</w:instrText>
      </w:r>
      <w:r>
        <w:fldChar w:fldCharType="separate"/>
      </w:r>
      <w:r w:rsidRPr="008A6457">
        <w:rPr>
          <w:noProof/>
        </w:rPr>
        <w:t xml:space="preserve">Guimerà et al. </w:t>
      </w:r>
      <w:r>
        <w:rPr>
          <w:noProof/>
        </w:rPr>
        <w:t>(</w:t>
      </w:r>
      <w:r w:rsidRPr="008A6457">
        <w:rPr>
          <w:noProof/>
        </w:rPr>
        <w:t>2010)</w:t>
      </w:r>
      <w:r>
        <w:fldChar w:fldCharType="end"/>
      </w:r>
      <w:r>
        <w:t xml:space="preserve">. This type of modularity is expressed as the number of extra links present within the modules compared to the ones expected by chance. For directed networks, it can be expressed through the following equation of </w:t>
      </w:r>
      <w:r>
        <w:fldChar w:fldCharType="begin" w:fldLock="1"/>
      </w:r>
      <w:r>
        <w:instrText>ADDIN CSL_CITATION {"citationItems":[{"id":"ITEM-1","itemData":{"DOI":"10.1088/1367-2630/9/6/176","ISSN":"13672630","abstract":"The ubiquity of modular structure in real-world complex networks is the focus of attention in many trials to understand the interplay between network topology and functionality. The best approaches to the identification of modular structure are based on the optimization of a quality function known as modularity. However this optimization is a hard task provided that the computational complexity of the problem is in the non-deterministic polynomial time hard (NP-hard) class. Here we propose an exact method for reducing the size of weighted (directed and undirected) complex networks while maintaining their modularity. This size reduction allows use of heuristic algorithms that optimize modularity for a better exploration of the modularity landscape. We compare the modularity obtained in several real complex-networks by using the extremal optimization algorithm, before and after the size reduction, showing the improvement obtained. We speculate that the proposed analytical size reduction could be extended to an exact coarse graining of the network in the scope of real-space renormalization. © IOP Publishing Ltd and Deutsche Physikalische Gesellschaft.","author":[{"dropping-particle":"","family":"Arenas","given":"A.","non-dropping-particle":"","parse-names":false,"suffix":""},{"dropping-particle":"","family":"Duch","given":"J.","non-dropping-particle":"","parse-names":false,"suffix":""},{"dropping-particle":"","family":"Fernández","given":"A.","non-dropping-particle":"","parse-names":false,"suffix":""},{"dropping-particle":"","family":"Gómez","given":"S.","non-dropping-particle":"","parse-names":false,"suffix":""}],"container-title":"New Journal of Physics","id":"ITEM-1","issue":"6","issued":{"date-parts":[["2007"]]},"page":"176","title":"Size reduction of complex networks preserving modularity","type":"article-journal","volume":"9"},"uris":["http://www.mendeley.com/documents/?uuid=c75d50af-84c7-48a0-a7da-2cd78328edc3"]}],"mendeley":{"formattedCitation":"(Arenas, Duch, Fernández, &amp; Gómez, 2007)","manualFormatting":"Arenas, Duch, Fernández, &amp; Gómez, (2007)","plainTextFormattedCitation":"(Arenas, Duch, Fernández, &amp; Gómez, 2007)","previouslyFormattedCitation":"(Arenas, Duch, Fernández, &amp; Gómez, 2007)"},"properties":{"noteIndex":0},"schema":"https://github.com/citation-style-language/schema/raw/master/csl-citation.json"}</w:instrText>
      </w:r>
      <w:r>
        <w:fldChar w:fldCharType="separate"/>
      </w:r>
      <w:r w:rsidRPr="00225EBD">
        <w:rPr>
          <w:noProof/>
        </w:rPr>
        <w:t xml:space="preserve">Arenas, Duch, Fernández, &amp; Gómez, </w:t>
      </w:r>
      <w:r>
        <w:rPr>
          <w:noProof/>
        </w:rPr>
        <w:t>(</w:t>
      </w:r>
      <w:r w:rsidRPr="00225EBD">
        <w:rPr>
          <w:noProof/>
        </w:rPr>
        <w:t>2007)</w:t>
      </w:r>
      <w:r>
        <w:fldChar w:fldCharType="end"/>
      </w:r>
      <w:r>
        <w:t xml:space="preserve">, which is a generalisation of </w:t>
      </w:r>
      <w:r w:rsidRPr="34EA1DDB">
        <w:t xml:space="preserve">the Newman-Girvan modularity </w:t>
      </w:r>
      <w:r>
        <w:fldChar w:fldCharType="begin" w:fldLock="1"/>
      </w:r>
      <w:r>
        <w:instrText>ADDIN CSL_CITATION {"citationItems":[{"id":"ITEM-1","itemData":{"DOI":"10.1103/PhysRevE.69.066133","ISSN":"1063651X","abstract":"Many networks display community structure—groups of vertices within which connections are dense but between which they are sparser—and sensitive computer algorithms have in recent years been developed for detecting this structure. These algorithms, however, are computationally demanding, which limits their application to small networks. Here we describe an algorithm which gives excellent results when tested on both computer-generated and real-world networks and is much faster, typically thousands of times faster, than previous algorithms. We give several example applications, including one to a collaboration network of more than 50?000 physicists. © 2004 The American Physical Society.","author":[{"dropping-particle":"","family":"Newman","given":"M. E.J.","non-dropping-particle":"","parse-names":false,"suffix":""}],"container-title":"Physical Review E - Statistical Physics, Plasmas, Fluids, and Related Interdisciplinary Topics","id":"ITEM-1","issue":"6","issued":{"date-parts":[["2004"]]},"page":"5","title":"Fast algorithm for detecting community structure in networks","type":"article-journal","volume":"69"},"uris":["http://www.mendeley.com/documents/?uuid=8a8618d4-eca5-467e-a265-d1d74f7e5278"]}],"mendeley":{"formattedCitation":"(Newman, 2004)","plainTextFormattedCitation":"(Newman, 2004)","previouslyFormattedCitation":"(Newman, 2004)"},"properties":{"noteIndex":0},"schema":"https://github.com/citation-style-language/schema/raw/master/csl-citation.json"}</w:instrText>
      </w:r>
      <w:r>
        <w:fldChar w:fldCharType="separate"/>
      </w:r>
      <w:r w:rsidRPr="003C3891">
        <w:rPr>
          <w:noProof/>
        </w:rPr>
        <w:t>(Newman, 2004)</w:t>
      </w:r>
      <w:r>
        <w:fldChar w:fldCharType="end"/>
      </w:r>
      <w:r>
        <w:t xml:space="preserve"> </w:t>
      </w:r>
    </w:p>
    <w:p w14:paraId="4C2D19E4" w14:textId="77777777" w:rsidR="003712EC" w:rsidRDefault="003712EC" w:rsidP="006E65F2">
      <w:pPr>
        <w:spacing w:line="480" w:lineRule="auto"/>
      </w:pPr>
    </w:p>
    <w:p w14:paraId="284FE24E" w14:textId="71A7F295" w:rsidR="003947A8" w:rsidRDefault="003947A8" w:rsidP="006E65F2">
      <w:pPr>
        <w:spacing w:line="480" w:lineRule="auto"/>
        <w:jc w:val="center"/>
      </w:pPr>
      <m:oMath>
        <m:r>
          <w:rPr>
            <w:rFonts w:ascii="Cambria Math" w:hAnsi="Cambria Math"/>
          </w:rPr>
          <m:t>Q=</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L</m:t>
            </m:r>
            <m:ctrlPr>
              <w:rPr>
                <w:rFonts w:ascii="Cambria Math" w:hAnsi="Cambria Math"/>
                <w:i/>
              </w:rPr>
            </m:ctrlPr>
          </m:den>
        </m:f>
        <m:nary>
          <m:naryPr>
            <m:chr m:val="∑"/>
            <m:limLoc m:val="undOvr"/>
            <m:supHide m:val="1"/>
            <m:ctrlPr>
              <w:rPr>
                <w:rFonts w:ascii="Cambria Math" w:hAnsi="Cambria Math"/>
              </w:rPr>
            </m:ctrlPr>
          </m:naryPr>
          <m:sub>
            <m:r>
              <w:rPr>
                <w:rFonts w:ascii="Cambria Math" w:hAnsi="Cambria Math"/>
              </w:rPr>
              <m:t>ij</m:t>
            </m:r>
            <m:ctrlPr>
              <w:rPr>
                <w:rFonts w:ascii="Cambria Math" w:hAnsi="Cambria Math"/>
                <w:i/>
              </w:rPr>
            </m:ctrlPr>
          </m:sub>
          <m:sup>
            <m:ctrlPr>
              <w:rPr>
                <w:rFonts w:ascii="Cambria Math" w:hAnsi="Cambria Math"/>
                <w:i/>
              </w:rPr>
            </m:ctrlP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hAnsi="Cambria Math"/>
                  </w:rPr>
                  <m:t>-</m:t>
                </m:r>
                <m:f>
                  <m:fPr>
                    <m:ctrlPr>
                      <w:rPr>
                        <w:rFonts w:ascii="Cambria Math" w:hAnsi="Cambria Math"/>
                      </w:rPr>
                    </m:ctrlPr>
                  </m:fPr>
                  <m:num>
                    <m:sSubSup>
                      <m:sSubSupPr>
                        <m:ctrlPr>
                          <w:rPr>
                            <w:rFonts w:ascii="Cambria Math" w:hAnsi="Cambria Math"/>
                            <w:i/>
                          </w:rPr>
                        </m:ctrlPr>
                      </m:sSubSupPr>
                      <m:e>
                        <m:r>
                          <w:rPr>
                            <w:rFonts w:ascii="Cambria Math" w:hAnsi="Cambria Math"/>
                          </w:rPr>
                          <m:t>k</m:t>
                        </m:r>
                      </m:e>
                      <m:sub>
                        <m:r>
                          <w:rPr>
                            <w:rFonts w:ascii="Cambria Math" w:hAnsi="Cambria Math"/>
                          </w:rPr>
                          <m:t>i</m:t>
                        </m:r>
                      </m:sub>
                      <m:sup>
                        <m:r>
                          <w:rPr>
                            <w:rFonts w:ascii="Cambria Math" w:hAnsi="Cambria Math"/>
                          </w:rPr>
                          <m:t>in</m:t>
                        </m:r>
                      </m:sup>
                    </m:sSubSup>
                    <m:sSubSup>
                      <m:sSubSupPr>
                        <m:ctrlPr>
                          <w:rPr>
                            <w:rFonts w:ascii="Cambria Math" w:hAnsi="Cambria Math"/>
                            <w:i/>
                          </w:rPr>
                        </m:ctrlPr>
                      </m:sSubSupPr>
                      <m:e>
                        <m:r>
                          <w:rPr>
                            <w:rFonts w:ascii="Cambria Math" w:hAnsi="Cambria Math"/>
                          </w:rPr>
                          <m:t>k</m:t>
                        </m:r>
                      </m:e>
                      <m:sub>
                        <m:r>
                          <w:rPr>
                            <w:rFonts w:ascii="Cambria Math" w:hAnsi="Cambria Math"/>
                          </w:rPr>
                          <m:t>j</m:t>
                        </m:r>
                      </m:sub>
                      <m:sup>
                        <m:r>
                          <w:rPr>
                            <w:rFonts w:ascii="Cambria Math" w:hAnsi="Cambria Math"/>
                          </w:rPr>
                          <m:t>out</m:t>
                        </m:r>
                      </m:sup>
                    </m:sSubSup>
                    <m:ctrlPr>
                      <w:rPr>
                        <w:rFonts w:ascii="Cambria Math" w:hAnsi="Cambria Math"/>
                        <w:i/>
                      </w:rPr>
                    </m:ctrlPr>
                  </m:num>
                  <m:den>
                    <m:r>
                      <w:rPr>
                        <w:rFonts w:ascii="Cambria Math" w:hAnsi="Cambria Math"/>
                      </w:rPr>
                      <m:t>L</m:t>
                    </m:r>
                    <m:ctrlPr>
                      <w:rPr>
                        <w:rFonts w:ascii="Cambria Math" w:hAnsi="Cambria Math"/>
                        <w:i/>
                      </w:rPr>
                    </m:ctrlPr>
                  </m:den>
                </m:f>
              </m:e>
            </m:d>
            <m:sSub>
              <m:sSubPr>
                <m:ctrlPr>
                  <w:rPr>
                    <w:rFonts w:ascii="Cambria Math" w:hAnsi="Cambria Math"/>
                    <w:i/>
                  </w:rPr>
                </m:ctrlPr>
              </m:sSubPr>
              <m:e>
                <m:r>
                  <m:rPr>
                    <m:sty m:val="p"/>
                  </m:rPr>
                  <w:rPr>
                    <w:rFonts w:ascii="Cambria Math" w:hAnsi="Cambria Math"/>
                  </w:rPr>
                  <m:t>δ</m:t>
                </m:r>
                <m:ctrlPr>
                  <w:rPr>
                    <w:rFonts w:ascii="Cambria Math" w:hAnsi="Cambria Math"/>
                  </w:rPr>
                </m:ctrlPr>
              </m:e>
              <m:sub>
                <m:sSub>
                  <m:sSubPr>
                    <m:ctrlPr>
                      <w:rPr>
                        <w:rFonts w:ascii="Cambria Math" w:hAnsi="Cambria Math"/>
                        <w:i/>
                      </w:rPr>
                    </m:ctrlPr>
                  </m:sSubPr>
                  <m:e>
                    <m:r>
                      <w:rPr>
                        <w:rFonts w:ascii="Cambria Math" w:hAnsi="Cambria Math"/>
                      </w:rPr>
                      <m:t>m</m:t>
                    </m:r>
                  </m:e>
                  <m:sub>
                    <m:r>
                      <w:rPr>
                        <w:rFonts w:ascii="Cambria Math" w:hAnsi="Cambria Math"/>
                      </w:rPr>
                      <m:t>i</m:t>
                    </m:r>
                  </m:sub>
                </m:sSub>
                <m:sSub>
                  <m:sSubPr>
                    <m:ctrlPr>
                      <w:rPr>
                        <w:rFonts w:ascii="Cambria Math" w:hAnsi="Cambria Math"/>
                        <w:i/>
                      </w:rPr>
                    </m:ctrlPr>
                  </m:sSubPr>
                  <m:e>
                    <m:r>
                      <w:rPr>
                        <w:rFonts w:ascii="Cambria Math" w:hAnsi="Cambria Math"/>
                      </w:rPr>
                      <m:t>m</m:t>
                    </m:r>
                  </m:e>
                  <m:sub>
                    <m:r>
                      <w:rPr>
                        <w:rFonts w:ascii="Cambria Math" w:hAnsi="Cambria Math"/>
                      </w:rPr>
                      <m:t>j</m:t>
                    </m:r>
                  </m:sub>
                </m:sSub>
              </m:sub>
            </m:sSub>
            <m:ctrlPr>
              <w:rPr>
                <w:rFonts w:ascii="Cambria Math" w:hAnsi="Cambria Math"/>
                <w:i/>
              </w:rPr>
            </m:ctrlPr>
          </m:e>
        </m:nary>
        <m:r>
          <w:rPr>
            <w:rFonts w:ascii="Cambria Math" w:hAnsi="Cambria Math"/>
          </w:rPr>
          <m:t xml:space="preserve"> </m:t>
        </m:r>
      </m:oMath>
      <w:r w:rsidR="00A82AA8">
        <w:t xml:space="preserve"> (1)</w:t>
      </w:r>
    </w:p>
    <w:p w14:paraId="367CF4A2" w14:textId="77777777" w:rsidR="003712EC" w:rsidRDefault="003712EC" w:rsidP="006E65F2">
      <w:pPr>
        <w:spacing w:line="480" w:lineRule="auto"/>
      </w:pPr>
    </w:p>
    <w:p w14:paraId="1BA99138" w14:textId="794711A6" w:rsidR="003947A8" w:rsidRDefault="003947A8" w:rsidP="006E65F2">
      <w:pPr>
        <w:spacing w:line="480" w:lineRule="auto"/>
        <w:rPr>
          <w:rFonts w:eastAsiaTheme="minorEastAsia"/>
        </w:rPr>
      </w:pPr>
      <w:r w:rsidRPr="34EA1DDB">
        <w:t xml:space="preserve">where </w:t>
      </w:r>
      <m:oMath>
        <m:r>
          <w:rPr>
            <w:rFonts w:ascii="Cambria Math" w:hAnsi="Cambria Math"/>
          </w:rPr>
          <m:t>Q</m:t>
        </m:r>
      </m:oMath>
      <w:r w:rsidRPr="34EA1DDB">
        <w:t xml:space="preserve"> is the modularity of </w:t>
      </w:r>
      <w:r>
        <w:t>the network</w:t>
      </w:r>
      <w:r w:rsidRPr="34EA1DDB">
        <w:t xml:space="preserve">, </w:t>
      </w:r>
      <m:oMath>
        <m:r>
          <w:rPr>
            <w:rFonts w:ascii="Cambria Math" w:hAnsi="Cambria Math"/>
          </w:rPr>
          <m:t>L</m:t>
        </m:r>
      </m:oMath>
      <w:r w:rsidRPr="34EA1DDB">
        <w:t xml:space="preserve"> is the numbe</w:t>
      </w:r>
      <w:r>
        <w:t xml:space="preserve">r </w:t>
      </w:r>
      <w:r w:rsidRPr="34EA1DDB">
        <w:t xml:space="preserve">of links in the network, </w:t>
      </w:r>
      <m:oMath>
        <m:sSub>
          <m:sSubPr>
            <m:ctrlPr>
              <w:rPr>
                <w:rFonts w:ascii="Cambria Math" w:hAnsi="Cambria Math"/>
                <w:i/>
              </w:rPr>
            </m:ctrlPr>
          </m:sSubPr>
          <m:e>
            <m:r>
              <w:rPr>
                <w:rFonts w:ascii="Cambria Math" w:hAnsi="Cambria Math"/>
              </w:rPr>
              <m:t>A</m:t>
            </m:r>
          </m:e>
          <m:sub>
            <m:r>
              <w:rPr>
                <w:rFonts w:ascii="Cambria Math" w:hAnsi="Cambria Math"/>
              </w:rPr>
              <m:t>ij</m:t>
            </m:r>
          </m:sub>
        </m:sSub>
      </m:oMath>
      <w:r w:rsidRPr="34EA1DDB">
        <w:t xml:space="preserve"> is the</w:t>
      </w:r>
      <w:r>
        <w:t xml:space="preserve"> </w:t>
      </w:r>
      <w:r w:rsidRPr="34EA1DDB">
        <w:t xml:space="preserve">element of the adjacency matrix of </w:t>
      </w:r>
      <w:r>
        <w:t>the</w:t>
      </w:r>
      <w:r w:rsidRPr="34EA1DDB">
        <w:t xml:space="preserve"> directed binary network (links go from </w:t>
      </w:r>
      <m:oMath>
        <m:r>
          <w:rPr>
            <w:rFonts w:ascii="Cambria Math" w:hAnsi="Cambria Math"/>
          </w:rPr>
          <m:t>j</m:t>
        </m:r>
      </m:oMath>
      <w:r w:rsidRPr="34EA1DDB">
        <w:t xml:space="preserve"> to </w:t>
      </w:r>
      <m:oMath>
        <m:r>
          <w:rPr>
            <w:rFonts w:ascii="Cambria Math" w:hAnsi="Cambria Math"/>
          </w:rPr>
          <m:t>i</m:t>
        </m:r>
      </m:oMath>
      <w:r w:rsidRPr="34EA1DDB">
        <w:t>)</w:t>
      </w:r>
      <w:r>
        <w:rPr>
          <w:rFonts w:eastAsiaTheme="minorEastAsia"/>
        </w:rPr>
        <w:t xml:space="preserve">, </w:t>
      </w:r>
      <m:oMath>
        <m:sSubSup>
          <m:sSubSupPr>
            <m:ctrlPr>
              <w:rPr>
                <w:rFonts w:ascii="Cambria Math" w:hAnsi="Cambria Math"/>
                <w:i/>
              </w:rPr>
            </m:ctrlPr>
          </m:sSubSupPr>
          <m:e>
            <m:r>
              <w:rPr>
                <w:rFonts w:ascii="Cambria Math" w:hAnsi="Cambria Math"/>
              </w:rPr>
              <m:t>k</m:t>
            </m:r>
          </m:e>
          <m:sub>
            <m:r>
              <w:rPr>
                <w:rFonts w:ascii="Cambria Math" w:hAnsi="Cambria Math"/>
              </w:rPr>
              <m:t>i</m:t>
            </m:r>
          </m:sub>
          <m:sup>
            <m:r>
              <w:rPr>
                <w:rFonts w:ascii="Cambria Math" w:hAnsi="Cambria Math"/>
              </w:rPr>
              <m:t>in</m:t>
            </m:r>
          </m:sup>
        </m:sSubSup>
        <m:r>
          <w:rPr>
            <w:rFonts w:ascii="Cambria Math" w:hAnsi="Cambria Math"/>
          </w:rPr>
          <m:t xml:space="preserve"> </m:t>
        </m:r>
      </m:oMath>
      <w:r>
        <w:rPr>
          <w:rFonts w:eastAsiaTheme="minorEastAsia"/>
        </w:rPr>
        <w:t xml:space="preserve">is the indegree of </w:t>
      </w:r>
      <m:oMath>
        <m:r>
          <w:rPr>
            <w:rFonts w:ascii="Cambria Math" w:eastAsiaTheme="minorEastAsia" w:hAnsi="Cambria Math"/>
          </w:rPr>
          <m:t>i</m:t>
        </m:r>
      </m:oMath>
      <w:r>
        <w:rPr>
          <w:rFonts w:eastAsiaTheme="minorEastAsia"/>
        </w:rPr>
        <w:t xml:space="preserve">, </w:t>
      </w:r>
      <m:oMath>
        <m:sSubSup>
          <m:sSubSupPr>
            <m:ctrlPr>
              <w:rPr>
                <w:rFonts w:ascii="Cambria Math" w:hAnsi="Cambria Math"/>
                <w:i/>
              </w:rPr>
            </m:ctrlPr>
          </m:sSubSupPr>
          <m:e>
            <m:r>
              <w:rPr>
                <w:rFonts w:ascii="Cambria Math" w:hAnsi="Cambria Math"/>
              </w:rPr>
              <m:t>k</m:t>
            </m:r>
          </m:e>
          <m:sub>
            <m:r>
              <w:rPr>
                <w:rFonts w:ascii="Cambria Math" w:hAnsi="Cambria Math"/>
              </w:rPr>
              <m:t>j</m:t>
            </m:r>
          </m:sub>
          <m:sup>
            <m:r>
              <w:rPr>
                <w:rFonts w:ascii="Cambria Math" w:hAnsi="Cambria Math"/>
              </w:rPr>
              <m:t>out</m:t>
            </m:r>
          </m:sup>
        </m:sSubSup>
      </m:oMath>
      <w:r>
        <w:rPr>
          <w:rFonts w:eastAsiaTheme="minorEastAsia"/>
        </w:rPr>
        <w:t xml:space="preserve"> is the outdegree of </w:t>
      </w:r>
      <m:oMath>
        <m:r>
          <w:rPr>
            <w:rFonts w:ascii="Cambria Math" w:eastAsiaTheme="minorEastAsia" w:hAnsi="Cambria Math"/>
          </w:rPr>
          <m:t>j</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oMath>
      <w:r>
        <w:rPr>
          <w:rFonts w:eastAsiaTheme="minorEastAsia"/>
        </w:rPr>
        <w:t xml:space="preserve"> is the module of </w:t>
      </w:r>
      <m:oMath>
        <m:r>
          <w:rPr>
            <w:rFonts w:ascii="Cambria Math" w:eastAsiaTheme="minorEastAsia" w:hAnsi="Cambria Math"/>
          </w:rPr>
          <m:t>i</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j</m:t>
            </m:r>
          </m:sub>
        </m:sSub>
      </m:oMath>
      <w:r>
        <w:rPr>
          <w:rFonts w:eastAsiaTheme="minorEastAsia"/>
        </w:rPr>
        <w:t xml:space="preserve"> is the module of </w:t>
      </w:r>
      <m:oMath>
        <m:r>
          <w:rPr>
            <w:rFonts w:ascii="Cambria Math" w:eastAsiaTheme="minorEastAsia" w:hAnsi="Cambria Math"/>
          </w:rPr>
          <m:t>j</m:t>
        </m:r>
      </m:oMath>
      <w:r>
        <w:rPr>
          <w:rFonts w:eastAsiaTheme="minorEastAsia"/>
        </w:rPr>
        <w:t xml:space="preserve"> and </w:t>
      </w:r>
      <m:oMath>
        <m:r>
          <m:rPr>
            <m:sty m:val="p"/>
          </m:rPr>
          <w:rPr>
            <w:rFonts w:ascii="Cambria Math" w:eastAsiaTheme="minorEastAsia" w:hAnsi="Cambria Math"/>
          </w:rPr>
          <m:t>δ</m:t>
        </m:r>
      </m:oMath>
      <w:r>
        <w:rPr>
          <w:rFonts w:eastAsiaTheme="minorEastAsia"/>
        </w:rPr>
        <w:t xml:space="preserve"> is the Kronecker delta </w:t>
      </w:r>
      <w:r>
        <w:rPr>
          <w:rFonts w:eastAsiaTheme="minorEastAsia"/>
        </w:rPr>
        <w:fldChar w:fldCharType="begin" w:fldLock="1"/>
      </w:r>
      <w:r>
        <w:rPr>
          <w:rFonts w:eastAsiaTheme="minorEastAsia"/>
        </w:rPr>
        <w:instrText>ADDIN CSL_CITATION {"citationItems":[{"id":"ITEM-1","itemData":{"abstract":"Indefinite summation, together with a generalized version of the Kronecker\\ndelta, provide a calculus for reasoning about various polynomial\\nfunctions that arise in combinatorics, such as the Tutte, chromatic,\\nflow, and reliability polynomials. In this paper we develop the algebraic\\nproperties of the indefinite summation operator and the generalized\\nKronecker delta from an axiomatic viewpoint. Our main result is that\\nthe axioms are equationally complete; that is, all equations that\\nhold under the intended interpretations are derivable in the calculus.","author":[{"dropping-particle":"","family":"Kozen","given":"Dexter","non-dropping-particle":"","parse-names":false,"suffix":""},{"dropping-particle":"","family":"Timme","given":"Marc","non-dropping-particle":"","parse-names":false,"suffix":""}],"container-title":"ecommons.cornell.edu","id":"ITEM-1","issued":{"date-parts":[["2007"]]},"title":"Indefinite summation and the Kronecker delta","type":"article-journal"},"uris":["http://www.mendeley.com/documents/?uuid=d6ab54e4-4399-4aaa-8f14-dfaa4011e3e0"]}],"mendeley":{"formattedCitation":"(Kozen &amp; Timme, 2007)","plainTextFormattedCitation":"(Kozen &amp; Timme, 2007)","previouslyFormattedCitation":"(Kozen &amp; Timme, 2007)"},"properties":{"noteIndex":0},"schema":"https://github.com/citation-style-language/schema/raw/master/csl-citation.json"}</w:instrText>
      </w:r>
      <w:r>
        <w:rPr>
          <w:rFonts w:eastAsiaTheme="minorEastAsia"/>
        </w:rPr>
        <w:fldChar w:fldCharType="separate"/>
      </w:r>
      <w:r w:rsidRPr="001F6F6E">
        <w:rPr>
          <w:rFonts w:eastAsiaTheme="minorEastAsia"/>
          <w:noProof/>
        </w:rPr>
        <w:t>(Kozen &amp; Timme, 2007)</w:t>
      </w:r>
      <w:r>
        <w:rPr>
          <w:rFonts w:eastAsiaTheme="minorEastAsia"/>
        </w:rPr>
        <w:fldChar w:fldCharType="end"/>
      </w:r>
      <w:r>
        <w:rPr>
          <w:rFonts w:eastAsiaTheme="minorEastAsia"/>
        </w:rPr>
        <w:t>.</w:t>
      </w:r>
    </w:p>
    <w:p w14:paraId="5334E4BD" w14:textId="64CE3751" w:rsidR="003947A8" w:rsidRDefault="003947A8" w:rsidP="006E65F2">
      <w:pPr>
        <w:spacing w:line="480" w:lineRule="auto"/>
        <w:ind w:firstLine="720"/>
      </w:pPr>
      <w:r w:rsidRPr="00DF115F">
        <w:t xml:space="preserve">The number and composition of the modules were found by using the Leiden algorithm of </w:t>
      </w:r>
      <w:r>
        <w:fldChar w:fldCharType="begin" w:fldLock="1"/>
      </w:r>
      <w:r>
        <w:instrText>ADDIN CSL_CITATION {"citationItems":[{"id":"ITEM-1","itemData":{"DOI":"10.1038/s41598-019-41695-z","ISSN":"20452322","PMID":"30914743","abstract":"Community detection is often used to understand the structure of large and complex networks. One of the most popular algorithms for uncovering community structure is the so-called Louvain algorithm. We show that this algorithm has a major defect that largely went unnoticed until now: the Louvain algorithm may yield arbitrarily badly connected communities. In the worst case, communities may even be disconnected, especially when running the algorithm iteratively. In our experimental analysis, we observe that up to 25% of the communities are badly connected and up to 16% are disconnected. To address this problem, we introduce the Leiden algorithm. We prove that the Leiden algorithm yields communities that are guaranteed to be connected. In addition, we prove that, when the Leiden algorithm is applied iteratively, it converges to a partition in which all subsets of all communities are locally optimally assigned. Furthermore, by relying on a fast local move approach, the Leiden algorithm runs faster than the Louvain algorithm. We demonstrate the performance of the Leiden algorithm for several benchmark and real-world networks. We find that the Leiden algorithm is faster than the Louvain algorithm and uncovers better partitions, in addition to providing explicit guarantees.","author":[{"dropping-particle":"","family":"Traag","given":"V. A.","non-dropping-particle":"","parse-names":false,"suffix":""},{"dropping-particle":"","family":"Waltman","given":"L.","non-dropping-particle":"","parse-names":false,"suffix":""},{"dropping-particle":"","family":"Eck","given":"N. J.","non-dropping-particle":"van","parse-names":false,"suffix":""}],"container-title":"Scientific Reports","id":"ITEM-1","issue":"1","issued":{"date-parts":[["2019"]]},"page":"1-12","title":"From Louvain to Leiden: guaranteeing well-connected communities","type":"article-journal","volume":"9"},"uris":["http://www.mendeley.com/documents/?uuid=3bdbe033-f4a8-47a6-8676-4e77345e5ac4"]}],"mendeley":{"formattedCitation":"(Traag, Waltman, &amp; van Eck, 2019)","manualFormatting":"Traag, Waltman, &amp; van Eck (2019)","plainTextFormattedCitation":"(Traag, Waltman, &amp; van Eck, 2019)","previouslyFormattedCitation":"(Traag, Waltman, &amp; van Eck, 2019)"},"properties":{"noteIndex":0},"schema":"https://github.com/citation-style-language/schema/raw/master/csl-citation.json"}</w:instrText>
      </w:r>
      <w:r>
        <w:fldChar w:fldCharType="separate"/>
      </w:r>
      <w:r w:rsidRPr="005B5F04">
        <w:rPr>
          <w:noProof/>
        </w:rPr>
        <w:t xml:space="preserve">Traag, Waltman, &amp; van Eck </w:t>
      </w:r>
      <w:r>
        <w:rPr>
          <w:noProof/>
        </w:rPr>
        <w:t>(</w:t>
      </w:r>
      <w:r w:rsidRPr="005B5F04">
        <w:rPr>
          <w:noProof/>
        </w:rPr>
        <w:t>2019)</w:t>
      </w:r>
      <w:r>
        <w:fldChar w:fldCharType="end"/>
      </w:r>
      <w:r w:rsidRPr="00DF115F">
        <w:t xml:space="preserve">. This algorithm is an extension of the Louvain algorithm </w:t>
      </w:r>
      <w:r>
        <w:fldChar w:fldCharType="begin" w:fldLock="1"/>
      </w:r>
      <w:r>
        <w:instrText>ADDIN CSL_CITATION {"citationItems":[{"id":"ITEM-1","itemData":{"DOI":"10.1088/1742-5468/2008/10/P10008","ISSN":"17425468","abstract":"We propose a simple method to extract the community structure of large networks. Our method is a heuristic method that is based on modularity optimization. It is shown to outperform all other known community detection methods in terms of computation time. Moreover, the quality of the communities detected is very good, as measured by the so-called modularity. This is shown first by identifying language communities in a Belgian mobile phone network of 2 million customers and by analysing a web graph of 118 million nodes and more than one billion links. The accuracy of our algorithm is also verified on ad hoc modular networks. © 2008 IOP Publishing Ltd.","author":[{"dropping-particle":"","family":"Blondel","given":"Vincent D.","non-dropping-particle":"","parse-names":false,"suffix":""},{"dropping-particle":"","family":"Guillaume","given":"Jean Loup","non-dropping-particle":"","parse-names":false,"suffix":""},{"dropping-particle":"","family":"Lambiotte","given":"Renaud","non-dropping-particle":"","parse-names":false,"suffix":""},{"dropping-particle":"","family":"Lefebvre","given":"Etienne","non-dropping-particle":"","parse-names":false,"suffix":""}],"container-title":"Journal of Statistical Mechanics: Theory and Experiment","id":"ITEM-1","issued":{"date-parts":[["2008"]]},"title":"Fast unfolding of communities in large networks","type":"article-journal","volume":"10"},"uris":["http://www.mendeley.com/documents/?uuid=1ca81a64-959e-408b-9956-7734c97fb4e9"]}],"mendeley":{"formattedCitation":"(Blondel, Guillaume, Lambiotte, &amp; Lefebvre, 2008)","plainTextFormattedCitation":"(Blondel, Guillaume, Lambiotte, &amp; Lefebvre, 2008)","previouslyFormattedCitation":"(Blondel, Guillaume, Lambiotte, &amp; Lefebvre, 2008)"},"properties":{"noteIndex":0},"schema":"https://github.com/citation-style-language/schema/raw/master/csl-citation.json"}</w:instrText>
      </w:r>
      <w:r>
        <w:fldChar w:fldCharType="separate"/>
      </w:r>
      <w:r w:rsidRPr="005B5F04">
        <w:rPr>
          <w:noProof/>
        </w:rPr>
        <w:t>(Blondel, Guillaume, Lambiotte, &amp; Lefebvre, 2008)</w:t>
      </w:r>
      <w:r>
        <w:fldChar w:fldCharType="end"/>
      </w:r>
      <w:r w:rsidRPr="00DF115F">
        <w:t xml:space="preserve">. The latter is one of the best performing and fastest for community detection </w:t>
      </w:r>
      <w:r>
        <w:fldChar w:fldCharType="begin" w:fldLock="1"/>
      </w:r>
      <w:r>
        <w:instrText>ADDIN CSL_CITATION {"citationItems":[{"id":"ITEM-1","itemData":{"DOI":"10.1038/s41598-019-41695-z","ISSN":"20452322","PMID":"30914743","abstract":"Community detection is often used to understand the structure of large and complex networks. One of the most popular algorithms for uncovering community structure is the so-called Louvain algorithm. We show that this algorithm has a major defect that largely went unnoticed until now: the Louvain algorithm may yield arbitrarily badly connected communities. In the worst case, communities may even be disconnected, especially when running the algorithm iteratively. In our experimental analysis, we observe that up to 25% of the communities are badly connected and up to 16% are disconnected. To address this problem, we introduce the Leiden algorithm. We prove that the Leiden algorithm yields communities that are guaranteed to be connected. In addition, we prove that, when the Leiden algorithm is applied iteratively, it converges to a partition in which all subsets of all communities are locally optimally assigned. Furthermore, by relying on a fast local move approach, the Leiden algorithm runs faster than the Louvain algorithm. We demonstrate the performance of the Leiden algorithm for several benchmark and real-world networks. We find that the Leiden algorithm is faster than the Louvain algorithm and uncovers better partitions, in addition to providing explicit guarantees.","author":[{"dropping-particle":"","family":"Traag","given":"V. A.","non-dropping-particle":"","parse-names":false,"suffix":""},{"dropping-particle":"","family":"Waltman","given":"L.","non-dropping-particle":"","parse-names":false,"suffix":""},{"dropping-particle":"","family":"Eck","given":"N. J.","non-dropping-particle":"van","parse-names":false,"suffix":""}],"container-title":"Scientific Reports","id":"ITEM-1","issue":"1","issued":{"date-parts":[["2019"]]},"page":"1-12","title":"From Louvain to Leiden: guaranteeing well-connected communities","type":"article-journal","volume":"9"},"uris":["http://www.mendeley.com/documents/?uuid=3bdbe033-f4a8-47a6-8676-4e77345e5ac4"]}],"mendeley":{"formattedCitation":"(Traag et al., 2019)","plainTextFormattedCitation":"(Traag et al., 2019)","previouslyFormattedCitation":"(Traag et al., 2019)"},"properties":{"noteIndex":0},"schema":"https://github.com/citation-style-language/schema/raw/master/csl-citation.json"}</w:instrText>
      </w:r>
      <w:r>
        <w:fldChar w:fldCharType="separate"/>
      </w:r>
      <w:r w:rsidRPr="005B5F04">
        <w:rPr>
          <w:noProof/>
        </w:rPr>
        <w:t>(Traag et al., 2019)</w:t>
      </w:r>
      <w:r>
        <w:fldChar w:fldCharType="end"/>
      </w:r>
      <w:r w:rsidRPr="00DF115F">
        <w:t xml:space="preserve">. However, it tends to produce communities that are arbitrarily poorly connected </w:t>
      </w:r>
      <w:r>
        <w:t>to</w:t>
      </w:r>
      <w:r w:rsidRPr="00DF115F">
        <w:t xml:space="preserve"> each other and sometimes even disconnected. The Leiden algorithm not only solves this problem by producing </w:t>
      </w:r>
      <w:r>
        <w:t>better connected</w:t>
      </w:r>
      <w:r w:rsidRPr="00DF115F">
        <w:t xml:space="preserve"> communities, but it is also faster. The code that we used was </w:t>
      </w:r>
      <w:r w:rsidRPr="001E2F59">
        <w:t xml:space="preserve">implemented in the igraph package </w:t>
      </w:r>
      <w:r w:rsidRPr="001E2F59">
        <w:fldChar w:fldCharType="begin" w:fldLock="1"/>
      </w:r>
      <w:r w:rsidRPr="001E2F59">
        <w:instrText>ADDIN CSL_CITATION {"citationItems":[{"id":"ITEM-1","itemData":{"PMID":"1420","abstract":"The igraph software package provides handy tools for researchers in network science. It is an open source portable library capable of handling huge graphs with millions of vertices and edges and it is also suitable to grid computing. It contains routines for creating, manipulating and visualizing networks, calculating various structural properties, importing from and exporting to various file formats and many more. Via its interfaces to high-level languages like GNU R and Python it supports rapid development and fast prototyping.","author":[{"dropping-particle":"","family":"Csardi","given":"Gabor","non-dropping-particle":"","parse-names":false,"suffix":""},{"dropping-particle":"","family":"Nepusz","given":"Tamas","non-dropping-particle":"","parse-names":false,"suffix":""}],"container-title":"InterJournal Complex Systems","id":"ITEM-1","issued":{"date-parts":[["2006"]]},"title":"The igraph software package for complex network research","type":"article-journal"},"uris":["http://www.mendeley.com/documents/?uuid=9e428223-300d-4596-8f06-e201c32f740d"]}],"mendeley":{"formattedCitation":"(Csardi &amp; Nepusz, 2006)","plainTextFormattedCitation":"(Csardi &amp; Nepusz, 2006)","previouslyFormattedCitation":"(Csardi &amp; Nepusz, 2006)"},"properties":{"noteIndex":0},"schema":"https://github.com/citation-style-language/schema/raw/master/csl-citation.json"}</w:instrText>
      </w:r>
      <w:r w:rsidRPr="001E2F59">
        <w:fldChar w:fldCharType="separate"/>
      </w:r>
      <w:r w:rsidRPr="001E2F59">
        <w:rPr>
          <w:noProof/>
        </w:rPr>
        <w:t>(Csardi &amp; Nepusz, 2006)</w:t>
      </w:r>
      <w:r w:rsidRPr="001E2F59">
        <w:fldChar w:fldCharType="end"/>
      </w:r>
      <w:r w:rsidRPr="001E2F59">
        <w:t xml:space="preserve"> for the statistical software R </w:t>
      </w:r>
      <w:r w:rsidRPr="001E2F59">
        <w:fldChar w:fldCharType="begin" w:fldLock="1"/>
      </w:r>
      <w:r w:rsidRPr="001E2F59">
        <w:instrText>ADDIN CSL_CITATION {"citationItems":[{"id":"ITEM-1","itemData":{"DOI":"10.1007/978-3-540-74686-7","ISBN":"3900051070","ISSN":"16000706","author":[{"dropping-particle":"","family":"R Development Core Team","given":"","non-dropping-particle":"","parse-names":false,"suffix":""}],"id":"ITEM-1","issued":{"date-parts":[["2013"]]},"number":"3.6.3","title":"R: A Language and Environment for Statistical Computing","type":"article"},"uris":["http://www.mendeley.com/documents/?uuid=28974f92-c0cf-46ca-81ed-9f5607bd56c0"]}],"mendeley":{"formattedCitation":"(R Development Core Team, 2013)","plainTextFormattedCitation":"(R Development Core Team, 2013)","previouslyFormattedCitation":"(R Development Core Team, 2013)"},"properties":{"noteIndex":0},"schema":"https://github.com/citation-style-language/schema/raw/master/csl-citation.json"}</w:instrText>
      </w:r>
      <w:r w:rsidRPr="001E2F59">
        <w:fldChar w:fldCharType="separate"/>
      </w:r>
      <w:r w:rsidRPr="001E2F59">
        <w:rPr>
          <w:noProof/>
        </w:rPr>
        <w:t>(R Development Core Team, 2013)</w:t>
      </w:r>
      <w:r w:rsidRPr="001E2F59">
        <w:fldChar w:fldCharType="end"/>
      </w:r>
      <w:r w:rsidRPr="001E2F59">
        <w:t>.</w:t>
      </w:r>
    </w:p>
    <w:p w14:paraId="562D0FCB" w14:textId="77777777" w:rsidR="001E2F59" w:rsidRPr="001E2F59" w:rsidRDefault="001E2F59" w:rsidP="006E65F2">
      <w:pPr>
        <w:spacing w:line="480" w:lineRule="auto"/>
        <w:ind w:firstLine="720"/>
        <w:rPr>
          <w:rFonts w:eastAsiaTheme="minorEastAsia"/>
        </w:rPr>
      </w:pPr>
    </w:p>
    <w:p w14:paraId="2F3806DF" w14:textId="77777777" w:rsidR="003947A8" w:rsidRPr="00F95949" w:rsidRDefault="003947A8" w:rsidP="006E65F2">
      <w:pPr>
        <w:pStyle w:val="Heading3"/>
        <w:spacing w:before="0" w:beforeAutospacing="0" w:after="0" w:afterAutospacing="0" w:line="480" w:lineRule="auto"/>
        <w:rPr>
          <w:b w:val="0"/>
          <w:i/>
          <w:sz w:val="24"/>
          <w:szCs w:val="24"/>
        </w:rPr>
      </w:pPr>
      <w:r w:rsidRPr="00F95949">
        <w:rPr>
          <w:b w:val="0"/>
          <w:i/>
          <w:sz w:val="24"/>
          <w:szCs w:val="24"/>
        </w:rPr>
        <w:lastRenderedPageBreak/>
        <w:t xml:space="preserve">Clustering of prey-based and predator-based modules </w:t>
      </w:r>
    </w:p>
    <w:p w14:paraId="03878FF0" w14:textId="77777777" w:rsidR="001E2F59" w:rsidRDefault="001E2F59" w:rsidP="006E65F2">
      <w:pPr>
        <w:spacing w:line="480" w:lineRule="auto"/>
      </w:pPr>
    </w:p>
    <w:p w14:paraId="136C552F" w14:textId="65A869CA" w:rsidR="003947A8" w:rsidRDefault="003947A8" w:rsidP="006E65F2">
      <w:pPr>
        <w:spacing w:line="480" w:lineRule="auto"/>
      </w:pPr>
      <w:r w:rsidRPr="001E2F59">
        <w:t>As the fourth and fifth clustering methods, we clustered the nodes of every module that was found by maximising the prey modularity and the predator modularity of the food</w:t>
      </w:r>
      <w:r>
        <w:t xml:space="preserve"> web, as in </w:t>
      </w:r>
      <w:r>
        <w:fldChar w:fldCharType="begin" w:fldLock="1"/>
      </w:r>
      <w:r>
        <w:instrText>ADDIN CSL_CITATION {"citationItems":[{"id":"ITEM-1","itemData":{"DOI":"10.1890/09-1175.1","ISSN":"0012-9658","author":[{"dropping-particle":"","family":"Guimerà","given":"R.","non-dropping-particle":"","parse-names":false,"suffix":""},{"dropping-particle":"","family":"Stouffer","given":"D. B.","non-dropping-particle":"","parse-names":false,"suffix":""},{"dropping-particle":"","family":"Sales-Pardo","given":"M.","non-dropping-particle":"","parse-names":false,"suffix":""},{"dropping-particle":"","family":"Leicht","given":"E. A.","non-dropping-particle":"","parse-names":false,"suffix":""},{"dropping-particle":"","family":"Newman","given":"M. E. J.","non-dropping-particle":"","parse-names":false,"suffix":""},{"dropping-particle":"","family":"Amaral","given":"L. A. N.","non-dropping-particle":"","parse-names":false,"suffix":""}],"container-title":"Ecology","id":"ITEM-1","issue":"10","issued":{"date-parts":[["2010"]]},"page":"2941-2951","title":"Origin of compartmentalization in food webs","type":"article-journal","volume":"91"},"uris":["http://www.mendeley.com/documents/?uuid=cf55ecbc-f061-4d12-9cf4-16d5e7ed3de3"]}],"mendeley":{"formattedCitation":"(R. Guimerà et al., 2010)","manualFormatting":"Guimerà et al. (2010)","plainTextFormattedCitation":"(R. Guimerà et al., 2010)","previouslyFormattedCitation":"(R. Guimerà et al., 2010)"},"properties":{"noteIndex":0},"schema":"https://github.com/citation-style-language/schema/raw/master/csl-citation.json"}</w:instrText>
      </w:r>
      <w:r>
        <w:fldChar w:fldCharType="separate"/>
      </w:r>
      <w:r w:rsidRPr="00273A2D">
        <w:rPr>
          <w:noProof/>
        </w:rPr>
        <w:t xml:space="preserve">Guimerà et al. </w:t>
      </w:r>
      <w:r>
        <w:rPr>
          <w:noProof/>
        </w:rPr>
        <w:t>(</w:t>
      </w:r>
      <w:r w:rsidRPr="00273A2D">
        <w:rPr>
          <w:noProof/>
        </w:rPr>
        <w:t>2010)</w:t>
      </w:r>
      <w:r>
        <w:fldChar w:fldCharType="end"/>
      </w:r>
      <w:r>
        <w:t xml:space="preserve">. In this case, the modularity of the food web is expressed as to how much different nodes connect to the same predators (for prey modularity) or preys (for predator modularity) than expected by chance. </w:t>
      </w:r>
      <w:r w:rsidRPr="34EA1DDB">
        <w:t xml:space="preserve">Mathematically, it can be expressed by the following equation </w:t>
      </w:r>
      <w:r>
        <w:fldChar w:fldCharType="begin" w:fldLock="1"/>
      </w:r>
      <w:r>
        <w:instrText>ADDIN CSL_CITATION {"citationItems":[{"id":"ITEM-1","itemData":{"DOI":"10.1103/PhysRevE.76.036102","ISSN":"15393755","abstract":"Modularity is one of the most prominent properties of real-world complex networks. Here, we address the issue of module identification in two important classes of networks: bipartite networks and directed unipartite networks. Nodes in bipartite networks are divided into two nonoverlapping sets, and the links must have one end node from each set. Directed unipartite networks only have one type of node, but links have an origin and an end. We show that directed unipartite networks can be conveniently represented as bipartite networks for module identification purposes. We report on an approach especially suited for module detection in bipartite networks, and we define a set of random networks that enable us to validate the approach. © 2007 The American Physical Society.","author":[{"dropping-particle":"","family":"Guimerà","given":"Roger","non-dropping-particle":"","parse-names":false,"suffix":""},{"dropping-particle":"","family":"Sales-Pardo","given":"Marta","non-dropping-particle":"","parse-names":false,"suffix":""},{"dropping-particle":"","family":"Amaral","given":"Luís A.Nunes","non-dropping-particle":"","parse-names":false,"suffix":""}],"container-title":"Physical Review E - Statistical, Nonlinear, and Soft Matter Physics","id":"ITEM-1","issue":"3","issued":{"date-parts":[["2007"]]},"page":"1-8","title":"Module identification in bipartite and directed networks","type":"article-journal","volume":"76"},"uris":["http://www.mendeley.com/documents/?uuid=74899370-1b60-49a8-a501-54385d570ff9"]}],"mendeley":{"formattedCitation":"(Roger Guimerà, Sales-Pardo, &amp; Amaral, 2007)","plainTextFormattedCitation":"(Roger Guimerà, Sales-Pardo, &amp; Amaral, 2007)","previouslyFormattedCitation":"(Roger Guimerà, Sales-Pardo, &amp; Amaral, 2007)"},"properties":{"noteIndex":0},"schema":"https://github.com/citation-style-language/schema/raw/master/csl-citation.json"}</w:instrText>
      </w:r>
      <w:r>
        <w:fldChar w:fldCharType="separate"/>
      </w:r>
      <w:r w:rsidRPr="00273A2D">
        <w:rPr>
          <w:noProof/>
        </w:rPr>
        <w:t>(Roger Guimerà, Sales-Pardo, &amp; Amaral, 2007)</w:t>
      </w:r>
      <w:r>
        <w:fldChar w:fldCharType="end"/>
      </w:r>
      <w:r>
        <w:t xml:space="preserve"> for prey modularity</w:t>
      </w:r>
    </w:p>
    <w:p w14:paraId="08EF4726" w14:textId="77777777" w:rsidR="00D553F7" w:rsidRDefault="00D553F7" w:rsidP="006E65F2">
      <w:pPr>
        <w:spacing w:line="480" w:lineRule="auto"/>
      </w:pPr>
    </w:p>
    <w:p w14:paraId="3E0C9A15" w14:textId="5E6BDE59" w:rsidR="003947A8" w:rsidRPr="006572D1" w:rsidRDefault="003947A8" w:rsidP="006E65F2">
      <w:pPr>
        <w:spacing w:line="480" w:lineRule="auto"/>
        <w:jc w:val="center"/>
        <w:rPr>
          <w:rFonts w:eastAsiaTheme="minorEastAsia"/>
        </w:rPr>
      </w:pPr>
      <m:oMath>
        <m:r>
          <w:rPr>
            <w:rFonts w:ascii="Cambria Math" w:eastAsiaTheme="minorEastAsia" w:hAnsi="Cambria Math"/>
          </w:rPr>
          <m:t>Q=</m:t>
        </m:r>
        <m:nary>
          <m:naryPr>
            <m:chr m:val="∑"/>
            <m:supHide m:val="1"/>
            <m:ctrlPr>
              <w:rPr>
                <w:rFonts w:ascii="Cambria Math" w:eastAsiaTheme="minorEastAsia" w:hAnsi="Cambria Math"/>
              </w:rPr>
            </m:ctrlPr>
          </m:naryPr>
          <m:sub>
            <m:r>
              <w:rPr>
                <w:rFonts w:ascii="Cambria Math" w:eastAsiaTheme="minorEastAsia" w:hAnsi="Cambria Math"/>
              </w:rPr>
              <m:t>ij</m:t>
            </m:r>
            <m:ctrlPr>
              <w:rPr>
                <w:rFonts w:ascii="Cambria Math" w:eastAsiaTheme="minorEastAsia" w:hAnsi="Cambria Math"/>
                <w:i/>
              </w:rPr>
            </m:ctrlPr>
          </m:sub>
          <m:sup>
            <m:ctrlPr>
              <w:rPr>
                <w:rFonts w:ascii="Cambria Math" w:eastAsiaTheme="minorEastAsia" w:hAnsi="Cambria Math"/>
                <w:i/>
              </w:rPr>
            </m:ctrlPr>
          </m:sup>
          <m:e>
            <m:d>
              <m:dPr>
                <m:begChr m:val="["/>
                <m:endChr m:val="]"/>
                <m:ctrlPr>
                  <w:rPr>
                    <w:rFonts w:ascii="Cambria Math" w:eastAsiaTheme="minorEastAsia" w:hAnsi="Cambria Math"/>
                  </w:rPr>
                </m:ctrlPr>
              </m:dPr>
              <m:e>
                <m:f>
                  <m:fPr>
                    <m:ctrlPr>
                      <w:rPr>
                        <w:rFonts w:ascii="Cambria Math" w:eastAsiaTheme="minorEastAsia" w:hAnsi="Cambria Math"/>
                      </w:rPr>
                    </m:ctrlPr>
                  </m:fPr>
                  <m:num>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ij</m:t>
                        </m:r>
                      </m:sub>
                      <m:sup>
                        <m:r>
                          <w:rPr>
                            <w:rFonts w:ascii="Cambria Math" w:eastAsiaTheme="minorEastAsia" w:hAnsi="Cambria Math"/>
                          </w:rPr>
                          <m:t>out</m:t>
                        </m:r>
                      </m:sup>
                    </m:sSubSup>
                    <m:ctrlPr>
                      <w:rPr>
                        <w:rFonts w:ascii="Cambria Math" w:eastAsiaTheme="minorEastAsia" w:hAnsi="Cambria Math"/>
                        <w:i/>
                      </w:rPr>
                    </m:ctrlPr>
                  </m:num>
                  <m:den>
                    <m:nary>
                      <m:naryPr>
                        <m:chr m:val="∑"/>
                        <m:supHide m:val="1"/>
                        <m:ctrlPr>
                          <w:rPr>
                            <w:rFonts w:ascii="Cambria Math" w:eastAsiaTheme="minorEastAsia" w:hAnsi="Cambria Math"/>
                          </w:rPr>
                        </m:ctrlPr>
                      </m:naryPr>
                      <m:sub>
                        <m:r>
                          <w:rPr>
                            <w:rFonts w:ascii="Cambria Math" w:eastAsiaTheme="minorEastAsia" w:hAnsi="Cambria Math"/>
                          </w:rPr>
                          <m:t>l</m:t>
                        </m:r>
                        <m:ctrlPr>
                          <w:rPr>
                            <w:rFonts w:ascii="Cambria Math" w:eastAsiaTheme="minorEastAsia" w:hAnsi="Cambria Math"/>
                            <w:i/>
                          </w:rPr>
                        </m:ctrlPr>
                      </m:sub>
                      <m:sup>
                        <m:ctrlPr>
                          <w:rPr>
                            <w:rFonts w:ascii="Cambria Math" w:eastAsiaTheme="minorEastAsia" w:hAnsi="Cambria Math"/>
                            <w:i/>
                          </w:rPr>
                        </m:ctrlPr>
                      </m:sup>
                      <m:e>
                        <m:sSubSup>
                          <m:sSubSupPr>
                            <m:ctrlPr>
                              <w:rPr>
                                <w:rFonts w:ascii="Cambria Math" w:eastAsiaTheme="minorEastAsia" w:hAnsi="Cambria Math"/>
                                <w:i/>
                              </w:rPr>
                            </m:ctrlPr>
                          </m:sSubSupPr>
                          <m:e>
                            <m:r>
                              <w:rPr>
                                <w:rFonts w:ascii="Cambria Math" w:eastAsiaTheme="minorEastAsia" w:hAnsi="Cambria Math"/>
                              </w:rPr>
                              <m:t>k</m:t>
                            </m:r>
                          </m:e>
                          <m:sub>
                            <m:r>
                              <w:rPr>
                                <w:rFonts w:ascii="Cambria Math" w:eastAsiaTheme="minorEastAsia" w:hAnsi="Cambria Math"/>
                              </w:rPr>
                              <m:t>l</m:t>
                            </m:r>
                          </m:sub>
                          <m:sup>
                            <m:r>
                              <w:rPr>
                                <w:rFonts w:ascii="Cambria Math" w:eastAsiaTheme="minorEastAsia" w:hAnsi="Cambria Math"/>
                              </w:rPr>
                              <m:t>in</m:t>
                            </m:r>
                          </m:sup>
                        </m:sSubSup>
                        <m:d>
                          <m:dPr>
                            <m:ctrlPr>
                              <w:rPr>
                                <w:rFonts w:ascii="Cambria Math" w:eastAsiaTheme="minorEastAsia" w:hAnsi="Cambria Math"/>
                              </w:rPr>
                            </m:ctrlPr>
                          </m:dPr>
                          <m:e>
                            <m:sSubSup>
                              <m:sSubSupPr>
                                <m:ctrlPr>
                                  <w:rPr>
                                    <w:rFonts w:ascii="Cambria Math" w:eastAsiaTheme="minorEastAsia" w:hAnsi="Cambria Math"/>
                                    <w:i/>
                                  </w:rPr>
                                </m:ctrlPr>
                              </m:sSubSupPr>
                              <m:e>
                                <m:r>
                                  <w:rPr>
                                    <w:rFonts w:ascii="Cambria Math" w:eastAsiaTheme="minorEastAsia" w:hAnsi="Cambria Math"/>
                                  </w:rPr>
                                  <m:t>k</m:t>
                                </m:r>
                                <m:ctrlPr>
                                  <w:rPr>
                                    <w:rFonts w:ascii="Cambria Math" w:eastAsiaTheme="minorEastAsia" w:hAnsi="Cambria Math"/>
                                  </w:rPr>
                                </m:ctrlPr>
                              </m:e>
                              <m:sub>
                                <m:r>
                                  <w:rPr>
                                    <w:rFonts w:ascii="Cambria Math" w:eastAsiaTheme="minorEastAsia" w:hAnsi="Cambria Math"/>
                                  </w:rPr>
                                  <m:t>l</m:t>
                                </m:r>
                              </m:sub>
                              <m:sup>
                                <m:r>
                                  <w:rPr>
                                    <w:rFonts w:ascii="Cambria Math" w:eastAsiaTheme="minorEastAsia" w:hAnsi="Cambria Math"/>
                                  </w:rPr>
                                  <m:t>in</m:t>
                                </m:r>
                              </m:sup>
                            </m:sSubSup>
                            <m:r>
                              <w:rPr>
                                <w:rFonts w:ascii="Cambria Math" w:eastAsiaTheme="minorEastAsia" w:hAnsi="Cambria Math"/>
                              </w:rPr>
                              <m:t>-1</m:t>
                            </m:r>
                            <m:ctrlPr>
                              <w:rPr>
                                <w:rFonts w:ascii="Cambria Math" w:eastAsiaTheme="minorEastAsia" w:hAnsi="Cambria Math"/>
                                <w:i/>
                              </w:rPr>
                            </m:ctrlPr>
                          </m:e>
                        </m:d>
                        <m:ctrlPr>
                          <w:rPr>
                            <w:rFonts w:ascii="Cambria Math" w:eastAsiaTheme="minorEastAsia" w:hAnsi="Cambria Math"/>
                            <w:i/>
                          </w:rPr>
                        </m:ctrlPr>
                      </m:e>
                    </m:nary>
                    <m:ctrlPr>
                      <w:rPr>
                        <w:rFonts w:ascii="Cambria Math" w:eastAsiaTheme="minorEastAsia" w:hAnsi="Cambria Math"/>
                        <w:i/>
                      </w:rPr>
                    </m:ctrlPr>
                  </m:den>
                </m:f>
                <m:r>
                  <w:rPr>
                    <w:rFonts w:ascii="Cambria Math" w:eastAsiaTheme="minorEastAsia" w:hAnsi="Cambria Math"/>
                  </w:rPr>
                  <m:t>-</m:t>
                </m:r>
                <m:f>
                  <m:fPr>
                    <m:ctrlPr>
                      <w:rPr>
                        <w:rFonts w:ascii="Cambria Math" w:eastAsiaTheme="minorEastAsia" w:hAnsi="Cambria Math"/>
                      </w:rPr>
                    </m:ctrlPr>
                  </m:fPr>
                  <m:num>
                    <m:sSubSup>
                      <m:sSubSupPr>
                        <m:ctrlPr>
                          <w:rPr>
                            <w:rFonts w:ascii="Cambria Math" w:eastAsiaTheme="minorEastAsia" w:hAnsi="Cambria Math"/>
                            <w:i/>
                          </w:rPr>
                        </m:ctrlPr>
                      </m:sSubSupPr>
                      <m:e>
                        <m:r>
                          <w:rPr>
                            <w:rFonts w:ascii="Cambria Math" w:eastAsiaTheme="minorEastAsia" w:hAnsi="Cambria Math"/>
                          </w:rPr>
                          <m:t>k</m:t>
                        </m:r>
                      </m:e>
                      <m:sub>
                        <m:r>
                          <w:rPr>
                            <w:rFonts w:ascii="Cambria Math" w:eastAsiaTheme="minorEastAsia" w:hAnsi="Cambria Math"/>
                          </w:rPr>
                          <m:t>i</m:t>
                        </m:r>
                      </m:sub>
                      <m:sup>
                        <m:r>
                          <w:rPr>
                            <w:rFonts w:ascii="Cambria Math" w:eastAsiaTheme="minorEastAsia" w:hAnsi="Cambria Math"/>
                          </w:rPr>
                          <m:t>out</m:t>
                        </m:r>
                      </m:sup>
                    </m:sSubSup>
                    <m:sSubSup>
                      <m:sSubSupPr>
                        <m:ctrlPr>
                          <w:rPr>
                            <w:rFonts w:ascii="Cambria Math" w:eastAsiaTheme="minorEastAsia" w:hAnsi="Cambria Math"/>
                            <w:i/>
                          </w:rPr>
                        </m:ctrlPr>
                      </m:sSubSupPr>
                      <m:e>
                        <m:r>
                          <w:rPr>
                            <w:rFonts w:ascii="Cambria Math" w:eastAsiaTheme="minorEastAsia" w:hAnsi="Cambria Math"/>
                          </w:rPr>
                          <m:t>k</m:t>
                        </m:r>
                      </m:e>
                      <m:sub>
                        <m:r>
                          <w:rPr>
                            <w:rFonts w:ascii="Cambria Math" w:eastAsiaTheme="minorEastAsia" w:hAnsi="Cambria Math"/>
                          </w:rPr>
                          <m:t>j</m:t>
                        </m:r>
                      </m:sub>
                      <m:sup>
                        <m:r>
                          <w:rPr>
                            <w:rFonts w:ascii="Cambria Math" w:eastAsiaTheme="minorEastAsia" w:hAnsi="Cambria Math"/>
                          </w:rPr>
                          <m:t>out</m:t>
                        </m:r>
                      </m:sup>
                    </m:sSubSup>
                    <m:ctrlPr>
                      <w:rPr>
                        <w:rFonts w:ascii="Cambria Math" w:eastAsiaTheme="minorEastAsia" w:hAnsi="Cambria Math"/>
                        <w:i/>
                      </w:rPr>
                    </m:ctrlPr>
                  </m:num>
                  <m:den>
                    <m:sSup>
                      <m:sSupPr>
                        <m:ctrlPr>
                          <w:rPr>
                            <w:rFonts w:ascii="Cambria Math" w:eastAsiaTheme="minorEastAsia" w:hAnsi="Cambria Math"/>
                            <w:i/>
                          </w:rPr>
                        </m:ctrlPr>
                      </m:sSupPr>
                      <m:e>
                        <m:d>
                          <m:dPr>
                            <m:ctrlPr>
                              <w:rPr>
                                <w:rFonts w:ascii="Cambria Math" w:eastAsiaTheme="minorEastAsia" w:hAnsi="Cambria Math"/>
                              </w:rPr>
                            </m:ctrlPr>
                          </m:dPr>
                          <m:e>
                            <m:nary>
                              <m:naryPr>
                                <m:chr m:val="∑"/>
                                <m:supHide m:val="1"/>
                                <m:ctrlPr>
                                  <w:rPr>
                                    <w:rFonts w:ascii="Cambria Math" w:eastAsiaTheme="minorEastAsia" w:hAnsi="Cambria Math"/>
                                  </w:rPr>
                                </m:ctrlPr>
                              </m:naryPr>
                              <m:sub>
                                <m:r>
                                  <w:rPr>
                                    <w:rFonts w:ascii="Cambria Math" w:eastAsiaTheme="minorEastAsia" w:hAnsi="Cambria Math"/>
                                  </w:rPr>
                                  <m:t>l</m:t>
                                </m:r>
                                <m:ctrlPr>
                                  <w:rPr>
                                    <w:rFonts w:ascii="Cambria Math" w:eastAsiaTheme="minorEastAsia" w:hAnsi="Cambria Math"/>
                                    <w:i/>
                                  </w:rPr>
                                </m:ctrlPr>
                              </m:sub>
                              <m:sup>
                                <m:ctrlPr>
                                  <w:rPr>
                                    <w:rFonts w:ascii="Cambria Math" w:eastAsiaTheme="minorEastAsia" w:hAnsi="Cambria Math"/>
                                    <w:i/>
                                  </w:rPr>
                                </m:ctrlPr>
                              </m:sup>
                              <m:e>
                                <m:sSubSup>
                                  <m:sSubSupPr>
                                    <m:ctrlPr>
                                      <w:rPr>
                                        <w:rFonts w:ascii="Cambria Math" w:eastAsiaTheme="minorEastAsia" w:hAnsi="Cambria Math"/>
                                        <w:i/>
                                      </w:rPr>
                                    </m:ctrlPr>
                                  </m:sSubSupPr>
                                  <m:e>
                                    <m:r>
                                      <w:rPr>
                                        <w:rFonts w:ascii="Cambria Math" w:eastAsiaTheme="minorEastAsia" w:hAnsi="Cambria Math"/>
                                      </w:rPr>
                                      <m:t>k</m:t>
                                    </m:r>
                                  </m:e>
                                  <m:sub>
                                    <m:r>
                                      <w:rPr>
                                        <w:rFonts w:ascii="Cambria Math" w:eastAsiaTheme="minorEastAsia" w:hAnsi="Cambria Math"/>
                                      </w:rPr>
                                      <m:t>l</m:t>
                                    </m:r>
                                  </m:sub>
                                  <m:sup>
                                    <m:r>
                                      <w:rPr>
                                        <w:rFonts w:ascii="Cambria Math" w:eastAsiaTheme="minorEastAsia" w:hAnsi="Cambria Math"/>
                                      </w:rPr>
                                      <m:t>in</m:t>
                                    </m:r>
                                  </m:sup>
                                </m:sSubSup>
                                <m:ctrlPr>
                                  <w:rPr>
                                    <w:rFonts w:ascii="Cambria Math" w:eastAsiaTheme="minorEastAsia" w:hAnsi="Cambria Math"/>
                                    <w:i/>
                                  </w:rPr>
                                </m:ctrlPr>
                              </m:e>
                            </m:nary>
                            <m:ctrlPr>
                              <w:rPr>
                                <w:rFonts w:ascii="Cambria Math" w:eastAsiaTheme="minorEastAsia" w:hAnsi="Cambria Math"/>
                                <w:i/>
                              </w:rPr>
                            </m:ctrlPr>
                          </m:e>
                        </m:d>
                      </m:e>
                      <m:sup>
                        <m:r>
                          <w:rPr>
                            <w:rFonts w:ascii="Cambria Math" w:eastAsiaTheme="minorEastAsia" w:hAnsi="Cambria Math"/>
                          </w:rPr>
                          <m:t>2</m:t>
                        </m:r>
                      </m:sup>
                    </m:sSup>
                    <m:ctrlPr>
                      <w:rPr>
                        <w:rFonts w:ascii="Cambria Math" w:eastAsiaTheme="minorEastAsia" w:hAnsi="Cambria Math"/>
                        <w:i/>
                      </w:rPr>
                    </m:ctrlPr>
                  </m:den>
                </m:f>
                <m:ctrlPr>
                  <w:rPr>
                    <w:rFonts w:ascii="Cambria Math" w:eastAsiaTheme="minorEastAsia" w:hAnsi="Cambria Math"/>
                    <w:i/>
                  </w:rPr>
                </m:ctrlPr>
              </m:e>
            </m:d>
            <m:sSub>
              <m:sSubPr>
                <m:ctrlPr>
                  <w:rPr>
                    <w:rFonts w:ascii="Cambria Math" w:eastAsiaTheme="minorEastAsia" w:hAnsi="Cambria Math"/>
                    <w:i/>
                  </w:rPr>
                </m:ctrlPr>
              </m:sSubPr>
              <m:e>
                <m:r>
                  <m:rPr>
                    <m:sty m:val="p"/>
                  </m:rPr>
                  <w:rPr>
                    <w:rFonts w:ascii="Cambria Math" w:eastAsiaTheme="minorEastAsia" w:hAnsi="Cambria Math"/>
                  </w:rPr>
                  <m:t>δ</m:t>
                </m:r>
                <m:ctrlPr>
                  <w:rPr>
                    <w:rFonts w:ascii="Cambria Math" w:eastAsiaTheme="minorEastAsia" w:hAnsi="Cambria Math"/>
                  </w:rPr>
                </m:ctrlPr>
              </m:e>
              <m:sub>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j</m:t>
                    </m:r>
                  </m:sub>
                </m:sSub>
              </m:sub>
            </m:sSub>
            <m:ctrlPr>
              <w:rPr>
                <w:rFonts w:ascii="Cambria Math" w:eastAsiaTheme="minorEastAsia" w:hAnsi="Cambria Math"/>
                <w:i/>
              </w:rPr>
            </m:ctrlPr>
          </m:e>
        </m:nary>
      </m:oMath>
      <w:r w:rsidR="00CA4FB1">
        <w:rPr>
          <w:rFonts w:eastAsiaTheme="minorEastAsia"/>
        </w:rPr>
        <w:t xml:space="preserve"> </w:t>
      </w:r>
      <w:r w:rsidR="00CA4FB1">
        <w:t>(2)</w:t>
      </w:r>
    </w:p>
    <w:p w14:paraId="4F50545D" w14:textId="77777777" w:rsidR="00D553F7" w:rsidRDefault="00D553F7" w:rsidP="006E65F2">
      <w:pPr>
        <w:spacing w:line="480" w:lineRule="auto"/>
        <w:rPr>
          <w:rFonts w:eastAsiaTheme="minorEastAsia"/>
        </w:rPr>
      </w:pPr>
    </w:p>
    <w:p w14:paraId="047FDF57" w14:textId="5E32F074" w:rsidR="003947A8" w:rsidRDefault="003947A8" w:rsidP="006E65F2">
      <w:pPr>
        <w:spacing w:line="480" w:lineRule="auto"/>
        <w:rPr>
          <w:rFonts w:eastAsiaTheme="minorEastAsia"/>
        </w:rPr>
      </w:pPr>
      <w:r>
        <w:rPr>
          <w:rFonts w:eastAsiaTheme="minorEastAsia"/>
        </w:rPr>
        <w:t>or in the following one for predator modularity</w:t>
      </w:r>
    </w:p>
    <w:p w14:paraId="633F7DF6" w14:textId="77777777" w:rsidR="000C5C22" w:rsidRDefault="000C5C22" w:rsidP="006E65F2">
      <w:pPr>
        <w:spacing w:line="480" w:lineRule="auto"/>
        <w:rPr>
          <w:rFonts w:eastAsiaTheme="minorEastAsia"/>
        </w:rPr>
      </w:pPr>
    </w:p>
    <w:p w14:paraId="38A7B990" w14:textId="77A5C485" w:rsidR="003947A8" w:rsidRPr="006572D1" w:rsidRDefault="003947A8" w:rsidP="006E65F2">
      <w:pPr>
        <w:spacing w:line="480" w:lineRule="auto"/>
        <w:jc w:val="center"/>
        <w:rPr>
          <w:rFonts w:eastAsiaTheme="minorEastAsia"/>
        </w:rPr>
      </w:pPr>
      <m:oMath>
        <m:r>
          <w:rPr>
            <w:rFonts w:ascii="Cambria Math" w:eastAsiaTheme="minorEastAsia" w:hAnsi="Cambria Math"/>
          </w:rPr>
          <m:t>Q=</m:t>
        </m:r>
        <m:nary>
          <m:naryPr>
            <m:chr m:val="∑"/>
            <m:supHide m:val="1"/>
            <m:ctrlPr>
              <w:rPr>
                <w:rFonts w:ascii="Cambria Math" w:eastAsiaTheme="minorEastAsia" w:hAnsi="Cambria Math"/>
              </w:rPr>
            </m:ctrlPr>
          </m:naryPr>
          <m:sub>
            <m:r>
              <w:rPr>
                <w:rFonts w:ascii="Cambria Math" w:eastAsiaTheme="minorEastAsia" w:hAnsi="Cambria Math"/>
              </w:rPr>
              <m:t>ij</m:t>
            </m:r>
            <m:ctrlPr>
              <w:rPr>
                <w:rFonts w:ascii="Cambria Math" w:eastAsiaTheme="minorEastAsia" w:hAnsi="Cambria Math"/>
                <w:i/>
              </w:rPr>
            </m:ctrlPr>
          </m:sub>
          <m:sup>
            <m:ctrlPr>
              <w:rPr>
                <w:rFonts w:ascii="Cambria Math" w:eastAsiaTheme="minorEastAsia" w:hAnsi="Cambria Math"/>
                <w:i/>
              </w:rPr>
            </m:ctrlPr>
          </m:sup>
          <m:e>
            <m:d>
              <m:dPr>
                <m:begChr m:val="["/>
                <m:endChr m:val="]"/>
                <m:ctrlPr>
                  <w:rPr>
                    <w:rFonts w:ascii="Cambria Math" w:eastAsiaTheme="minorEastAsia" w:hAnsi="Cambria Math"/>
                  </w:rPr>
                </m:ctrlPr>
              </m:dPr>
              <m:e>
                <m:f>
                  <m:fPr>
                    <m:ctrlPr>
                      <w:rPr>
                        <w:rFonts w:ascii="Cambria Math" w:eastAsiaTheme="minorEastAsia" w:hAnsi="Cambria Math"/>
                      </w:rPr>
                    </m:ctrlPr>
                  </m:fPr>
                  <m:num>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ij</m:t>
                        </m:r>
                      </m:sub>
                      <m:sup>
                        <m:r>
                          <w:rPr>
                            <w:rFonts w:ascii="Cambria Math" w:eastAsiaTheme="minorEastAsia" w:hAnsi="Cambria Math"/>
                          </w:rPr>
                          <m:t>in</m:t>
                        </m:r>
                      </m:sup>
                    </m:sSubSup>
                    <m:ctrlPr>
                      <w:rPr>
                        <w:rFonts w:ascii="Cambria Math" w:eastAsiaTheme="minorEastAsia" w:hAnsi="Cambria Math"/>
                        <w:i/>
                      </w:rPr>
                    </m:ctrlPr>
                  </m:num>
                  <m:den>
                    <m:nary>
                      <m:naryPr>
                        <m:chr m:val="∑"/>
                        <m:supHide m:val="1"/>
                        <m:ctrlPr>
                          <w:rPr>
                            <w:rFonts w:ascii="Cambria Math" w:eastAsiaTheme="minorEastAsia" w:hAnsi="Cambria Math"/>
                          </w:rPr>
                        </m:ctrlPr>
                      </m:naryPr>
                      <m:sub>
                        <m:r>
                          <w:rPr>
                            <w:rFonts w:ascii="Cambria Math" w:eastAsiaTheme="minorEastAsia" w:hAnsi="Cambria Math"/>
                          </w:rPr>
                          <m:t>l</m:t>
                        </m:r>
                        <m:ctrlPr>
                          <w:rPr>
                            <w:rFonts w:ascii="Cambria Math" w:eastAsiaTheme="minorEastAsia" w:hAnsi="Cambria Math"/>
                            <w:i/>
                          </w:rPr>
                        </m:ctrlPr>
                      </m:sub>
                      <m:sup>
                        <m:ctrlPr>
                          <w:rPr>
                            <w:rFonts w:ascii="Cambria Math" w:eastAsiaTheme="minorEastAsia" w:hAnsi="Cambria Math"/>
                            <w:i/>
                          </w:rPr>
                        </m:ctrlPr>
                      </m:sup>
                      <m:e>
                        <m:sSubSup>
                          <m:sSubSupPr>
                            <m:ctrlPr>
                              <w:rPr>
                                <w:rFonts w:ascii="Cambria Math" w:eastAsiaTheme="minorEastAsia" w:hAnsi="Cambria Math"/>
                                <w:i/>
                              </w:rPr>
                            </m:ctrlPr>
                          </m:sSubSupPr>
                          <m:e>
                            <m:r>
                              <w:rPr>
                                <w:rFonts w:ascii="Cambria Math" w:eastAsiaTheme="minorEastAsia" w:hAnsi="Cambria Math"/>
                              </w:rPr>
                              <m:t>k</m:t>
                            </m:r>
                          </m:e>
                          <m:sub>
                            <m:r>
                              <w:rPr>
                                <w:rFonts w:ascii="Cambria Math" w:eastAsiaTheme="minorEastAsia" w:hAnsi="Cambria Math"/>
                              </w:rPr>
                              <m:t>l</m:t>
                            </m:r>
                          </m:sub>
                          <m:sup>
                            <m:r>
                              <w:rPr>
                                <w:rFonts w:ascii="Cambria Math" w:eastAsiaTheme="minorEastAsia" w:hAnsi="Cambria Math"/>
                              </w:rPr>
                              <m:t>out</m:t>
                            </m:r>
                          </m:sup>
                        </m:sSubSup>
                        <m:d>
                          <m:dPr>
                            <m:ctrlPr>
                              <w:rPr>
                                <w:rFonts w:ascii="Cambria Math" w:eastAsiaTheme="minorEastAsia" w:hAnsi="Cambria Math"/>
                              </w:rPr>
                            </m:ctrlPr>
                          </m:dPr>
                          <m:e>
                            <m:sSubSup>
                              <m:sSubSupPr>
                                <m:ctrlPr>
                                  <w:rPr>
                                    <w:rFonts w:ascii="Cambria Math" w:eastAsiaTheme="minorEastAsia" w:hAnsi="Cambria Math"/>
                                    <w:i/>
                                  </w:rPr>
                                </m:ctrlPr>
                              </m:sSubSupPr>
                              <m:e>
                                <m:r>
                                  <w:rPr>
                                    <w:rFonts w:ascii="Cambria Math" w:eastAsiaTheme="minorEastAsia" w:hAnsi="Cambria Math"/>
                                  </w:rPr>
                                  <m:t>k</m:t>
                                </m:r>
                                <m:ctrlPr>
                                  <w:rPr>
                                    <w:rFonts w:ascii="Cambria Math" w:eastAsiaTheme="minorEastAsia" w:hAnsi="Cambria Math"/>
                                  </w:rPr>
                                </m:ctrlPr>
                              </m:e>
                              <m:sub>
                                <m:r>
                                  <w:rPr>
                                    <w:rFonts w:ascii="Cambria Math" w:eastAsiaTheme="minorEastAsia" w:hAnsi="Cambria Math"/>
                                  </w:rPr>
                                  <m:t>l</m:t>
                                </m:r>
                              </m:sub>
                              <m:sup>
                                <m:r>
                                  <w:rPr>
                                    <w:rFonts w:ascii="Cambria Math" w:eastAsiaTheme="minorEastAsia" w:hAnsi="Cambria Math"/>
                                  </w:rPr>
                                  <m:t>out</m:t>
                                </m:r>
                              </m:sup>
                            </m:sSubSup>
                            <m:r>
                              <w:rPr>
                                <w:rFonts w:ascii="Cambria Math" w:eastAsiaTheme="minorEastAsia" w:hAnsi="Cambria Math"/>
                              </w:rPr>
                              <m:t>-1</m:t>
                            </m:r>
                            <m:ctrlPr>
                              <w:rPr>
                                <w:rFonts w:ascii="Cambria Math" w:eastAsiaTheme="minorEastAsia" w:hAnsi="Cambria Math"/>
                                <w:i/>
                              </w:rPr>
                            </m:ctrlPr>
                          </m:e>
                        </m:d>
                        <m:ctrlPr>
                          <w:rPr>
                            <w:rFonts w:ascii="Cambria Math" w:eastAsiaTheme="minorEastAsia" w:hAnsi="Cambria Math"/>
                            <w:i/>
                          </w:rPr>
                        </m:ctrlPr>
                      </m:e>
                    </m:nary>
                    <m:ctrlPr>
                      <w:rPr>
                        <w:rFonts w:ascii="Cambria Math" w:eastAsiaTheme="minorEastAsia" w:hAnsi="Cambria Math"/>
                        <w:i/>
                      </w:rPr>
                    </m:ctrlPr>
                  </m:den>
                </m:f>
                <m:r>
                  <w:rPr>
                    <w:rFonts w:ascii="Cambria Math" w:eastAsiaTheme="minorEastAsia" w:hAnsi="Cambria Math"/>
                  </w:rPr>
                  <m:t>-</m:t>
                </m:r>
                <m:f>
                  <m:fPr>
                    <m:ctrlPr>
                      <w:rPr>
                        <w:rFonts w:ascii="Cambria Math" w:eastAsiaTheme="minorEastAsia" w:hAnsi="Cambria Math"/>
                      </w:rPr>
                    </m:ctrlPr>
                  </m:fPr>
                  <m:num>
                    <m:sSubSup>
                      <m:sSubSupPr>
                        <m:ctrlPr>
                          <w:rPr>
                            <w:rFonts w:ascii="Cambria Math" w:eastAsiaTheme="minorEastAsia" w:hAnsi="Cambria Math"/>
                            <w:i/>
                          </w:rPr>
                        </m:ctrlPr>
                      </m:sSubSupPr>
                      <m:e>
                        <m:r>
                          <w:rPr>
                            <w:rFonts w:ascii="Cambria Math" w:eastAsiaTheme="minorEastAsia" w:hAnsi="Cambria Math"/>
                          </w:rPr>
                          <m:t>k</m:t>
                        </m:r>
                      </m:e>
                      <m:sub>
                        <m:r>
                          <w:rPr>
                            <w:rFonts w:ascii="Cambria Math" w:eastAsiaTheme="minorEastAsia" w:hAnsi="Cambria Math"/>
                          </w:rPr>
                          <m:t>i</m:t>
                        </m:r>
                      </m:sub>
                      <m:sup>
                        <m:r>
                          <w:rPr>
                            <w:rFonts w:ascii="Cambria Math" w:eastAsiaTheme="minorEastAsia" w:hAnsi="Cambria Math"/>
                          </w:rPr>
                          <m:t>in</m:t>
                        </m:r>
                      </m:sup>
                    </m:sSubSup>
                    <m:sSubSup>
                      <m:sSubSupPr>
                        <m:ctrlPr>
                          <w:rPr>
                            <w:rFonts w:ascii="Cambria Math" w:eastAsiaTheme="minorEastAsia" w:hAnsi="Cambria Math"/>
                            <w:i/>
                          </w:rPr>
                        </m:ctrlPr>
                      </m:sSubSupPr>
                      <m:e>
                        <m:r>
                          <w:rPr>
                            <w:rFonts w:ascii="Cambria Math" w:eastAsiaTheme="minorEastAsia" w:hAnsi="Cambria Math"/>
                          </w:rPr>
                          <m:t>k</m:t>
                        </m:r>
                      </m:e>
                      <m:sub>
                        <m:r>
                          <w:rPr>
                            <w:rFonts w:ascii="Cambria Math" w:eastAsiaTheme="minorEastAsia" w:hAnsi="Cambria Math"/>
                          </w:rPr>
                          <m:t>j</m:t>
                        </m:r>
                      </m:sub>
                      <m:sup>
                        <m:r>
                          <w:rPr>
                            <w:rFonts w:ascii="Cambria Math" w:eastAsiaTheme="minorEastAsia" w:hAnsi="Cambria Math"/>
                          </w:rPr>
                          <m:t>in</m:t>
                        </m:r>
                      </m:sup>
                    </m:sSubSup>
                    <m:ctrlPr>
                      <w:rPr>
                        <w:rFonts w:ascii="Cambria Math" w:eastAsiaTheme="minorEastAsia" w:hAnsi="Cambria Math"/>
                        <w:i/>
                      </w:rPr>
                    </m:ctrlPr>
                  </m:num>
                  <m:den>
                    <m:sSup>
                      <m:sSupPr>
                        <m:ctrlPr>
                          <w:rPr>
                            <w:rFonts w:ascii="Cambria Math" w:eastAsiaTheme="minorEastAsia" w:hAnsi="Cambria Math"/>
                            <w:i/>
                          </w:rPr>
                        </m:ctrlPr>
                      </m:sSupPr>
                      <m:e>
                        <m:d>
                          <m:dPr>
                            <m:ctrlPr>
                              <w:rPr>
                                <w:rFonts w:ascii="Cambria Math" w:eastAsiaTheme="minorEastAsia" w:hAnsi="Cambria Math"/>
                              </w:rPr>
                            </m:ctrlPr>
                          </m:dPr>
                          <m:e>
                            <m:nary>
                              <m:naryPr>
                                <m:chr m:val="∑"/>
                                <m:supHide m:val="1"/>
                                <m:ctrlPr>
                                  <w:rPr>
                                    <w:rFonts w:ascii="Cambria Math" w:eastAsiaTheme="minorEastAsia" w:hAnsi="Cambria Math"/>
                                  </w:rPr>
                                </m:ctrlPr>
                              </m:naryPr>
                              <m:sub>
                                <m:r>
                                  <w:rPr>
                                    <w:rFonts w:ascii="Cambria Math" w:eastAsiaTheme="minorEastAsia" w:hAnsi="Cambria Math"/>
                                  </w:rPr>
                                  <m:t>l</m:t>
                                </m:r>
                                <m:ctrlPr>
                                  <w:rPr>
                                    <w:rFonts w:ascii="Cambria Math" w:eastAsiaTheme="minorEastAsia" w:hAnsi="Cambria Math"/>
                                    <w:i/>
                                  </w:rPr>
                                </m:ctrlPr>
                              </m:sub>
                              <m:sup>
                                <m:ctrlPr>
                                  <w:rPr>
                                    <w:rFonts w:ascii="Cambria Math" w:eastAsiaTheme="minorEastAsia" w:hAnsi="Cambria Math"/>
                                    <w:i/>
                                  </w:rPr>
                                </m:ctrlPr>
                              </m:sup>
                              <m:e>
                                <m:sSubSup>
                                  <m:sSubSupPr>
                                    <m:ctrlPr>
                                      <w:rPr>
                                        <w:rFonts w:ascii="Cambria Math" w:eastAsiaTheme="minorEastAsia" w:hAnsi="Cambria Math"/>
                                        <w:i/>
                                      </w:rPr>
                                    </m:ctrlPr>
                                  </m:sSubSupPr>
                                  <m:e>
                                    <m:r>
                                      <w:rPr>
                                        <w:rFonts w:ascii="Cambria Math" w:eastAsiaTheme="minorEastAsia" w:hAnsi="Cambria Math"/>
                                      </w:rPr>
                                      <m:t>k</m:t>
                                    </m:r>
                                  </m:e>
                                  <m:sub>
                                    <m:r>
                                      <w:rPr>
                                        <w:rFonts w:ascii="Cambria Math" w:eastAsiaTheme="minorEastAsia" w:hAnsi="Cambria Math"/>
                                      </w:rPr>
                                      <m:t>l</m:t>
                                    </m:r>
                                  </m:sub>
                                  <m:sup>
                                    <m:r>
                                      <w:rPr>
                                        <w:rFonts w:ascii="Cambria Math" w:eastAsiaTheme="minorEastAsia" w:hAnsi="Cambria Math"/>
                                      </w:rPr>
                                      <m:t>out</m:t>
                                    </m:r>
                                  </m:sup>
                                </m:sSubSup>
                                <m:ctrlPr>
                                  <w:rPr>
                                    <w:rFonts w:ascii="Cambria Math" w:eastAsiaTheme="minorEastAsia" w:hAnsi="Cambria Math"/>
                                    <w:i/>
                                  </w:rPr>
                                </m:ctrlPr>
                              </m:e>
                            </m:nary>
                            <m:ctrlPr>
                              <w:rPr>
                                <w:rFonts w:ascii="Cambria Math" w:eastAsiaTheme="minorEastAsia" w:hAnsi="Cambria Math"/>
                                <w:i/>
                              </w:rPr>
                            </m:ctrlPr>
                          </m:e>
                        </m:d>
                      </m:e>
                      <m:sup>
                        <m:r>
                          <w:rPr>
                            <w:rFonts w:ascii="Cambria Math" w:eastAsiaTheme="minorEastAsia" w:hAnsi="Cambria Math"/>
                          </w:rPr>
                          <m:t>2</m:t>
                        </m:r>
                      </m:sup>
                    </m:sSup>
                    <m:ctrlPr>
                      <w:rPr>
                        <w:rFonts w:ascii="Cambria Math" w:eastAsiaTheme="minorEastAsia" w:hAnsi="Cambria Math"/>
                        <w:i/>
                      </w:rPr>
                    </m:ctrlPr>
                  </m:den>
                </m:f>
                <m:ctrlPr>
                  <w:rPr>
                    <w:rFonts w:ascii="Cambria Math" w:eastAsiaTheme="minorEastAsia" w:hAnsi="Cambria Math"/>
                    <w:i/>
                  </w:rPr>
                </m:ctrlPr>
              </m:e>
            </m:d>
            <m:sSub>
              <m:sSubPr>
                <m:ctrlPr>
                  <w:rPr>
                    <w:rFonts w:ascii="Cambria Math" w:eastAsiaTheme="minorEastAsia" w:hAnsi="Cambria Math"/>
                    <w:i/>
                  </w:rPr>
                </m:ctrlPr>
              </m:sSubPr>
              <m:e>
                <m:r>
                  <m:rPr>
                    <m:sty m:val="p"/>
                  </m:rPr>
                  <w:rPr>
                    <w:rFonts w:ascii="Cambria Math" w:eastAsiaTheme="minorEastAsia" w:hAnsi="Cambria Math"/>
                  </w:rPr>
                  <m:t>δ</m:t>
                </m:r>
                <m:ctrlPr>
                  <w:rPr>
                    <w:rFonts w:ascii="Cambria Math" w:eastAsiaTheme="minorEastAsia" w:hAnsi="Cambria Math"/>
                  </w:rPr>
                </m:ctrlPr>
              </m:e>
              <m:sub>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j</m:t>
                    </m:r>
                  </m:sub>
                </m:sSub>
              </m:sub>
            </m:sSub>
            <m:ctrlPr>
              <w:rPr>
                <w:rFonts w:ascii="Cambria Math" w:eastAsiaTheme="minorEastAsia" w:hAnsi="Cambria Math"/>
                <w:i/>
              </w:rPr>
            </m:ctrlPr>
          </m:e>
        </m:nary>
      </m:oMath>
      <w:r w:rsidR="00CA4FB1">
        <w:rPr>
          <w:rFonts w:eastAsiaTheme="minorEastAsia"/>
        </w:rPr>
        <w:t xml:space="preserve"> </w:t>
      </w:r>
      <w:r w:rsidR="00CA4FB1">
        <w:t>(3)</w:t>
      </w:r>
    </w:p>
    <w:p w14:paraId="2E3EBFA0" w14:textId="77777777" w:rsidR="00D553F7" w:rsidRDefault="00D553F7" w:rsidP="006E65F2">
      <w:pPr>
        <w:spacing w:line="480" w:lineRule="auto"/>
      </w:pPr>
    </w:p>
    <w:p w14:paraId="1586A28E" w14:textId="57C1509F" w:rsidR="003947A8" w:rsidRPr="001E2F59" w:rsidRDefault="003947A8" w:rsidP="006E65F2">
      <w:pPr>
        <w:spacing w:line="480" w:lineRule="auto"/>
      </w:pPr>
      <w:r w:rsidRPr="34EA1DDB">
        <w:t xml:space="preserve">where </w:t>
      </w: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ij</m:t>
            </m:r>
          </m:sub>
          <m:sup>
            <m:r>
              <w:rPr>
                <w:rFonts w:ascii="Cambria Math" w:eastAsiaTheme="minorEastAsia" w:hAnsi="Cambria Math"/>
              </w:rPr>
              <m:t>out</m:t>
            </m:r>
          </m:sup>
        </m:sSubSup>
      </m:oMath>
      <w:r w:rsidRPr="34EA1DDB">
        <w:t xml:space="preserve"> is the number of outgoing links that i and j have in common</w:t>
      </w:r>
      <w:r>
        <w:t xml:space="preserve"> and </w:t>
      </w:r>
      <w:r w:rsidRPr="34EA1DDB">
        <w:t xml:space="preserve"> </w:t>
      </w: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ij</m:t>
            </m:r>
          </m:sub>
          <m:sup>
            <m:r>
              <w:rPr>
                <w:rFonts w:ascii="Cambria Math" w:eastAsiaTheme="minorEastAsia" w:hAnsi="Cambria Math"/>
              </w:rPr>
              <m:t>in</m:t>
            </m:r>
          </m:sup>
        </m:sSubSup>
      </m:oMath>
      <w:r>
        <w:rPr>
          <w:rFonts w:eastAsiaTheme="minorEastAsia"/>
        </w:rPr>
        <w:t xml:space="preserve"> is the number of incoming links that </w:t>
      </w:r>
      <m:oMath>
        <m:r>
          <w:rPr>
            <w:rFonts w:ascii="Cambria Math" w:eastAsiaTheme="minorEastAsia" w:hAnsi="Cambria Math"/>
          </w:rPr>
          <m:t>i</m:t>
        </m:r>
      </m:oMath>
      <w:r>
        <w:rPr>
          <w:rFonts w:eastAsiaTheme="minorEastAsia"/>
        </w:rPr>
        <w:t xml:space="preserve"> and </w:t>
      </w:r>
      <m:oMath>
        <m:r>
          <w:rPr>
            <w:rFonts w:ascii="Cambria Math" w:eastAsiaTheme="minorEastAsia" w:hAnsi="Cambria Math"/>
          </w:rPr>
          <m:t>j</m:t>
        </m:r>
      </m:oMath>
      <w:r>
        <w:rPr>
          <w:rFonts w:eastAsiaTheme="minorEastAsia"/>
        </w:rPr>
        <w:t xml:space="preserve"> have in </w:t>
      </w:r>
      <w:proofErr w:type="gramStart"/>
      <w:r>
        <w:rPr>
          <w:rFonts w:eastAsiaTheme="minorEastAsia"/>
        </w:rPr>
        <w:t>common</w:t>
      </w:r>
      <w:r w:rsidRPr="34EA1DDB">
        <w:t>.</w:t>
      </w:r>
      <w:proofErr w:type="gramEnd"/>
      <w:r w:rsidRPr="34EA1DDB">
        <w:t xml:space="preserve"> </w:t>
      </w:r>
      <w:r w:rsidRPr="009415B1">
        <w:t>We maximised th</w:t>
      </w:r>
      <w:r>
        <w:t>ese two</w:t>
      </w:r>
      <w:r w:rsidRPr="009415B1">
        <w:t xml:space="preserve"> </w:t>
      </w:r>
      <w:r>
        <w:t xml:space="preserve">types of </w:t>
      </w:r>
      <w:r w:rsidRPr="009415B1">
        <w:t>modul</w:t>
      </w:r>
      <w:r>
        <w:t>arity</w:t>
      </w:r>
      <w:r w:rsidRPr="009415B1">
        <w:t xml:space="preserve"> by using the rnetcarto package </w:t>
      </w:r>
      <w:r>
        <w:fldChar w:fldCharType="begin" w:fldLock="1"/>
      </w:r>
      <w:r>
        <w:instrText>ADDIN CSL_CITATION {"citationItems":[{"id":"ITEM-1","itemData":{"author":[{"dropping-particle":"","family":"Doulcier","given":"Guilhem","non-dropping-particle":"","parse-names":false,"suffix":""},{"dropping-particle":"","family":"Stouffer","given":"Daniel B.","non-dropping-particle":"","parse-names":false,"suffix":""}],"id":"ITEM-1","issued":{"date-parts":[["2015"]]},"number":"R package version 0.2","title":"Rnetcarto: Fast network modularity and roles computation by simulated annealing","type":"article"},"uris":["http://www.mendeley.com/documents/?uuid=1ad7c1c1-6cc9-4578-b892-1f1fdf3f25fe"]}],"mendeley":{"formattedCitation":"(Doulcier &amp; Stouffer, 2015)","plainTextFormattedCitation":"(Doulcier &amp; Stouffer, 2015)","previouslyFormattedCitation":"(Doulcier &amp; Stouffer, 2015)"},"properties":{"noteIndex":0},"schema":"https://github.com/citation-style-language/schema/raw/master/csl-citation.json"}</w:instrText>
      </w:r>
      <w:r>
        <w:fldChar w:fldCharType="separate"/>
      </w:r>
      <w:r w:rsidRPr="00AE48F2">
        <w:rPr>
          <w:noProof/>
        </w:rPr>
        <w:t>(Doulcier &amp; Stouffer, 2015)</w:t>
      </w:r>
      <w:r>
        <w:fldChar w:fldCharType="end"/>
      </w:r>
      <w:r>
        <w:t xml:space="preserve"> implemented in </w:t>
      </w:r>
      <w:r w:rsidRPr="009415B1">
        <w:t xml:space="preserve">R. </w:t>
      </w:r>
      <w:r w:rsidRPr="001E2F59">
        <w:t xml:space="preserve">This finds the community structure of the network by using the optimisation method of simulated annealing </w:t>
      </w:r>
      <w:r w:rsidRPr="001E2F59">
        <w:fldChar w:fldCharType="begin" w:fldLock="1"/>
      </w:r>
      <w:r w:rsidRPr="001E2F59">
        <w:instrText>ADDIN CSL_CITATION {"citationItems":[{"id":"ITEM-1","itemData":{"DOI":"10.1126/science.220.4598.671","ISSN":"00368075","PMID":"17813860","abstract":"There is a deep and useful connection between statistical mechanics (the behavior of systems with many degrees of freedom in thermal equilibrium at a finite temperature) and multivariate or combinatorial optimization (finding the minimum of a given function depending on many parameters). A detailed analogy with annealing in solids provides a framework for optimization of the properties of very large and complex systems. This connection to statistical mechanics exposes new information and provides an unfamiliar perspective on traditional optimization problems and methods.","author":[{"dropping-particle":"","family":"Kirkpatrick","given":"S.","non-dropping-particle":"","parse-names":false,"suffix":""},{"dropping-particle":"","family":"Gelatt","given":"C. D.","non-dropping-particle":"","parse-names":false,"suffix":""},{"dropping-particle":"","family":"Vecchi","given":"M. P.","non-dropping-particle":"","parse-names":false,"suffix":""}],"container-title":"Science","id":"ITEM-1","issue":"4598","issued":{"date-parts":[["1983"]]},"page":"671-680","title":"Optimization by simulated annealing","type":"article-journal","volume":"220"},"uris":["http://www.mendeley.com/documents/?uuid=2fef4024-6330-4790-b24a-aef71c21bb04"]}],"mendeley":{"formattedCitation":"(Kirkpatrick, Gelatt, &amp; Vecchi, 1983)","plainTextFormattedCitation":"(Kirkpatrick, Gelatt, &amp; Vecchi, 1983)","previouslyFormattedCitation":"(Kirkpatrick, Gelatt, &amp; Vecchi, 1983)"},"properties":{"noteIndex":0},"schema":"https://github.com/citation-style-language/schema/raw/master/csl-citation.json"}</w:instrText>
      </w:r>
      <w:r w:rsidRPr="001E2F59">
        <w:fldChar w:fldCharType="separate"/>
      </w:r>
      <w:r w:rsidRPr="001E2F59">
        <w:rPr>
          <w:noProof/>
        </w:rPr>
        <w:t>(Kirkpatrick, Gelatt, &amp; Vecchi, 1983)</w:t>
      </w:r>
      <w:r w:rsidRPr="001E2F59">
        <w:fldChar w:fldCharType="end"/>
      </w:r>
      <w:r w:rsidRPr="001E2F59">
        <w:t xml:space="preserve">. </w:t>
      </w:r>
    </w:p>
    <w:p w14:paraId="7793BD57" w14:textId="77777777" w:rsidR="001E2F59" w:rsidRDefault="001E2F59" w:rsidP="006E65F2">
      <w:pPr>
        <w:pStyle w:val="Heading3"/>
        <w:spacing w:before="0" w:beforeAutospacing="0" w:after="0" w:afterAutospacing="0" w:line="480" w:lineRule="auto"/>
        <w:rPr>
          <w:sz w:val="24"/>
          <w:szCs w:val="24"/>
        </w:rPr>
      </w:pPr>
    </w:p>
    <w:p w14:paraId="6916E1DF" w14:textId="4411BD30" w:rsidR="003947A8" w:rsidRPr="00F95949" w:rsidRDefault="003947A8" w:rsidP="006E65F2">
      <w:pPr>
        <w:pStyle w:val="Heading3"/>
        <w:spacing w:before="0" w:beforeAutospacing="0" w:after="0" w:afterAutospacing="0" w:line="480" w:lineRule="auto"/>
        <w:rPr>
          <w:b w:val="0"/>
          <w:i/>
          <w:sz w:val="24"/>
          <w:szCs w:val="24"/>
        </w:rPr>
      </w:pPr>
      <w:r w:rsidRPr="00F95949">
        <w:rPr>
          <w:b w:val="0"/>
          <w:i/>
          <w:sz w:val="24"/>
          <w:szCs w:val="24"/>
        </w:rPr>
        <w:t>Clustering of groups</w:t>
      </w:r>
    </w:p>
    <w:p w14:paraId="48269077" w14:textId="77777777" w:rsidR="001E2F59" w:rsidRDefault="001E2F59" w:rsidP="006E65F2">
      <w:pPr>
        <w:spacing w:line="480" w:lineRule="auto"/>
      </w:pPr>
    </w:p>
    <w:p w14:paraId="2DE4225F" w14:textId="659BA8D3" w:rsidR="003947A8" w:rsidRDefault="003947A8" w:rsidP="006E65F2">
      <w:pPr>
        <w:spacing w:line="480" w:lineRule="auto"/>
      </w:pPr>
      <w:r w:rsidRPr="001E2F59">
        <w:lastRenderedPageBreak/>
        <w:t xml:space="preserve">As a sixth clustering method, we clustered the nodes inside the modules found by the group model of </w:t>
      </w:r>
      <w:r w:rsidRPr="001E2F59">
        <w:fldChar w:fldCharType="begin" w:fldLock="1"/>
      </w:r>
      <w:r w:rsidRPr="001E2F59">
        <w:instrText>ADDIN CSL_CITATION {"citationItems":[{"id":"ITEM-1","itemData":{"DOI":"10.1111/j.1461-0248.2009.01321.x","ISSN":"1461023X","PMID":"19453619","abstract":"The concept of a group is ubiquitous in biology. It underlies classifications in evolution and ecology, including those used to describe phylogenetic levels, the habitat and functional roles of organisms in ecosystems. Surprisingly, this concept is not explicitly included in simple models for the structure of food webs, the ecological networks formed by consumer-resource interactions. We present here the simplest possible model based on groups, and show that it performs substantially better than current models at predicting the structure of large food webs. Our group-based model can be applied to different types of biological and non-biological networks, and for the first time merges in the same framework two important notions in network theory: that of compartments (sets of highly interacting nodes) and that of roles (sets of nodes that have similar interaction patterns). This model provides a basis to examine the significance of groups in biological networks and to develop more accurate models for ecological network structure. It is especially relevant at a time when a new generation of empirical data is providing increasingly large food webs. © 2009 Blackwell Publishing Ltd/CNRS.","author":[{"dropping-particle":"","family":"Allesina","given":"Stefano","non-dropping-particle":"","parse-names":false,"suffix":""},{"dropping-particle":"","family":"Pascual","given":"Mercedes","non-dropping-particle":"","parse-names":false,"suffix":""}],"container-title":"Ecology Letters","id":"ITEM-1","issue":"7","issued":{"date-parts":[["2009"]]},"page":"652-662","title":"Food web models: A plea for groups","type":"article-journal","volume":"12"},"uris":["http://www.mendeley.com/documents/?uuid=55a5b639-71c7-45ad-a306-ce532d9d052d"]}],"mendeley":{"formattedCitation":"(Allesina &amp; Pascual, 2009)","manualFormatting":"Allesina &amp; Pascual (2009)","plainTextFormattedCitation":"(Allesina &amp; Pascual, 2009)","previouslyFormattedCitation":"(Allesina &amp; Pascual, 2009)"},"properties":{"noteIndex":0},"schema":"https://github.com/citation-style-language/schema/raw/master/csl-citation.json"}</w:instrText>
      </w:r>
      <w:r w:rsidRPr="001E2F59">
        <w:fldChar w:fldCharType="separate"/>
      </w:r>
      <w:r w:rsidRPr="001E2F59">
        <w:rPr>
          <w:noProof/>
        </w:rPr>
        <w:t>Allesina &amp; Pascual (2009)</w:t>
      </w:r>
      <w:r w:rsidRPr="001E2F59">
        <w:fldChar w:fldCharType="end"/>
      </w:r>
      <w:r w:rsidRPr="001E2F59">
        <w:t>. This model finds the modules that maximise the probability of randomly retrieving the food web by generating a modular version of an Erdős-</w:t>
      </w:r>
      <w:r w:rsidRPr="00F658B6">
        <w:t>Rényi random graph</w:t>
      </w:r>
      <w:r w:rsidRPr="00F14184">
        <w:t xml:space="preserve">. For an arbitrary number of groups </w:t>
      </w:r>
      <m:oMath>
        <m:r>
          <w:rPr>
            <w:rFonts w:ascii="Cambria Math" w:hAnsi="Cambria Math"/>
          </w:rPr>
          <m:t>k</m:t>
        </m:r>
      </m:oMath>
      <w:r w:rsidRPr="00F14184">
        <w:t>, the probability of retrieving the food web is:</w:t>
      </w:r>
      <w:r>
        <w:t xml:space="preserve"> </w:t>
      </w:r>
    </w:p>
    <w:p w14:paraId="1FA89B8B" w14:textId="77777777" w:rsidR="003651D7" w:rsidRDefault="003651D7" w:rsidP="006E65F2">
      <w:pPr>
        <w:spacing w:line="480" w:lineRule="auto"/>
      </w:pPr>
    </w:p>
    <w:p w14:paraId="240761BE" w14:textId="4B70FC34" w:rsidR="003947A8" w:rsidRDefault="003947A8" w:rsidP="006E65F2">
      <w:pPr>
        <w:spacing w:line="480" w:lineRule="auto"/>
        <w:ind w:firstLine="720"/>
        <w:jc w:val="center"/>
        <w:rPr>
          <w:rFonts w:eastAsiaTheme="minorEastAsia"/>
        </w:rPr>
      </w:pPr>
      <m:oMath>
        <m:r>
          <w:rPr>
            <w:rFonts w:ascii="Cambria Math" w:eastAsiaTheme="minorEastAsia" w:hAnsi="Cambria Math"/>
          </w:rPr>
          <m:t>P</m:t>
        </m:r>
        <m:d>
          <m:dPr>
            <m:ctrlPr>
              <w:rPr>
                <w:rFonts w:ascii="Cambria Math" w:eastAsiaTheme="minorEastAsia" w:hAnsi="Cambria Math"/>
              </w:rPr>
            </m:ctrlPr>
          </m:dPr>
          <m:e>
            <m:r>
              <w:rPr>
                <w:rFonts w:ascii="Cambria Math" w:eastAsiaTheme="minorEastAsia" w:hAnsi="Cambria Math"/>
              </w:rPr>
              <m:t>N</m:t>
            </m:r>
            <m:d>
              <m:dPr>
                <m:ctrlPr>
                  <w:rPr>
                    <w:rFonts w:ascii="Cambria Math" w:eastAsiaTheme="minorEastAsia" w:hAnsi="Cambria Math"/>
                  </w:rPr>
                </m:ctrlPr>
              </m:dPr>
              <m:e>
                <m:r>
                  <w:rPr>
                    <w:rFonts w:ascii="Cambria Math" w:eastAsiaTheme="minorEastAsia" w:hAnsi="Cambria Math"/>
                  </w:rPr>
                  <m:t>S,L</m:t>
                </m:r>
                <m:ctrlPr>
                  <w:rPr>
                    <w:rFonts w:ascii="Cambria Math" w:eastAsiaTheme="minorEastAsia" w:hAnsi="Cambria Math"/>
                    <w:i/>
                  </w:rPr>
                </m:ctrlPr>
              </m:e>
            </m:d>
            <m:ctrlPr>
              <w:rPr>
                <w:rFonts w:ascii="Cambria Math" w:eastAsia="MS Mincho" w:hAnsi="Cambria Math" w:cs="MS Mincho"/>
              </w:rPr>
            </m:ctrlPr>
          </m:e>
          <m:e>
            <m:acc>
              <m:accPr>
                <m:chr m:val="⃗"/>
                <m:ctrlPr>
                  <w:rPr>
                    <w:rFonts w:ascii="Cambria Math" w:eastAsiaTheme="minorEastAsia" w:hAnsi="Cambria Math"/>
                  </w:rPr>
                </m:ctrlPr>
              </m:accPr>
              <m:e>
                <m:sSup>
                  <m:sSupPr>
                    <m:ctrlPr>
                      <w:rPr>
                        <w:rFonts w:ascii="Cambria Math" w:eastAsiaTheme="minorEastAsia" w:hAnsi="Cambria Math"/>
                        <w:i/>
                      </w:rPr>
                    </m:ctrlPr>
                  </m:sSupPr>
                  <m:e>
                    <m:r>
                      <w:rPr>
                        <w:rFonts w:ascii="Cambria Math" w:eastAsiaTheme="minorEastAsia" w:hAnsi="Cambria Math"/>
                      </w:rPr>
                      <m:t>p</m:t>
                    </m:r>
                  </m:e>
                  <m:sup>
                    <m:r>
                      <m:rPr>
                        <m:sty m:val="p"/>
                      </m:rPr>
                      <w:rPr>
                        <w:rFonts w:ascii="Cambria Math" w:eastAsiaTheme="minorEastAsia" w:hAnsi="Cambria Math"/>
                      </w:rPr>
                      <m:t> </m:t>
                    </m:r>
                  </m:sup>
                </m:sSup>
              </m:e>
            </m:acc>
            <m:ctrlPr>
              <w:rPr>
                <w:rFonts w:ascii="Cambria Math" w:eastAsiaTheme="minorEastAsia" w:hAnsi="Cambria Math"/>
                <w:i/>
              </w:rPr>
            </m:ctrlPr>
          </m:e>
        </m:d>
        <m:r>
          <w:rPr>
            <w:rFonts w:ascii="Cambria Math" w:eastAsiaTheme="minorEastAsia" w:hAnsi="Cambria Math"/>
          </w:rPr>
          <m:t>=</m:t>
        </m:r>
        <m:nary>
          <m:naryPr>
            <m:chr m:val="∏"/>
            <m:ctrlPr>
              <w:rPr>
                <w:rFonts w:ascii="Cambria Math" w:eastAsiaTheme="minorEastAsia" w:hAnsi="Cambria Math"/>
              </w:rPr>
            </m:ctrlPr>
          </m:naryPr>
          <m:sub>
            <m:r>
              <w:rPr>
                <w:rFonts w:ascii="Cambria Math" w:eastAsiaTheme="minorEastAsia" w:hAnsi="Cambria Math"/>
              </w:rPr>
              <m:t>i=1</m:t>
            </m:r>
            <m:ctrlPr>
              <w:rPr>
                <w:rFonts w:ascii="Cambria Math" w:eastAsiaTheme="minorEastAsia" w:hAnsi="Cambria Math"/>
                <w:i/>
              </w:rPr>
            </m:ctrlPr>
          </m:sub>
          <m:sup>
            <m:r>
              <w:rPr>
                <w:rFonts w:ascii="Cambria Math" w:eastAsiaTheme="minorEastAsia" w:hAnsi="Cambria Math"/>
              </w:rPr>
              <m:t>k</m:t>
            </m:r>
            <m:ctrlPr>
              <w:rPr>
                <w:rFonts w:ascii="Cambria Math" w:eastAsiaTheme="minorEastAsia" w:hAnsi="Cambria Math"/>
                <w:i/>
              </w:rPr>
            </m:ctrlPr>
          </m:sup>
          <m:e>
            <m:nary>
              <m:naryPr>
                <m:chr m:val="∏"/>
                <m:ctrlPr>
                  <w:rPr>
                    <w:rFonts w:ascii="Cambria Math" w:eastAsiaTheme="minorEastAsia" w:hAnsi="Cambria Math"/>
                  </w:rPr>
                </m:ctrlPr>
              </m:naryPr>
              <m:sub>
                <m:r>
                  <w:rPr>
                    <w:rFonts w:ascii="Cambria Math" w:eastAsiaTheme="minorEastAsia" w:hAnsi="Cambria Math"/>
                  </w:rPr>
                  <m:t>j=1</m:t>
                </m:r>
                <m:ctrlPr>
                  <w:rPr>
                    <w:rFonts w:ascii="Cambria Math" w:eastAsiaTheme="minorEastAsia" w:hAnsi="Cambria Math"/>
                    <w:i/>
                  </w:rPr>
                </m:ctrlPr>
              </m:sub>
              <m:sup>
                <m:r>
                  <w:rPr>
                    <w:rFonts w:ascii="Cambria Math" w:eastAsiaTheme="minorEastAsia" w:hAnsi="Cambria Math"/>
                  </w:rPr>
                  <m:t>k</m:t>
                </m:r>
                <m:ctrlPr>
                  <w:rPr>
                    <w:rFonts w:ascii="Cambria Math" w:eastAsiaTheme="minorEastAsia" w:hAnsi="Cambria Math"/>
                    <w:i/>
                  </w:rPr>
                </m:ctrlPr>
              </m:sup>
              <m:e>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ij</m:t>
                    </m:r>
                  </m:sub>
                  <m:sup>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ij</m:t>
                        </m:r>
                      </m:sub>
                    </m:sSub>
                  </m:sup>
                </m:sSubSup>
                <m:ctrlPr>
                  <w:rPr>
                    <w:rFonts w:ascii="Cambria Math" w:eastAsiaTheme="minorEastAsia" w:hAnsi="Cambria Math"/>
                    <w:i/>
                  </w:rPr>
                </m:ctrlPr>
              </m:e>
            </m:nary>
          </m:e>
        </m:nary>
        <m:r>
          <w:rPr>
            <w:rFonts w:ascii="Cambria Math" w:eastAsiaTheme="minorEastAsia" w:hAnsi="Cambria Math"/>
          </w:rPr>
          <m:t> </m:t>
        </m:r>
        <m:sSup>
          <m:sSupPr>
            <m:ctrlPr>
              <w:rPr>
                <w:rFonts w:ascii="Cambria Math" w:eastAsiaTheme="minorEastAsia" w:hAnsi="Cambria Math"/>
                <w:i/>
              </w:rPr>
            </m:ctrlPr>
          </m:sSupPr>
          <m:e>
            <m:d>
              <m:dPr>
                <m:ctrlPr>
                  <w:rPr>
                    <w:rFonts w:ascii="Cambria Math" w:eastAsiaTheme="minorEastAsia" w:hAnsi="Cambria Math"/>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ij</m:t>
                    </m:r>
                  </m:sub>
                </m:sSub>
                <m:ctrlPr>
                  <w:rPr>
                    <w:rFonts w:ascii="Cambria Math" w:eastAsiaTheme="minorEastAsia" w:hAnsi="Cambria Math"/>
                    <w:i/>
                  </w:rPr>
                </m:ctrlPr>
              </m:e>
            </m:d>
          </m:e>
          <m:sup>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r>
              <w:rPr>
                <w:rFonts w:ascii="Cambria Math" w:eastAsiaTheme="minorEastAsia" w:hAnsi="Cambria Math"/>
              </w:rPr>
              <m:t>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j</m:t>
                </m:r>
              </m:sub>
            </m:sSub>
            <m:r>
              <w:rPr>
                <w:rFonts w:ascii="Cambria Math" w:eastAsiaTheme="minorEastAsia" w:hAnsi="Cambria Math"/>
              </w:rPr>
              <m:t> - </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ij</m:t>
                </m:r>
              </m:sub>
            </m:sSub>
          </m:sup>
        </m:sSup>
      </m:oMath>
      <w:r w:rsidR="0076253B">
        <w:rPr>
          <w:rFonts w:eastAsiaTheme="minorEastAsia"/>
        </w:rPr>
        <w:t xml:space="preserve"> (4)</w:t>
      </w:r>
    </w:p>
    <w:p w14:paraId="6D4BC855" w14:textId="77777777" w:rsidR="003651D7" w:rsidRDefault="003651D7" w:rsidP="006E65F2">
      <w:pPr>
        <w:spacing w:line="480" w:lineRule="auto"/>
      </w:pPr>
    </w:p>
    <w:p w14:paraId="4A3D7796" w14:textId="2263E4C3" w:rsidR="003947A8" w:rsidRDefault="003947A8" w:rsidP="006E65F2">
      <w:pPr>
        <w:spacing w:line="480" w:lineRule="auto"/>
      </w:pPr>
      <w:r>
        <w:t xml:space="preserve">where </w:t>
      </w:r>
      <m:oMath>
        <m:r>
          <w:rPr>
            <w:rFonts w:ascii="Cambria Math" w:hAnsi="Cambria Math"/>
          </w:rPr>
          <m:t>N</m:t>
        </m:r>
        <m:d>
          <m:dPr>
            <m:ctrlPr>
              <w:rPr>
                <w:rFonts w:ascii="Cambria Math" w:hAnsi="Cambria Math"/>
                <w:i/>
              </w:rPr>
            </m:ctrlPr>
          </m:dPr>
          <m:e>
            <m:r>
              <w:rPr>
                <w:rFonts w:ascii="Cambria Math" w:hAnsi="Cambria Math"/>
              </w:rPr>
              <m:t>S,L</m:t>
            </m:r>
          </m:e>
        </m:d>
      </m:oMath>
      <w:r>
        <w:t xml:space="preserve"> is the food web </w:t>
      </w:r>
      <m:oMath>
        <m:r>
          <w:rPr>
            <w:rFonts w:ascii="Cambria Math" w:hAnsi="Cambria Math"/>
          </w:rPr>
          <m:t>N</m:t>
        </m:r>
      </m:oMath>
      <w:r>
        <w:t xml:space="preserve"> with </w:t>
      </w:r>
      <m:oMath>
        <m:r>
          <w:rPr>
            <w:rFonts w:ascii="Cambria Math" w:hAnsi="Cambria Math"/>
          </w:rPr>
          <m:t>S</m:t>
        </m:r>
      </m:oMath>
      <w:r>
        <w:t xml:space="preserve"> number of nodes and </w:t>
      </w:r>
      <m:oMath>
        <m:r>
          <w:rPr>
            <w:rFonts w:ascii="Cambria Math" w:hAnsi="Cambria Math"/>
          </w:rPr>
          <m:t>L</m:t>
        </m:r>
      </m:oMath>
      <w:r>
        <w:t xml:space="preserve"> number of links,  </w:t>
      </w:r>
      <m:oMath>
        <m:acc>
          <m:accPr>
            <m:chr m:val="⃗"/>
            <m:ctrlPr>
              <w:rPr>
                <w:rFonts w:ascii="Cambria Math" w:hAnsi="Cambria Math"/>
              </w:rPr>
            </m:ctrlPr>
          </m:accPr>
          <m:e>
            <m:sSup>
              <m:sSupPr>
                <m:ctrlPr>
                  <w:rPr>
                    <w:rFonts w:ascii="Cambria Math" w:hAnsi="Cambria Math"/>
                    <w:i/>
                  </w:rPr>
                </m:ctrlPr>
              </m:sSupPr>
              <m:e>
                <m:r>
                  <w:rPr>
                    <w:rFonts w:ascii="Cambria Math" w:hAnsi="Cambria Math"/>
                  </w:rPr>
                  <m:t>p</m:t>
                </m:r>
                <m:ctrlPr>
                  <w:rPr>
                    <w:rFonts w:ascii="Cambria Math" w:hAnsi="Cambria Math"/>
                  </w:rPr>
                </m:ctrlPr>
              </m:e>
              <m:sup>
                <m:r>
                  <w:rPr>
                    <w:rFonts w:ascii="Cambria Math" w:hAnsi="Cambria Math"/>
                  </w:rPr>
                  <m:t> </m:t>
                </m:r>
              </m:sup>
            </m:sSup>
          </m:e>
        </m:acc>
      </m:oMath>
      <w:r>
        <w:t xml:space="preserve"> is the vector containing the probabilities of a connection between and within clusters, </w:t>
      </w:r>
      <m:oMath>
        <m:sSub>
          <m:sSubPr>
            <m:ctrlPr>
              <w:rPr>
                <w:rFonts w:ascii="Cambria Math" w:hAnsi="Cambria Math"/>
                <w:i/>
              </w:rPr>
            </m:ctrlPr>
          </m:sSubPr>
          <m:e>
            <m:r>
              <w:rPr>
                <w:rFonts w:ascii="Cambria Math" w:hAnsi="Cambria Math"/>
              </w:rPr>
              <m:t>p</m:t>
            </m:r>
          </m:e>
          <m:sub>
            <m:r>
              <w:rPr>
                <w:rFonts w:ascii="Cambria Math" w:hAnsi="Cambria Math"/>
              </w:rPr>
              <m:t>ij</m:t>
            </m:r>
          </m:sub>
        </m:sSub>
      </m:oMath>
      <w:r>
        <w:t xml:space="preserve">is the probability that a node inside the group </w:t>
      </w:r>
      <m:oMath>
        <m:r>
          <w:rPr>
            <w:rFonts w:ascii="Cambria Math" w:hAnsi="Cambria Math"/>
          </w:rPr>
          <m:t>i</m:t>
        </m:r>
      </m:oMath>
      <w:r>
        <w:t xml:space="preserve"> connects to another node inside the group </w:t>
      </w:r>
      <m:oMath>
        <m:r>
          <w:rPr>
            <w:rFonts w:ascii="Cambria Math" w:hAnsi="Cambria Math"/>
          </w:rPr>
          <m:t>j</m:t>
        </m:r>
      </m:oMath>
      <w:r>
        <w:t xml:space="preserve">, </w:t>
      </w:r>
      <m:oMath>
        <m:sSub>
          <m:sSubPr>
            <m:ctrlPr>
              <w:rPr>
                <w:rFonts w:ascii="Cambria Math" w:hAnsi="Cambria Math"/>
                <w:i/>
              </w:rPr>
            </m:ctrlPr>
          </m:sSubPr>
          <m:e>
            <m:r>
              <w:rPr>
                <w:rFonts w:ascii="Cambria Math" w:hAnsi="Cambria Math"/>
              </w:rPr>
              <m:t>L</m:t>
            </m:r>
          </m:e>
          <m:sub>
            <m:r>
              <w:rPr>
                <w:rFonts w:ascii="Cambria Math" w:hAnsi="Cambria Math"/>
              </w:rPr>
              <m:t>ij</m:t>
            </m:r>
          </m:sub>
        </m:sSub>
      </m:oMath>
      <w:r>
        <w:t xml:space="preserve"> is the number of links connecting nodes belonging to the group </w:t>
      </w:r>
      <m:oMath>
        <m:r>
          <w:rPr>
            <w:rFonts w:ascii="Cambria Math" w:hAnsi="Cambria Math"/>
          </w:rPr>
          <m:t>i</m:t>
        </m:r>
      </m:oMath>
      <w:r>
        <w:t xml:space="preserve"> to nodes belonging to the group </w:t>
      </w:r>
      <m:oMath>
        <m:r>
          <w:rPr>
            <w:rFonts w:ascii="Cambria Math" w:hAnsi="Cambria Math"/>
          </w:rPr>
          <m:t>j</m:t>
        </m:r>
      </m:oMath>
      <w:r>
        <w:t xml:space="preserve">,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t xml:space="preserve"> is the number of nodes in the cluster </w:t>
      </w:r>
      <m:oMath>
        <m:r>
          <w:rPr>
            <w:rFonts w:ascii="Cambria Math" w:hAnsi="Cambria Math"/>
          </w:rPr>
          <m:t>i</m:t>
        </m:r>
      </m:oMath>
      <w:r>
        <w:t xml:space="preserve">,  and </w:t>
      </w:r>
      <m:oMath>
        <m:sSub>
          <m:sSubPr>
            <m:ctrlPr>
              <w:rPr>
                <w:rFonts w:ascii="Cambria Math" w:hAnsi="Cambria Math"/>
                <w:i/>
              </w:rPr>
            </m:ctrlPr>
          </m:sSubPr>
          <m:e>
            <m:r>
              <w:rPr>
                <w:rFonts w:ascii="Cambria Math" w:hAnsi="Cambria Math"/>
              </w:rPr>
              <m:t>S</m:t>
            </m:r>
          </m:e>
          <m:sub>
            <m:r>
              <w:rPr>
                <w:rFonts w:ascii="Cambria Math" w:hAnsi="Cambria Math"/>
              </w:rPr>
              <m:t>j</m:t>
            </m:r>
          </m:sub>
        </m:sSub>
      </m:oMath>
      <w:r>
        <w:t xml:space="preserve"> is the number of nodes in the cluster </w:t>
      </w:r>
      <m:oMath>
        <m:r>
          <w:rPr>
            <w:rFonts w:ascii="Cambria Math" w:hAnsi="Cambria Math"/>
          </w:rPr>
          <m:t>j</m:t>
        </m:r>
      </m:oMath>
      <w:r>
        <w:t>.</w:t>
      </w:r>
    </w:p>
    <w:p w14:paraId="33218CDC" w14:textId="48F5F5CD" w:rsidR="003947A8" w:rsidRDefault="003947A8" w:rsidP="006E65F2">
      <w:pPr>
        <w:spacing w:line="480" w:lineRule="auto"/>
        <w:ind w:firstLine="720"/>
      </w:pPr>
      <w:r>
        <w:t xml:space="preserve">Because of the high number of possible module arrangements, it is not possible to explore them all. To find the best possible solution that our computation power allows us to find, we used the algorithm of </w:t>
      </w:r>
      <w:r>
        <w:fldChar w:fldCharType="begin" w:fldLock="1"/>
      </w:r>
      <w:r>
        <w:instrText>ADDIN CSL_CITATION {"citationItems":[{"id":"ITEM-1","itemData":{"DOI":"10.1371/journal.pcbi.1004330","ISSN":"15537358","PMID":"26197151","abstract":"The group model is a useful tool to understand broad-scale patterns of interaction in a network, but it has previously been limited in use to food webs, which contain only predator-prey interactions. Natural populations interact with each other in a variety of ways and, although most published ecological networks only include information about a single interaction type (e.g., feeding, pollination), ecologists are beginning to consider networks which combine multiple interaction types. Here we extend the group model to signed directed networks such as ecological interaction webs. As a specific application of this method, we examine the effects of including or excluding specific interaction types on our understanding of species roles in ecological networks. We consider all three currently available interaction webs, two of which are extended plant-mutualist networks with herbivores and parasitoids added, and one of which is an extended intertidal food web with interactions of all possible sign structures (+/+, -/0, etc.). Species in the extended food web grouped similarly with all interactions, only trophic links, and only nontrophic links. However, removing mutualism or herbivory had a much larger effect in the extended plant-pollinator webs. Species removal even affected groups that were not directly connected to those that were removed, as we found by excluding a small number of parasitoids. These results suggest that including additional species in the network provides far more information than additional interactions for this aspect of network structure. Our methods provide a useful framework for simplifying networks to their essential structure, allowing us to identify generalities in network structure and better understand the roles species play in their communities.","author":[{"dropping-particle":"","family":"Sander","given":"Elizabeth L.","non-dropping-particle":"","parse-names":false,"suffix":""},{"dropping-particle":"","family":"Wootton","given":"J. Timothy","non-dropping-particle":"","parse-names":false,"suffix":""},{"dropping-particle":"","family":"Allesina","given":"Stefano","non-dropping-particle":"","parse-names":false,"suffix":""}],"container-title":"PLoS Computational Biology","id":"ITEM-1","issue":"7","issued":{"date-parts":[["2015"]]},"page":"1-22","title":"What Can Interaction Webs Tell Us About Species Roles?","type":"article-journal","volume":"11"},"uris":["http://www.mendeley.com/documents/?uuid=4e005e6c-3b48-499e-ba91-3c57699a4d95"]}],"mendeley":{"formattedCitation":"(Sander et al., 2015)","manualFormatting":"Sander, Wootton, &amp; Allesina, 2015","plainTextFormattedCitation":"(Sander et al., 2015)","previouslyFormattedCitation":"(Sander et al., 2015)"},"properties":{"noteIndex":0},"schema":"https://github.com/citation-style-language/schema/raw/master/csl-citation.json"}</w:instrText>
      </w:r>
      <w:r>
        <w:fldChar w:fldCharType="separate"/>
      </w:r>
      <w:r w:rsidRPr="000A4E12">
        <w:rPr>
          <w:noProof/>
        </w:rPr>
        <w:t>Sander, Wootton, &amp; Allesina, 2015</w:t>
      </w:r>
      <w:r>
        <w:fldChar w:fldCharType="end"/>
      </w:r>
      <w:r>
        <w:t>. This relies on a Metropolis-Coupled Markov Chain Monte Carlo (</w:t>
      </w:r>
      <m:oMath>
        <m:r>
          <w:rPr>
            <w:rFonts w:ascii="Cambria Math" w:hAnsi="Cambria Math"/>
          </w:rPr>
          <m:t>M</m:t>
        </m:r>
        <m:sSup>
          <m:sSupPr>
            <m:ctrlPr>
              <w:rPr>
                <w:rFonts w:ascii="Cambria Math" w:hAnsi="Cambria Math"/>
                <w:i/>
              </w:rPr>
            </m:ctrlPr>
          </m:sSupPr>
          <m:e>
            <m:r>
              <w:rPr>
                <w:rFonts w:ascii="Cambria Math" w:hAnsi="Cambria Math"/>
              </w:rPr>
              <m:t>C</m:t>
            </m:r>
          </m:e>
          <m:sup>
            <m:r>
              <w:rPr>
                <w:rFonts w:ascii="Cambria Math" w:hAnsi="Cambria Math"/>
              </w:rPr>
              <m:t>3</m:t>
            </m:r>
          </m:sup>
        </m:sSup>
      </m:oMath>
      <w:r>
        <w:t xml:space="preserve">), also known as parallel tempering </w:t>
      </w:r>
      <w:r>
        <w:fldChar w:fldCharType="begin" w:fldLock="1"/>
      </w:r>
      <w:r>
        <w:instrText>ADDIN CSL_CITATION {"citationItems":[{"id":"ITEM-1","itemData":{"abstract":"Markov chains are defined and their relation to transition matrices and kernels are described. Markov chain Monte Carlo (MCMC) employs the Metropolis-Hastings (MH) algorithm as another sampling mechanism. The utility of MCMC is that it can be used to sample complex PDFs, even if the normalization constants are unknown. It is shown that the MH process necessarily leads to the reversibility of the transition function. The myth of burn-in to obtain proper samples is discussed and multidimensional sampling is discussed. The Gibbs sampler is introduced as a special case of the MH algorithm. Then Bayesian probability concepts are introduced along with their prior, posterior and likelihood distributions. With a rigorous foundation, this Bayesian approach is then applied to inference and decision theory. Keywords: Markov chain; Markov chain Monte Carlo (MCMC); transition matrices and kernels; Metropolis-Hastings algorithm; Gibbs sampling; Bayesian analysis; inference and decision making.","author":[{"dropping-particle":"","family":"Geyer","given":"Charles J.","non-dropping-particle":"","parse-names":false,"suffix":""}],"id":"ITEM-1","issued":{"date-parts":[["1991"]]},"title":"Markov chain Monte Carlo maximum likelihood","type":"article-journal"},"uris":["http://www.mendeley.com/documents/?uuid=f5ca5671-086e-41a3-866a-e450e69c4b77"]}],"mendeley":{"formattedCitation":"(Geyer, 1991)","plainTextFormattedCitation":"(Geyer, 1991)","previouslyFormattedCitation":"(Geyer, 1991)"},"properties":{"noteIndex":0},"schema":"https://github.com/citation-style-language/schema/raw/master/csl-citation.json"}</w:instrText>
      </w:r>
      <w:r>
        <w:fldChar w:fldCharType="separate"/>
      </w:r>
      <w:r w:rsidRPr="000A4E12">
        <w:rPr>
          <w:noProof/>
        </w:rPr>
        <w:t>(Geyer, 1991)</w:t>
      </w:r>
      <w:r>
        <w:fldChar w:fldCharType="end"/>
      </w:r>
      <w:r>
        <w:t xml:space="preserve">, with a Gibbs sampler </w:t>
      </w:r>
      <w:r>
        <w:fldChar w:fldCharType="begin" w:fldLock="1"/>
      </w:r>
      <w:r>
        <w:instrText>ADDIN CSL_CITATION {"citationItems":[{"id":"ITEM-1","itemData":{"author":[{"dropping-particle":"","family":"Yildirim","given":"Ilker","non-dropping-particle":"","parse-names":false,"suffix":""}],"container-title":"Technical Note, University of Rochester","id":"ITEM-1","issued":{"date-parts":[["2012"]]},"title":"Bayesian Inference: Gibbs Sampling","type":"article-journal"},"uris":["http://www.mendeley.com/documents/?uuid=0ddc40fc-06f8-4318-ba79-86ca27fd829c"]}],"mendeley":{"formattedCitation":"(Yildirim, 2012)","plainTextFormattedCitation":"(Yildirim, 2012)","previouslyFormattedCitation":"(Yildirim, 2012)"},"properties":{"noteIndex":0},"schema":"https://github.com/citation-style-language/schema/raw/master/csl-citation.json"}</w:instrText>
      </w:r>
      <w:r>
        <w:fldChar w:fldCharType="separate"/>
      </w:r>
      <w:r w:rsidRPr="000A4E12">
        <w:rPr>
          <w:noProof/>
        </w:rPr>
        <w:t>(Yildirim, 2012)</w:t>
      </w:r>
      <w:r>
        <w:fldChar w:fldCharType="end"/>
      </w:r>
      <w:r>
        <w:t xml:space="preserve">. </w:t>
      </w:r>
      <m:oMath>
        <m:r>
          <w:rPr>
            <w:rFonts w:ascii="Cambria Math" w:hAnsi="Cambria Math"/>
          </w:rPr>
          <m:t>M</m:t>
        </m:r>
        <m:sSup>
          <m:sSupPr>
            <m:ctrlPr>
              <w:rPr>
                <w:rFonts w:ascii="Cambria Math" w:hAnsi="Cambria Math"/>
                <w:i/>
              </w:rPr>
            </m:ctrlPr>
          </m:sSupPr>
          <m:e>
            <m:r>
              <w:rPr>
                <w:rFonts w:ascii="Cambria Math" w:hAnsi="Cambria Math"/>
              </w:rPr>
              <m:t>C</m:t>
            </m:r>
          </m:e>
          <m:sup>
            <m:r>
              <w:rPr>
                <w:rFonts w:ascii="Cambria Math" w:hAnsi="Cambria Math"/>
              </w:rPr>
              <m:t>3</m:t>
            </m:r>
          </m:sup>
        </m:sSup>
      </m:oMath>
      <w:r>
        <w:t xml:space="preserve"> can be considered as a Markov </w:t>
      </w:r>
      <w:r w:rsidRPr="001E2F59">
        <w:t xml:space="preserve">chain Monte Carlo (MCMC) with multiple chains running all at once </w:t>
      </w:r>
      <w:r w:rsidRPr="001E2F59">
        <w:fldChar w:fldCharType="begin" w:fldLock="1"/>
      </w:r>
      <w:r w:rsidRPr="001E2F59">
        <w:instrText>ADDIN CSL_CITATION {"citationItems":[{"id":"ITEM-1","itemData":{"DOI":"10.1371/journal.pcbi.1004330","ISSN":"15537358","PMID":"26197151","abstract":"The group model is a useful tool to understand broad-scale patterns of interaction in a network, but it has previously been limited in use to food webs, which contain only predator-prey interactions. Natural populations interact with each other in a variety of ways and, although most published ecological networks only include information about a single interaction type (e.g., feeding, pollination), ecologists are beginning to consider networks which combine multiple interaction types. Here we extend the group model to signed directed networks such as ecological interaction webs. As a specific application of this method, we examine the effects of including or excluding specific interaction types on our understanding of species roles in ecological networks. We consider all three currently available interaction webs, two of which are extended plant-mutualist networks with herbivores and parasitoids added, and one of which is an extended intertidal food web with interactions of all possible sign structures (+/+, -/0, etc.). Species in the extended food web grouped similarly with all interactions, only trophic links, and only nontrophic links. However, removing mutualism or herbivory had a much larger effect in the extended plant-pollinator webs. Species removal even affected groups that were not directly connected to those that were removed, as we found by excluding a small number of parasitoids. These results suggest that including additional species in the network provides far more information than additional interactions for this aspect of network structure. Our methods provide a useful framework for simplifying networks to their essential structure, allowing us to identify generalities in network structure and better understand the roles species play in their communities.","author":[{"dropping-particle":"","family":"Sander","given":"Elizabeth L.","non-dropping-particle":"","parse-names":false,"suffix":""},{"dropping-particle":"","family":"Wootton","given":"J. Timothy","non-dropping-particle":"","parse-names":false,"suffix":""},{"dropping-particle":"","family":"Allesina","given":"Stefano","non-dropping-particle":"","parse-names":false,"suffix":""}],"container-title":"PLoS Computational Biology","id":"ITEM-1","issue":"7","issued":{"date-parts":[["2015"]]},"page":"1-22","title":"What Can Interaction Webs Tell Us About Species Roles?","type":"article-journal","volume":"11"},"uris":["http://www.mendeley.com/documents/?uuid=4e005e6c-3b48-499e-ba91-3c57699a4d95"]}],"mendeley":{"formattedCitation":"(Sander et al., 2015)","plainTextFormattedCitation":"(Sander et al., 2015)","previouslyFormattedCitation":"(Sander et al., 2015)"},"properties":{"noteIndex":0},"schema":"https://github.com/citation-style-language/schema/raw/master/csl-citation.json"}</w:instrText>
      </w:r>
      <w:r w:rsidRPr="001E2F59">
        <w:fldChar w:fldCharType="separate"/>
      </w:r>
      <w:r w:rsidRPr="001E2F59">
        <w:rPr>
          <w:noProof/>
        </w:rPr>
        <w:t>(Sander et al., 2015)</w:t>
      </w:r>
      <w:r w:rsidRPr="001E2F59">
        <w:fldChar w:fldCharType="end"/>
      </w:r>
      <w:r w:rsidRPr="001E2F59">
        <w:t xml:space="preserve">. </w:t>
      </w:r>
    </w:p>
    <w:p w14:paraId="1EE3A4D9" w14:textId="77777777" w:rsidR="001E2F59" w:rsidRPr="001E2F59" w:rsidRDefault="001E2F59" w:rsidP="006E65F2">
      <w:pPr>
        <w:spacing w:line="480" w:lineRule="auto"/>
        <w:ind w:firstLine="720"/>
      </w:pPr>
    </w:p>
    <w:p w14:paraId="2925A5D2" w14:textId="77777777" w:rsidR="003947A8" w:rsidRPr="00F95949" w:rsidRDefault="003947A8" w:rsidP="006E65F2">
      <w:pPr>
        <w:pStyle w:val="Heading2"/>
        <w:spacing w:before="0" w:beforeAutospacing="0" w:after="0" w:afterAutospacing="0" w:line="480" w:lineRule="auto"/>
        <w:rPr>
          <w:b w:val="0"/>
          <w:sz w:val="24"/>
          <w:szCs w:val="24"/>
        </w:rPr>
      </w:pPr>
      <w:r w:rsidRPr="00F95949">
        <w:rPr>
          <w:b w:val="0"/>
          <w:sz w:val="24"/>
          <w:szCs w:val="24"/>
        </w:rPr>
        <w:t>Connecting the clusters and assigning interaction strength</w:t>
      </w:r>
    </w:p>
    <w:p w14:paraId="5F52111A" w14:textId="77777777" w:rsidR="001E2F59" w:rsidRDefault="001E2F59" w:rsidP="006E65F2">
      <w:pPr>
        <w:spacing w:line="480" w:lineRule="auto"/>
      </w:pPr>
    </w:p>
    <w:p w14:paraId="24573139" w14:textId="1E37D779" w:rsidR="003947A8" w:rsidRDefault="003947A8" w:rsidP="006E65F2">
      <w:pPr>
        <w:spacing w:line="480" w:lineRule="auto"/>
      </w:pPr>
      <w:r w:rsidRPr="001E2F59">
        <w:t>The connection of the clusters followed a similar approach to the one described in</w:t>
      </w:r>
      <w:r w:rsidRPr="00EE39A6">
        <w:t xml:space="preserve"> </w:t>
      </w:r>
      <w:r>
        <w:fldChar w:fldCharType="begin" w:fldLock="1"/>
      </w:r>
      <w:r>
        <w:instrText>ADDIN CSL_CITATION {"citationItems":[{"id":"ITEM-1","itemData":{"author":[{"dropping-particle":"","family":"Martinez","given":"Neo D.","non-dropping-particle":"","parse-names":false,"suffix":""}],"container-title":"Ecological Monographs","id":"ITEM-1","issue":"4","issued":{"date-parts":[["1991"]]},"page":"367-392","title":"Artifacts or Attributes ? Effects of Resolution on the Little Rock Lake Food Web","type":"article-journal","volume":"61"},"uris":["http://www.mendeley.com/documents/?uuid=0f1334c5-6644-43a7-9284-0d85317706aa"]}],"mendeley":{"formattedCitation":"(Martinez, 1991)","manualFormatting":"Martinez (1991)","plainTextFormattedCitation":"(Martinez, 1991)","previouslyFormattedCitation":"(Martinez, 1991)"},"properties":{"noteIndex":0},"schema":"https://github.com/citation-style-language/schema/raw/master/csl-citation.json"}</w:instrText>
      </w:r>
      <w:r>
        <w:fldChar w:fldCharType="separate"/>
      </w:r>
      <w:r w:rsidRPr="00452DEC">
        <w:rPr>
          <w:noProof/>
        </w:rPr>
        <w:t xml:space="preserve">Martinez </w:t>
      </w:r>
      <w:r>
        <w:rPr>
          <w:noProof/>
        </w:rPr>
        <w:t>(</w:t>
      </w:r>
      <w:r w:rsidRPr="00452DEC">
        <w:rPr>
          <w:noProof/>
        </w:rPr>
        <w:t>1991)</w:t>
      </w:r>
      <w:r>
        <w:fldChar w:fldCharType="end"/>
      </w:r>
      <w:r w:rsidRPr="00EE39A6">
        <w:t xml:space="preserve">. We used five methods to decide whether there was a link between two clusters. The </w:t>
      </w:r>
      <w:r w:rsidRPr="00EE39A6">
        <w:lastRenderedPageBreak/>
        <w:t xml:space="preserve">first </w:t>
      </w:r>
      <w:r>
        <w:t xml:space="preserve">one </w:t>
      </w:r>
      <w:r w:rsidRPr="00EE39A6">
        <w:t>produc</w:t>
      </w:r>
      <w:r>
        <w:t>es</w:t>
      </w:r>
      <w:r w:rsidRPr="00EE39A6">
        <w:t xml:space="preserve"> the maximum connectance and is known as maximum linkage</w:t>
      </w:r>
      <w:r>
        <w:t xml:space="preserve"> method (NMAX)</w:t>
      </w:r>
      <w:r w:rsidRPr="00EE39A6">
        <w:t>. Here, a cluster ha</w:t>
      </w:r>
      <w:r>
        <w:t>s</w:t>
      </w:r>
      <w:r w:rsidRPr="00EE39A6">
        <w:t xml:space="preserve"> a connection to another cluster if it ha</w:t>
      </w:r>
      <w:r>
        <w:t>s</w:t>
      </w:r>
      <w:r w:rsidRPr="00EE39A6">
        <w:t xml:space="preserve"> at least one link going from one of its nodes to the nodes of the second cluster. The second one produce</w:t>
      </w:r>
      <w:r>
        <w:t>s</w:t>
      </w:r>
      <w:r w:rsidRPr="00EE39A6">
        <w:t xml:space="preserve"> the minimum connectance and is known as minimum linkage</w:t>
      </w:r>
      <w:r>
        <w:t xml:space="preserve"> method (NMIN)</w:t>
      </w:r>
      <w:r w:rsidRPr="00EE39A6">
        <w:t xml:space="preserve">. </w:t>
      </w:r>
      <w:r>
        <w:t>In this case,</w:t>
      </w:r>
      <w:r w:rsidRPr="00EE39A6">
        <w:t xml:space="preserve"> a cluster </w:t>
      </w:r>
      <w:r>
        <w:t>is</w:t>
      </w:r>
      <w:r w:rsidRPr="00EE39A6">
        <w:t xml:space="preserve"> connected to another only if all its nodes ha</w:t>
      </w:r>
      <w:r>
        <w:t>ve</w:t>
      </w:r>
      <w:r w:rsidRPr="00EE39A6">
        <w:t xml:space="preserve"> a connection to all the nodes of the other cluster. The other three methods produce an intermediate connectance. They consider a link from a cluster to</w:t>
      </w:r>
      <w:r>
        <w:t xml:space="preserve"> another</w:t>
      </w:r>
      <w:r w:rsidRPr="00EE39A6">
        <w:t xml:space="preserve"> only if at least 25%, 50%</w:t>
      </w:r>
      <w:r>
        <w:t>,</w:t>
      </w:r>
      <w:r w:rsidRPr="00EE39A6">
        <w:t xml:space="preserve"> or 7</w:t>
      </w:r>
      <w:r>
        <w:t>5</w:t>
      </w:r>
      <w:r w:rsidRPr="00EE39A6">
        <w:t xml:space="preserve">% of possible connections from the first cluster to the second </w:t>
      </w:r>
      <w:r>
        <w:t>are</w:t>
      </w:r>
      <w:r w:rsidRPr="00EE39A6">
        <w:t xml:space="preserve"> realised.</w:t>
      </w:r>
    </w:p>
    <w:p w14:paraId="40081992" w14:textId="513FE227" w:rsidR="003947A8" w:rsidRDefault="003947A8" w:rsidP="006E65F2">
      <w:pPr>
        <w:spacing w:line="480" w:lineRule="auto"/>
        <w:ind w:firstLine="720"/>
      </w:pPr>
      <w:r w:rsidRPr="00EE39A6">
        <w:t xml:space="preserve">The weight of the link was then calculated in four different ways: as the minimum weight, the maximum weight, the mean weight, and the sum of the weights of the links going </w:t>
      </w:r>
      <w:r w:rsidRPr="001E2F59">
        <w:t>from the members of the first cluster to the ones of the second cluster.</w:t>
      </w:r>
    </w:p>
    <w:p w14:paraId="1AD3DC0B" w14:textId="77777777" w:rsidR="001E2F59" w:rsidRPr="001E2F59" w:rsidRDefault="001E2F59" w:rsidP="006E65F2">
      <w:pPr>
        <w:spacing w:line="480" w:lineRule="auto"/>
        <w:ind w:firstLine="720"/>
      </w:pPr>
    </w:p>
    <w:p w14:paraId="11C9C2EB" w14:textId="77777777" w:rsidR="003947A8" w:rsidRPr="00F95949" w:rsidRDefault="003947A8" w:rsidP="006E65F2">
      <w:pPr>
        <w:pStyle w:val="Heading2"/>
        <w:spacing w:before="0" w:beforeAutospacing="0" w:after="0" w:afterAutospacing="0" w:line="480" w:lineRule="auto"/>
        <w:rPr>
          <w:b w:val="0"/>
          <w:sz w:val="24"/>
          <w:szCs w:val="24"/>
        </w:rPr>
      </w:pPr>
      <w:r w:rsidRPr="00F95949">
        <w:rPr>
          <w:b w:val="0"/>
          <w:sz w:val="24"/>
          <w:szCs w:val="24"/>
        </w:rPr>
        <w:t>Indices of importance</w:t>
      </w:r>
    </w:p>
    <w:p w14:paraId="3217B90C" w14:textId="77777777" w:rsidR="001E2F59" w:rsidRDefault="001E2F59" w:rsidP="006E65F2">
      <w:pPr>
        <w:spacing w:line="480" w:lineRule="auto"/>
      </w:pPr>
    </w:p>
    <w:p w14:paraId="044772CA" w14:textId="5DD20F4E" w:rsidR="003947A8" w:rsidRDefault="003947A8" w:rsidP="006E65F2">
      <w:pPr>
        <w:spacing w:line="480" w:lineRule="auto"/>
      </w:pPr>
      <w:r w:rsidRPr="001E2F59">
        <w:t xml:space="preserve">For each food web, we calculated the indices of importance before and after the aggregation. The indices of importance of a node after the aggregation </w:t>
      </w:r>
      <w:r w:rsidR="00D14CC1">
        <w:t>was defined as</w:t>
      </w:r>
      <w:r w:rsidRPr="001E2F59">
        <w:t xml:space="preserve"> the one of its</w:t>
      </w:r>
      <w:r>
        <w:t xml:space="preserve"> cluster. Let’s consider the following example. </w:t>
      </w:r>
      <w:r w:rsidRPr="00EE39A6">
        <w:t xml:space="preserve">Before the aggregation, the node "hake" has a degree centrality of 5. </w:t>
      </w:r>
      <w:r>
        <w:t xml:space="preserve">The aggregation process clusters it with other fish nodes, creating a node in the aggregated food web called “fish”. The degree centrality of “fish” is 8. In this case, the degree centrality of “hake” is 5 in the original food web and 8 in the aggregated food web. </w:t>
      </w:r>
      <w:r w:rsidRPr="001E2F59">
        <w:t xml:space="preserve">The importance indices we used belonged to the following families. </w:t>
      </w:r>
    </w:p>
    <w:p w14:paraId="09952F8D" w14:textId="77777777" w:rsidR="001E2F59" w:rsidRPr="001E2F59" w:rsidRDefault="001E2F59" w:rsidP="006E65F2">
      <w:pPr>
        <w:spacing w:line="480" w:lineRule="auto"/>
      </w:pPr>
    </w:p>
    <w:p w14:paraId="440B5273" w14:textId="77777777" w:rsidR="003947A8" w:rsidRPr="00F95949" w:rsidRDefault="003947A8" w:rsidP="006E65F2">
      <w:pPr>
        <w:pStyle w:val="Heading3"/>
        <w:spacing w:before="0" w:beforeAutospacing="0" w:after="0" w:afterAutospacing="0" w:line="480" w:lineRule="auto"/>
        <w:rPr>
          <w:b w:val="0"/>
          <w:i/>
          <w:sz w:val="24"/>
          <w:szCs w:val="24"/>
        </w:rPr>
      </w:pPr>
      <w:r w:rsidRPr="00F95949">
        <w:rPr>
          <w:b w:val="0"/>
          <w:i/>
          <w:sz w:val="24"/>
          <w:szCs w:val="24"/>
        </w:rPr>
        <w:t xml:space="preserve">Degree centrality (DC) </w:t>
      </w:r>
    </w:p>
    <w:p w14:paraId="36B8CFF5" w14:textId="77777777" w:rsidR="001E2F59" w:rsidRPr="00F95949" w:rsidRDefault="001E2F59" w:rsidP="006E65F2">
      <w:pPr>
        <w:spacing w:line="480" w:lineRule="auto"/>
        <w:rPr>
          <w:i/>
        </w:rPr>
      </w:pPr>
    </w:p>
    <w:p w14:paraId="0166DFEC" w14:textId="52DCC80D" w:rsidR="003947A8" w:rsidRDefault="003947A8" w:rsidP="006E65F2">
      <w:pPr>
        <w:spacing w:line="480" w:lineRule="auto"/>
      </w:pPr>
      <w:r w:rsidRPr="001E2F59">
        <w:lastRenderedPageBreak/>
        <w:t>The degree centrality (</w:t>
      </w:r>
      <m:oMath>
        <m:r>
          <w:rPr>
            <w:rFonts w:ascii="Cambria Math" w:hAnsi="Cambria Math"/>
          </w:rPr>
          <m:t>DC</m:t>
        </m:r>
      </m:oMath>
      <w:r w:rsidRPr="001E2F59">
        <w:t xml:space="preserve">) of a node </w:t>
      </w:r>
      <m:oMath>
        <m:r>
          <w:rPr>
            <w:rFonts w:ascii="Cambria Math" w:hAnsi="Cambria Math"/>
          </w:rPr>
          <m:t>i</m:t>
        </m:r>
      </m:oMath>
      <w:r w:rsidRPr="001E2F59">
        <w:t xml:space="preserve"> is the number of links it has </w:t>
      </w:r>
      <w:r w:rsidRPr="001E2F59">
        <w:fldChar w:fldCharType="begin" w:fldLock="1"/>
      </w:r>
      <w:r w:rsidRPr="001E2F59">
        <w:instrText>ADDIN CSL_CITATION {"citationItems":[{"id":"ITEM-1","itemData":{"author":[{"dropping-particle":"","family":"Wasserman","given":"Stanley","non-dropping-particle":"","parse-names":false,"suffix":""},{"dropping-particle":"","family":"Faust","given":"Katherine","non-dropping-particle":"","parse-names":false,"suffix":""}],"id":"ITEM-1","issued":{"date-parts":[["1994"]]},"publisher":"Cambridge University Press","title":"Social network analysis : methods and applications","type":"book"},"uris":["http://www.mendeley.com/documents/?uuid=93cc9d10-fb78-4ee9-9ae4-3d98e995ca60"]}],"mendeley":{"formattedCitation":"(Wasserman &amp; Faust, 1994)","plainTextFormattedCitation":"(Wasserman &amp; Faust, 1994)","previouslyFormattedCitation":"(Wasserman &amp; Faust, 1994)"},"properties":{"noteIndex":0},"schema":"https://github.com/citation-style-language/schema/raw/master/csl-citation.json"}</w:instrText>
      </w:r>
      <w:r w:rsidRPr="001E2F59">
        <w:fldChar w:fldCharType="separate"/>
      </w:r>
      <w:r w:rsidRPr="001E2F59">
        <w:rPr>
          <w:noProof/>
        </w:rPr>
        <w:t>(Wasserman &amp; Faust, 1994)</w:t>
      </w:r>
      <w:r w:rsidRPr="001E2F59">
        <w:fldChar w:fldCharType="end"/>
      </w:r>
    </w:p>
    <w:p w14:paraId="7AF37CBA" w14:textId="77777777" w:rsidR="00AC3BD0" w:rsidRDefault="00AC3BD0" w:rsidP="006E65F2">
      <w:pPr>
        <w:spacing w:line="480" w:lineRule="auto"/>
      </w:pPr>
    </w:p>
    <w:p w14:paraId="62A9018D" w14:textId="25FBD783" w:rsidR="003947A8" w:rsidRPr="005561BD" w:rsidRDefault="003947A8" w:rsidP="006E65F2">
      <w:pPr>
        <w:spacing w:line="480" w:lineRule="auto"/>
        <w:jc w:val="center"/>
        <w:rPr>
          <w:rFonts w:ascii="Cambria Math" w:eastAsiaTheme="minorEastAsia" w:hAnsi="Cambria Math"/>
          <w:oMath/>
        </w:rPr>
      </w:pPr>
      <m:oMath>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r>
          <w:rPr>
            <w:rFonts w:ascii="Cambria Math" w:eastAsiaTheme="minorEastAsia" w:hAnsi="Cambria Math"/>
          </w:rPr>
          <m:t>=</m:t>
        </m:r>
        <m:nary>
          <m:naryPr>
            <m:chr m:val="∑"/>
            <m:limLoc m:val="undOvr"/>
            <m:ctrlPr>
              <w:rPr>
                <w:rFonts w:ascii="Cambria Math" w:eastAsiaTheme="minorEastAsia" w:hAnsi="Cambria Math"/>
              </w:rPr>
            </m:ctrlPr>
          </m:naryPr>
          <m:sub>
            <m:r>
              <w:rPr>
                <w:rFonts w:ascii="Cambria Math" w:eastAsiaTheme="minorEastAsia" w:hAnsi="Cambria Math"/>
              </w:rPr>
              <m:t>j=1</m:t>
            </m:r>
            <m:ctrlPr>
              <w:rPr>
                <w:rFonts w:ascii="Cambria Math" w:eastAsiaTheme="minorEastAsia" w:hAnsi="Cambria Math"/>
                <w:i/>
              </w:rPr>
            </m:ctrlPr>
          </m:sub>
          <m:sup>
            <m:r>
              <w:rPr>
                <w:rFonts w:ascii="Cambria Math" w:eastAsiaTheme="minorEastAsia" w:hAnsi="Cambria Math"/>
              </w:rPr>
              <m:t>n</m:t>
            </m:r>
            <m:ctrlPr>
              <w:rPr>
                <w:rFonts w:ascii="Cambria Math" w:eastAsiaTheme="minorEastAsia" w:hAnsi="Cambria Math"/>
                <w:i/>
              </w:rPr>
            </m:ctrlP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ij</m:t>
                </m:r>
              </m:sub>
            </m:sSub>
            <m:ctrlPr>
              <w:rPr>
                <w:rFonts w:ascii="Cambria Math" w:eastAsiaTheme="minorEastAsia" w:hAnsi="Cambria Math"/>
                <w:i/>
              </w:rPr>
            </m:ctrlPr>
          </m:e>
        </m:nary>
      </m:oMath>
      <w:r w:rsidR="0076253B">
        <w:t xml:space="preserve"> (5)</w:t>
      </w:r>
    </w:p>
    <w:p w14:paraId="57747818" w14:textId="77777777" w:rsidR="00AC3BD0" w:rsidRPr="00AC3BD0" w:rsidRDefault="00AC3BD0" w:rsidP="006E65F2">
      <w:pPr>
        <w:spacing w:line="480" w:lineRule="auto"/>
      </w:pPr>
    </w:p>
    <w:p w14:paraId="08AD6D7F" w14:textId="6A04DBE3" w:rsidR="003947A8" w:rsidRDefault="003947A8" w:rsidP="006E65F2">
      <w:pPr>
        <w:spacing w:line="480" w:lineRule="auto"/>
      </w:pPr>
      <w:r w:rsidRPr="00EE39A6">
        <w:t xml:space="preserve">where </w:t>
      </w:r>
      <m:oMath>
        <m:r>
          <w:rPr>
            <w:rFonts w:ascii="Cambria Math" w:hAnsi="Cambria Math"/>
          </w:rPr>
          <m:t>n</m:t>
        </m:r>
      </m:oMath>
      <w:r w:rsidRPr="00EE39A6">
        <w:t xml:space="preserve"> is the number of nodes in the food web, and </w:t>
      </w:r>
      <m:oMath>
        <m:sSub>
          <m:sSubPr>
            <m:ctrlPr>
              <w:rPr>
                <w:rFonts w:ascii="Cambria Math" w:hAnsi="Cambria Math"/>
                <w:i/>
              </w:rPr>
            </m:ctrlPr>
          </m:sSubPr>
          <m:e>
            <m:r>
              <w:rPr>
                <w:rFonts w:ascii="Cambria Math" w:hAnsi="Cambria Math"/>
              </w:rPr>
              <m:t>A</m:t>
            </m:r>
          </m:e>
          <m:sub>
            <m:r>
              <w:rPr>
                <w:rFonts w:ascii="Cambria Math" w:hAnsi="Cambria Math"/>
              </w:rPr>
              <m:t>ij</m:t>
            </m:r>
          </m:sub>
        </m:sSub>
      </m:oMath>
      <w:r w:rsidRPr="00EE39A6">
        <w:t xml:space="preserve"> is the element of the adjacency matrix, after the network has been transformed in a binary undirected one.</w:t>
      </w:r>
    </w:p>
    <w:p w14:paraId="004E55F7" w14:textId="7C332B1A" w:rsidR="003947A8" w:rsidRDefault="003947A8" w:rsidP="006E65F2">
      <w:pPr>
        <w:spacing w:line="480" w:lineRule="auto"/>
        <w:ind w:firstLine="720"/>
      </w:pPr>
      <w:r w:rsidRPr="00EE39A6">
        <w:t>Another type of degree centrality that we considered was the weighted degree centrality (</w:t>
      </w:r>
      <m:oMath>
        <m:r>
          <w:rPr>
            <w:rFonts w:ascii="Cambria Math" w:hAnsi="Cambria Math"/>
          </w:rPr>
          <m:t>wDC</m:t>
        </m:r>
      </m:oMath>
      <w:r w:rsidRPr="00EE39A6">
        <w:t>), often referred to as node strength. Its formula</w:t>
      </w:r>
      <w:r>
        <w:t xml:space="preserve"> is</w:t>
      </w:r>
      <w:r w:rsidRPr="00EE39A6">
        <w:t xml:space="preserve"> the same as for the non-weighted degree centrality. This time, however, the adjacency matrix is of an undirected weighted network</w:t>
      </w:r>
      <w:r>
        <w:t xml:space="preserve"> </w:t>
      </w:r>
      <w:r>
        <w:fldChar w:fldCharType="begin" w:fldLock="1"/>
      </w:r>
      <w:r>
        <w:instrText>ADDIN CSL_CITATION {"citationItems":[{"id":"ITEM-1","itemData":{"DOI":"10.1016/C2012-0-06036-X","ISBN":"9780124079083","abstract":"Fundamentals of Brain Network Analysis is a comprehensive and accessible introduction to methods for unraveling the extraordinary complexity of neuronal connectivity. From the perspective of graph theory and network science, this book introduces, motivates and explains techniques for modeling brain networks as graphs of nodes connected by edges, and covers a diverse array of measures for quantifying their topological and spatial organization. It builds intuition for key concepts and methods by illustrating how they can be practically applied in diverse areas of neuroscience, ranging from the analysis of synaptic networks in the nematode worm to the characterization of large-scale human brain networks constructed with magnetic resonance imaging. This text is ideally suited to neuroscientists wanting to develop expertise in the rapidly developing field of neural connectomics, and to physical and computational scientists wanting to understand how these quantitative methods can be used to understand brain organization. Extensively illustrated throughout by graphical representations of key mathematical concepts and their practical applications to analyses of nervous systems Comprehensively covers graph theoretical analyses of structural and functional brain networks, from microscopic to macroscopic scales, using examples based on a wide variety of experimental methods in neuroscience Designed to inform and empower scientists at all levels of experience, and from any specialist background, wanting to use modern methods of network science to understand the organization of the brain.","author":[{"dropping-particle":"","family":"Fornito","given":"Alex","non-dropping-particle":"","parse-names":false,"suffix":""},{"dropping-particle":"","family":"Zalesky","given":"Andrew","non-dropping-particle":"","parse-names":false,"suffix":""},{"dropping-particle":"","family":"Bullmore","given":"Edward T.","non-dropping-particle":"","parse-names":false,"suffix":""}],"container-title":"Fundamentals of Brain Network Analysis","id":"ITEM-1","issued":{"date-parts":[["2016"]]},"publisher":"Academic Press.","title":"Fundamentals of Brain Network Analysis","type":"book"},"uris":["http://www.mendeley.com/documents/?uuid=b0b9dd9d-d422-4194-90b3-ed80aececb8b"]}],"mendeley":{"formattedCitation":"(Fornito, Zalesky, &amp; Bullmore, 2016)","plainTextFormattedCitation":"(Fornito, Zalesky, &amp; Bullmore, 2016)","previouslyFormattedCitation":"(Fornito, Zalesky, &amp; Bullmore, 2016)"},"properties":{"noteIndex":0},"schema":"https://github.com/citation-style-language/schema/raw/master/csl-citation.json"}</w:instrText>
      </w:r>
      <w:r>
        <w:fldChar w:fldCharType="separate"/>
      </w:r>
      <w:r w:rsidRPr="003E093F">
        <w:rPr>
          <w:noProof/>
        </w:rPr>
        <w:t>(Fornito, Zalesky, &amp; Bullmore, 2016)</w:t>
      </w:r>
      <w:r>
        <w:fldChar w:fldCharType="end"/>
      </w:r>
      <w:r w:rsidRPr="00EE39A6">
        <w:t xml:space="preserve"> </w:t>
      </w:r>
    </w:p>
    <w:p w14:paraId="52097BBB" w14:textId="77777777" w:rsidR="009426F3" w:rsidRDefault="009426F3" w:rsidP="006E65F2">
      <w:pPr>
        <w:spacing w:line="480" w:lineRule="auto"/>
        <w:ind w:firstLine="720"/>
      </w:pPr>
    </w:p>
    <w:p w14:paraId="58449A61" w14:textId="088F60C6" w:rsidR="003947A8" w:rsidRPr="00566B5C" w:rsidRDefault="003947A8" w:rsidP="006E65F2">
      <w:pPr>
        <w:spacing w:line="480" w:lineRule="auto"/>
        <w:jc w:val="center"/>
        <w:rPr>
          <w:rFonts w:ascii="Cambria Math" w:eastAsiaTheme="minorEastAsia" w:hAnsi="Cambria Math"/>
          <w:oMath/>
        </w:rPr>
      </w:pPr>
      <m:oMath>
        <m:r>
          <w:rPr>
            <w:rFonts w:ascii="Cambria Math" w:eastAsiaTheme="minorEastAsia" w:hAnsi="Cambria Math"/>
          </w:rPr>
          <m:t>wD</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r>
          <w:rPr>
            <w:rFonts w:ascii="Cambria Math" w:eastAsiaTheme="minorEastAsia" w:hAnsi="Cambria Math"/>
          </w:rPr>
          <m:t>=</m:t>
        </m:r>
        <m:nary>
          <m:naryPr>
            <m:chr m:val="∑"/>
            <m:limLoc m:val="undOvr"/>
            <m:ctrlPr>
              <w:rPr>
                <w:rFonts w:ascii="Cambria Math" w:eastAsiaTheme="minorEastAsia" w:hAnsi="Cambria Math"/>
              </w:rPr>
            </m:ctrlPr>
          </m:naryPr>
          <m:sub>
            <m:r>
              <w:rPr>
                <w:rFonts w:ascii="Cambria Math" w:eastAsiaTheme="minorEastAsia" w:hAnsi="Cambria Math"/>
              </w:rPr>
              <m:t>j=1</m:t>
            </m:r>
            <m:ctrlPr>
              <w:rPr>
                <w:rFonts w:ascii="Cambria Math" w:eastAsiaTheme="minorEastAsia" w:hAnsi="Cambria Math"/>
                <w:i/>
              </w:rPr>
            </m:ctrlPr>
          </m:sub>
          <m:sup>
            <m:r>
              <w:rPr>
                <w:rFonts w:ascii="Cambria Math" w:eastAsiaTheme="minorEastAsia" w:hAnsi="Cambria Math"/>
              </w:rPr>
              <m:t>n</m:t>
            </m:r>
            <m:ctrlPr>
              <w:rPr>
                <w:rFonts w:ascii="Cambria Math" w:eastAsiaTheme="minorEastAsia" w:hAnsi="Cambria Math"/>
                <w:i/>
              </w:rPr>
            </m:ctrlP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ij</m:t>
                </m:r>
              </m:sub>
            </m:sSub>
            <m:ctrlPr>
              <w:rPr>
                <w:rFonts w:ascii="Cambria Math" w:eastAsiaTheme="minorEastAsia" w:hAnsi="Cambria Math"/>
                <w:i/>
              </w:rPr>
            </m:ctrlPr>
          </m:e>
        </m:nary>
      </m:oMath>
      <w:r w:rsidR="00373132">
        <w:t xml:space="preserve"> (6)</w:t>
      </w:r>
    </w:p>
    <w:p w14:paraId="69A53DD1" w14:textId="77777777" w:rsidR="001E2F59" w:rsidRPr="001E2F59" w:rsidRDefault="001E2F59" w:rsidP="006E65F2">
      <w:pPr>
        <w:pStyle w:val="Heading3"/>
        <w:spacing w:before="0" w:beforeAutospacing="0" w:after="0" w:afterAutospacing="0" w:line="480" w:lineRule="auto"/>
        <w:rPr>
          <w:sz w:val="24"/>
          <w:szCs w:val="24"/>
        </w:rPr>
      </w:pPr>
    </w:p>
    <w:p w14:paraId="5AE3572D" w14:textId="191C318A" w:rsidR="003947A8" w:rsidRPr="00F95949" w:rsidRDefault="003947A8" w:rsidP="006E65F2">
      <w:pPr>
        <w:pStyle w:val="Heading3"/>
        <w:spacing w:before="0" w:beforeAutospacing="0" w:after="0" w:afterAutospacing="0" w:line="480" w:lineRule="auto"/>
        <w:rPr>
          <w:b w:val="0"/>
          <w:i/>
          <w:sz w:val="24"/>
          <w:szCs w:val="24"/>
        </w:rPr>
      </w:pPr>
      <w:r w:rsidRPr="00F95949">
        <w:rPr>
          <w:b w:val="0"/>
          <w:i/>
          <w:sz w:val="24"/>
          <w:szCs w:val="24"/>
        </w:rPr>
        <w:t xml:space="preserve">Closeness centrality (CC) </w:t>
      </w:r>
    </w:p>
    <w:p w14:paraId="58FAFEF6" w14:textId="5EA218E6" w:rsidR="001E2F59" w:rsidRDefault="001E2F59" w:rsidP="006E65F2">
      <w:pPr>
        <w:spacing w:line="480" w:lineRule="auto"/>
      </w:pPr>
    </w:p>
    <w:p w14:paraId="5E943CB3" w14:textId="66208A13" w:rsidR="003947A8" w:rsidRDefault="003947A8" w:rsidP="006E65F2">
      <w:pPr>
        <w:spacing w:line="480" w:lineRule="auto"/>
      </w:pPr>
      <w:r w:rsidRPr="001E2F59">
        <w:t>The closeness centrality (</w:t>
      </w:r>
      <m:oMath>
        <m:r>
          <w:rPr>
            <w:rFonts w:ascii="Cambria Math" w:hAnsi="Cambria Math"/>
          </w:rPr>
          <m:t>CC</m:t>
        </m:r>
      </m:oMath>
      <w:r w:rsidRPr="001E2F59">
        <w:t>) of a node is the average distance of a node from</w:t>
      </w:r>
      <w:r w:rsidRPr="00EE39A6">
        <w:t xml:space="preserve"> all the others</w:t>
      </w:r>
      <w:r>
        <w:t xml:space="preserve"> in the network</w:t>
      </w:r>
      <w:r w:rsidRPr="00EE39A6">
        <w:t xml:space="preserve"> </w:t>
      </w:r>
      <w:r>
        <w:fldChar w:fldCharType="begin" w:fldLock="1"/>
      </w:r>
      <w:r>
        <w:instrText>ADDIN CSL_CITATION {"citationItems":[{"id":"ITEM-1","itemData":{"author":[{"dropping-particle":"","family":"Wasserman","given":"Stanley","non-dropping-particle":"","parse-names":false,"suffix":""},{"dropping-particle":"","family":"Faust","given":"Katherine","non-dropping-particle":"","parse-names":false,"suffix":""}],"id":"ITEM-1","issued":{"date-parts":[["1994"]]},"publisher":"Cambridge University Press","title":"Social network analysis : methods and applications","type":"book"},"uris":["http://www.mendeley.com/documents/?uuid=93cc9d10-fb78-4ee9-9ae4-3d98e995ca60"]}],"mendeley":{"formattedCitation":"(Wasserman &amp; Faust, 1994)","plainTextFormattedCitation":"(Wasserman &amp; Faust, 1994)","previouslyFormattedCitation":"(Wasserman &amp; Faust, 1994)"},"properties":{"noteIndex":0},"schema":"https://github.com/citation-style-language/schema/raw/master/csl-citation.json"}</w:instrText>
      </w:r>
      <w:r>
        <w:fldChar w:fldCharType="separate"/>
      </w:r>
      <w:r w:rsidRPr="00B86386">
        <w:rPr>
          <w:noProof/>
        </w:rPr>
        <w:t>(Wasserman &amp; Faust, 1994)</w:t>
      </w:r>
      <w:r>
        <w:fldChar w:fldCharType="end"/>
      </w:r>
    </w:p>
    <w:p w14:paraId="095DE754" w14:textId="77777777" w:rsidR="007374DF" w:rsidRDefault="007374DF" w:rsidP="006E65F2">
      <w:pPr>
        <w:spacing w:line="480" w:lineRule="auto"/>
      </w:pPr>
    </w:p>
    <w:p w14:paraId="77E999AF" w14:textId="3EA6D92D" w:rsidR="003947A8" w:rsidRPr="00566B5C" w:rsidRDefault="003947A8" w:rsidP="006E65F2">
      <w:pPr>
        <w:spacing w:line="480" w:lineRule="auto"/>
        <w:jc w:val="center"/>
        <w:rPr>
          <w:rFonts w:ascii="Cambria Math" w:eastAsiaTheme="minorEastAsia" w:hAnsi="Cambria Math"/>
          <w:oMath/>
        </w:rPr>
      </w:pPr>
      <m:oMath>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nary>
              <m:naryPr>
                <m:chr m:val="∑"/>
                <m:limLoc m:val="undOvr"/>
                <m:ctrlPr>
                  <w:rPr>
                    <w:rFonts w:ascii="Cambria Math" w:eastAsiaTheme="minorEastAsia" w:hAnsi="Cambria Math"/>
                  </w:rPr>
                </m:ctrlPr>
              </m:naryPr>
              <m:sub>
                <m:r>
                  <w:rPr>
                    <w:rFonts w:ascii="Cambria Math" w:eastAsiaTheme="minorEastAsia" w:hAnsi="Cambria Math"/>
                  </w:rPr>
                  <m:t>j=1</m:t>
                </m:r>
                <m:ctrlPr>
                  <w:rPr>
                    <w:rFonts w:ascii="Cambria Math" w:eastAsiaTheme="minorEastAsia" w:hAnsi="Cambria Math"/>
                    <w:i/>
                  </w:rPr>
                </m:ctrlPr>
              </m:sub>
              <m:sup>
                <m:r>
                  <w:rPr>
                    <w:rFonts w:ascii="Cambria Math" w:eastAsiaTheme="minorEastAsia" w:hAnsi="Cambria Math"/>
                  </w:rPr>
                  <m:t>n</m:t>
                </m:r>
                <m:ctrlPr>
                  <w:rPr>
                    <w:rFonts w:ascii="Cambria Math" w:eastAsiaTheme="minorEastAsia" w:hAnsi="Cambria Math"/>
                    <w:i/>
                  </w:rPr>
                </m:ctrlPr>
              </m:sup>
              <m:e>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i,j</m:t>
                    </m:r>
                  </m:e>
                </m:d>
                <m:ctrlPr>
                  <w:rPr>
                    <w:rFonts w:ascii="Cambria Math" w:eastAsiaTheme="minorEastAsia" w:hAnsi="Cambria Math"/>
                    <w:i/>
                  </w:rPr>
                </m:ctrlPr>
              </m:e>
            </m:nary>
            <m:ctrlPr>
              <w:rPr>
                <w:rFonts w:ascii="Cambria Math" w:eastAsiaTheme="minorEastAsia" w:hAnsi="Cambria Math"/>
                <w:i/>
              </w:rPr>
            </m:ctrlPr>
          </m:den>
        </m:f>
      </m:oMath>
      <w:r w:rsidR="004233D4">
        <w:t xml:space="preserve"> (7)</w:t>
      </w:r>
    </w:p>
    <w:p w14:paraId="3A8970F0" w14:textId="77777777" w:rsidR="007374DF" w:rsidRPr="007374DF" w:rsidRDefault="007374DF" w:rsidP="006E65F2">
      <w:pPr>
        <w:spacing w:line="480" w:lineRule="auto"/>
      </w:pPr>
    </w:p>
    <w:p w14:paraId="57B9B5AD" w14:textId="72802E9F" w:rsidR="003947A8" w:rsidRDefault="003947A8" w:rsidP="006E65F2">
      <w:pPr>
        <w:spacing w:line="480" w:lineRule="auto"/>
        <w:rPr>
          <w:rFonts w:eastAsiaTheme="minorEastAsia"/>
        </w:rPr>
      </w:pPr>
      <w:r w:rsidRPr="00EE39A6">
        <w:t xml:space="preserve">where </w:t>
      </w:r>
      <m:oMath>
        <m:r>
          <w:rPr>
            <w:rFonts w:ascii="Cambria Math" w:hAnsi="Cambria Math"/>
          </w:rPr>
          <m:t>d</m:t>
        </m:r>
        <m:d>
          <m:dPr>
            <m:ctrlPr>
              <w:rPr>
                <w:rFonts w:ascii="Cambria Math" w:hAnsi="Cambria Math"/>
                <w:i/>
              </w:rPr>
            </m:ctrlPr>
          </m:dPr>
          <m:e>
            <m:r>
              <w:rPr>
                <w:rFonts w:ascii="Cambria Math" w:hAnsi="Cambria Math"/>
              </w:rPr>
              <m:t>i,j</m:t>
            </m:r>
          </m:e>
        </m:d>
      </m:oMath>
      <w:r w:rsidRPr="00EE39A6">
        <w:t xml:space="preserve"> is the shortest path between node </w:t>
      </w:r>
      <m:oMath>
        <m:r>
          <w:rPr>
            <w:rFonts w:ascii="Cambria Math" w:hAnsi="Cambria Math"/>
          </w:rPr>
          <m:t>i</m:t>
        </m:r>
      </m:oMath>
      <w:r w:rsidRPr="00EE39A6">
        <w:t xml:space="preserve"> and </w:t>
      </w:r>
      <m:oMath>
        <m:r>
          <w:rPr>
            <w:rFonts w:ascii="Cambria Math" w:hAnsi="Cambria Math"/>
          </w:rPr>
          <m:t>j</m:t>
        </m:r>
      </m:oMath>
      <w:r>
        <w:rPr>
          <w:rFonts w:eastAsiaTheme="minorEastAsia"/>
        </w:rPr>
        <w:t>.</w:t>
      </w:r>
    </w:p>
    <w:p w14:paraId="7E7FAB07" w14:textId="77777777" w:rsidR="001E2F59" w:rsidRDefault="001E2F59" w:rsidP="006E65F2">
      <w:pPr>
        <w:spacing w:line="480" w:lineRule="auto"/>
        <w:rPr>
          <w:rFonts w:eastAsiaTheme="minorEastAsia"/>
        </w:rPr>
      </w:pPr>
    </w:p>
    <w:p w14:paraId="0A7B854B" w14:textId="77777777" w:rsidR="003947A8" w:rsidRPr="00F95949" w:rsidRDefault="003947A8" w:rsidP="006E65F2">
      <w:pPr>
        <w:pStyle w:val="Heading3"/>
        <w:spacing w:before="0" w:beforeAutospacing="0" w:after="0" w:afterAutospacing="0" w:line="480" w:lineRule="auto"/>
        <w:rPr>
          <w:b w:val="0"/>
          <w:i/>
          <w:sz w:val="24"/>
          <w:szCs w:val="24"/>
        </w:rPr>
      </w:pPr>
      <w:r w:rsidRPr="00F95949">
        <w:rPr>
          <w:b w:val="0"/>
          <w:i/>
          <w:sz w:val="24"/>
          <w:szCs w:val="24"/>
        </w:rPr>
        <w:t>Betweenness centrality (BC)</w:t>
      </w:r>
    </w:p>
    <w:p w14:paraId="2AEA6545" w14:textId="77777777" w:rsidR="001E2F59" w:rsidRPr="00F95949" w:rsidRDefault="001E2F59" w:rsidP="006E65F2">
      <w:pPr>
        <w:spacing w:line="480" w:lineRule="auto"/>
        <w:rPr>
          <w:i/>
        </w:rPr>
      </w:pPr>
    </w:p>
    <w:p w14:paraId="3FB540C0" w14:textId="02D11A4B" w:rsidR="003947A8" w:rsidRDefault="003947A8" w:rsidP="006E65F2">
      <w:pPr>
        <w:spacing w:line="480" w:lineRule="auto"/>
      </w:pPr>
      <w:r w:rsidRPr="001E2F59">
        <w:lastRenderedPageBreak/>
        <w:t>The betweenness centrality (</w:t>
      </w:r>
      <m:oMath>
        <m:r>
          <w:rPr>
            <w:rFonts w:ascii="Cambria Math" w:hAnsi="Cambria Math"/>
          </w:rPr>
          <m:t>BC</m:t>
        </m:r>
      </m:oMath>
      <w:r w:rsidRPr="001E2F59">
        <w:t>) of a node is the average number of times that it acts as a</w:t>
      </w:r>
      <w:r w:rsidRPr="00EE39A6">
        <w:t xml:space="preserve"> bridge along the shortest path between two other nodes. It can be mathematically expressed as follows </w:t>
      </w:r>
      <w:r>
        <w:t xml:space="preserve"> </w:t>
      </w:r>
      <w:r>
        <w:fldChar w:fldCharType="begin" w:fldLock="1"/>
      </w:r>
      <w:r>
        <w:instrText>ADDIN CSL_CITATION {"citationItems":[{"id":"ITEM-1","itemData":{"author":[{"dropping-particle":"","family":"Wasserman","given":"Stanley","non-dropping-particle":"","parse-names":false,"suffix":""},{"dropping-particle":"","family":"Faust","given":"Katherine","non-dropping-particle":"","parse-names":false,"suffix":""}],"id":"ITEM-1","issued":{"date-parts":[["1994"]]},"publisher":"Cambridge University Press","title":"Social network analysis : methods and applications","type":"book"},"uris":["http://www.mendeley.com/documents/?uuid=93cc9d10-fb78-4ee9-9ae4-3d98e995ca60"]}],"mendeley":{"formattedCitation":"(Wasserman &amp; Faust, 1994)","plainTextFormattedCitation":"(Wasserman &amp; Faust, 1994)","previouslyFormattedCitation":"(Wasserman &amp; Faust, 1994)"},"properties":{"noteIndex":0},"schema":"https://github.com/citation-style-language/schema/raw/master/csl-citation.json"}</w:instrText>
      </w:r>
      <w:r>
        <w:fldChar w:fldCharType="separate"/>
      </w:r>
      <w:r w:rsidRPr="005F3102">
        <w:rPr>
          <w:noProof/>
        </w:rPr>
        <w:t>(Wasserman &amp; Faust, 1994)</w:t>
      </w:r>
      <w:r>
        <w:fldChar w:fldCharType="end"/>
      </w:r>
    </w:p>
    <w:p w14:paraId="391AF333" w14:textId="77777777" w:rsidR="007374DF" w:rsidRPr="007374DF" w:rsidRDefault="007374DF" w:rsidP="006E65F2">
      <w:pPr>
        <w:spacing w:line="480" w:lineRule="auto"/>
      </w:pPr>
    </w:p>
    <w:p w14:paraId="2781C990" w14:textId="50C30E46" w:rsidR="003947A8" w:rsidRPr="00566B5C" w:rsidRDefault="003947A8" w:rsidP="006E65F2">
      <w:pPr>
        <w:spacing w:line="480" w:lineRule="auto"/>
        <w:jc w:val="center"/>
        <w:rPr>
          <w:rFonts w:ascii="Cambria Math" w:eastAsiaTheme="minorEastAsia" w:hAnsi="Cambria Math"/>
          <w:oMath/>
        </w:rPr>
      </w:pPr>
      <m:oMath>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r>
          <w:rPr>
            <w:rFonts w:ascii="Cambria Math" w:eastAsiaTheme="minorEastAsia" w:hAnsi="Cambria Math"/>
          </w:rPr>
          <m:t>=</m:t>
        </m:r>
        <m:nary>
          <m:naryPr>
            <m:chr m:val="∑"/>
            <m:limLoc m:val="undOvr"/>
            <m:supHide m:val="1"/>
            <m:ctrlPr>
              <w:rPr>
                <w:rFonts w:ascii="Cambria Math" w:eastAsiaTheme="minorEastAsia" w:hAnsi="Cambria Math"/>
              </w:rPr>
            </m:ctrlPr>
          </m:naryPr>
          <m:sub>
            <m:r>
              <w:rPr>
                <w:rFonts w:ascii="Cambria Math" w:eastAsiaTheme="minorEastAsia" w:hAnsi="Cambria Math"/>
              </w:rPr>
              <m:t>i</m:t>
            </m:r>
            <m:r>
              <m:rPr>
                <m:sty m:val="p"/>
              </m:rPr>
              <w:rPr>
                <w:rFonts w:ascii="Cambria Math" w:eastAsiaTheme="minorEastAsia" w:hAnsi="Cambria Math"/>
              </w:rPr>
              <m:t>≠</m:t>
            </m:r>
            <m:r>
              <w:rPr>
                <w:rFonts w:ascii="Cambria Math" w:eastAsiaTheme="minorEastAsia" w:hAnsi="Cambria Math"/>
              </w:rPr>
              <m:t>m</m:t>
            </m:r>
            <m:r>
              <m:rPr>
                <m:sty m:val="p"/>
              </m:rPr>
              <w:rPr>
                <w:rFonts w:ascii="Cambria Math" w:eastAsiaTheme="minorEastAsia" w:hAnsi="Cambria Math"/>
              </w:rPr>
              <m:t>≠</m:t>
            </m:r>
            <m:r>
              <w:rPr>
                <w:rFonts w:ascii="Cambria Math" w:eastAsiaTheme="minorEastAsia" w:hAnsi="Cambria Math"/>
              </w:rPr>
              <m:t>n</m:t>
            </m:r>
            <m:ctrlPr>
              <w:rPr>
                <w:rFonts w:ascii="Cambria Math" w:eastAsiaTheme="minorEastAsia" w:hAnsi="Cambria Math"/>
                <w:i/>
              </w:rPr>
            </m:ctrlPr>
          </m:sub>
          <m:sup>
            <m:ctrlPr>
              <w:rPr>
                <w:rFonts w:ascii="Cambria Math" w:eastAsiaTheme="minorEastAsia" w:hAnsi="Cambria Math"/>
                <w:i/>
              </w:rPr>
            </m:ctrlPr>
          </m:sup>
          <m:e>
            <m:f>
              <m:fPr>
                <m:ctrlPr>
                  <w:rPr>
                    <w:rFonts w:ascii="Cambria Math" w:eastAsiaTheme="minorEastAsia" w:hAnsi="Cambria Math"/>
                  </w:rPr>
                </m:ctrlPr>
              </m:fPr>
              <m:num>
                <m:sSub>
                  <m:sSubPr>
                    <m:ctrlPr>
                      <w:rPr>
                        <w:rFonts w:ascii="Cambria Math" w:eastAsiaTheme="minorEastAsia" w:hAnsi="Cambria Math"/>
                        <w:i/>
                      </w:rPr>
                    </m:ctrlPr>
                  </m:sSubPr>
                  <m:e>
                    <m:r>
                      <m:rPr>
                        <m:sty m:val="p"/>
                      </m:rPr>
                      <w:rPr>
                        <w:rFonts w:ascii="Cambria Math" w:eastAsiaTheme="minorEastAsia" w:hAnsi="Cambria Math"/>
                      </w:rPr>
                      <m:t>σ</m:t>
                    </m:r>
                  </m:e>
                  <m:sub>
                    <m:r>
                      <w:rPr>
                        <w:rFonts w:ascii="Cambria Math" w:eastAsiaTheme="minorEastAsia" w:hAnsi="Cambria Math"/>
                      </w:rPr>
                      <m:t>mn</m:t>
                    </m:r>
                  </m:sub>
                </m:sSub>
                <m:d>
                  <m:dPr>
                    <m:ctrlPr>
                      <w:rPr>
                        <w:rFonts w:ascii="Cambria Math" w:eastAsiaTheme="minorEastAsia" w:hAnsi="Cambria Math"/>
                        <w:i/>
                      </w:rPr>
                    </m:ctrlPr>
                  </m:dPr>
                  <m:e>
                    <m:r>
                      <w:rPr>
                        <w:rFonts w:ascii="Cambria Math" w:eastAsiaTheme="minorEastAsia" w:hAnsi="Cambria Math"/>
                      </w:rPr>
                      <m:t>i</m:t>
                    </m:r>
                  </m:e>
                </m:d>
                <m:ctrlPr>
                  <w:rPr>
                    <w:rFonts w:ascii="Cambria Math" w:eastAsiaTheme="minorEastAsia" w:hAnsi="Cambria Math"/>
                    <w:i/>
                  </w:rPr>
                </m:ctrlPr>
              </m:num>
              <m:den>
                <m:sSub>
                  <m:sSubPr>
                    <m:ctrlPr>
                      <w:rPr>
                        <w:rFonts w:ascii="Cambria Math" w:eastAsiaTheme="minorEastAsia" w:hAnsi="Cambria Math"/>
                        <w:i/>
                      </w:rPr>
                    </m:ctrlPr>
                  </m:sSubPr>
                  <m:e>
                    <m:r>
                      <m:rPr>
                        <m:sty m:val="p"/>
                      </m:rPr>
                      <w:rPr>
                        <w:rFonts w:ascii="Cambria Math" w:eastAsiaTheme="minorEastAsia" w:hAnsi="Cambria Math"/>
                      </w:rPr>
                      <m:t>σ</m:t>
                    </m:r>
                  </m:e>
                  <m:sub>
                    <m:r>
                      <w:rPr>
                        <w:rFonts w:ascii="Cambria Math" w:eastAsiaTheme="minorEastAsia" w:hAnsi="Cambria Math"/>
                      </w:rPr>
                      <m:t>mn</m:t>
                    </m:r>
                  </m:sub>
                </m:sSub>
                <m:ctrlPr>
                  <w:rPr>
                    <w:rFonts w:ascii="Cambria Math" w:eastAsiaTheme="minorEastAsia" w:hAnsi="Cambria Math"/>
                    <w:i/>
                  </w:rPr>
                </m:ctrlPr>
              </m:den>
            </m:f>
            <m:ctrlPr>
              <w:rPr>
                <w:rFonts w:ascii="Cambria Math" w:eastAsiaTheme="minorEastAsia" w:hAnsi="Cambria Math"/>
                <w:i/>
              </w:rPr>
            </m:ctrlPr>
          </m:e>
        </m:nary>
      </m:oMath>
      <w:r w:rsidR="00E86A07">
        <w:t xml:space="preserve"> (8)</w:t>
      </w:r>
    </w:p>
    <w:p w14:paraId="00F3A550" w14:textId="77777777" w:rsidR="007374DF" w:rsidRPr="007374DF" w:rsidRDefault="007374DF" w:rsidP="006E65F2">
      <w:pPr>
        <w:spacing w:line="480" w:lineRule="auto"/>
      </w:pPr>
    </w:p>
    <w:p w14:paraId="391E5B8D" w14:textId="59F0AB97" w:rsidR="003947A8" w:rsidRDefault="003947A8" w:rsidP="006E65F2">
      <w:pPr>
        <w:spacing w:line="480" w:lineRule="auto"/>
      </w:pPr>
      <w:r w:rsidRPr="00EE39A6">
        <w:t xml:space="preserve">where </w:t>
      </w:r>
      <m:oMath>
        <m:sSub>
          <m:sSubPr>
            <m:ctrlPr>
              <w:rPr>
                <w:rFonts w:ascii="Cambria Math" w:hAnsi="Cambria Math"/>
                <w:i/>
              </w:rPr>
            </m:ctrlPr>
          </m:sSubPr>
          <m:e>
            <m:r>
              <w:rPr>
                <w:rFonts w:ascii="Cambria Math" w:hAnsi="Cambria Math"/>
              </w:rPr>
              <m:t>σ</m:t>
            </m:r>
            <m:ctrlPr>
              <w:rPr>
                <w:rFonts w:ascii="Cambria Math" w:hAnsi="Cambria Math"/>
              </w:rPr>
            </m:ctrlPr>
          </m:e>
          <m:sub>
            <m:r>
              <w:rPr>
                <w:rFonts w:ascii="Cambria Math" w:hAnsi="Cambria Math"/>
              </w:rPr>
              <m:t>mn</m:t>
            </m:r>
          </m:sub>
        </m:sSub>
      </m:oMath>
      <w:r w:rsidRPr="00EE39A6">
        <w:t xml:space="preserve"> is the total number of shortest paths going from </w:t>
      </w:r>
      <m:oMath>
        <m:r>
          <w:rPr>
            <w:rFonts w:ascii="Cambria Math" w:hAnsi="Cambria Math"/>
          </w:rPr>
          <m:t>m</m:t>
        </m:r>
      </m:oMath>
      <w:r w:rsidRPr="00EE39A6">
        <w:t xml:space="preserve"> to </w:t>
      </w:r>
      <m:oMath>
        <m:r>
          <w:rPr>
            <w:rFonts w:ascii="Cambria Math" w:hAnsi="Cambria Math"/>
          </w:rPr>
          <m:t>n</m:t>
        </m:r>
      </m:oMath>
      <w:r w:rsidRPr="00EE39A6">
        <w:t xml:space="preserve"> and </w:t>
      </w:r>
      <m:oMath>
        <m:sSub>
          <m:sSubPr>
            <m:ctrlPr>
              <w:rPr>
                <w:rFonts w:ascii="Cambria Math" w:hAnsi="Cambria Math"/>
                <w:i/>
              </w:rPr>
            </m:ctrlPr>
          </m:sSubPr>
          <m:e>
            <m:r>
              <w:rPr>
                <w:rFonts w:ascii="Cambria Math" w:hAnsi="Cambria Math"/>
              </w:rPr>
              <m:t>σ</m:t>
            </m:r>
            <m:ctrlPr>
              <w:rPr>
                <w:rFonts w:ascii="Cambria Math" w:hAnsi="Cambria Math"/>
              </w:rPr>
            </m:ctrlPr>
          </m:e>
          <m:sub>
            <m:r>
              <w:rPr>
                <w:rFonts w:ascii="Cambria Math" w:hAnsi="Cambria Math"/>
              </w:rPr>
              <m:t>mn</m:t>
            </m:r>
          </m:sub>
        </m:sSub>
        <m:d>
          <m:dPr>
            <m:ctrlPr>
              <w:rPr>
                <w:rFonts w:ascii="Cambria Math" w:hAnsi="Cambria Math"/>
              </w:rPr>
            </m:ctrlPr>
          </m:dPr>
          <m:e>
            <m:r>
              <w:rPr>
                <w:rFonts w:ascii="Cambria Math" w:hAnsi="Cambria Math"/>
              </w:rPr>
              <m:t>i</m:t>
            </m:r>
            <m:ctrlPr>
              <w:rPr>
                <w:rFonts w:ascii="Cambria Math" w:hAnsi="Cambria Math"/>
                <w:i/>
              </w:rPr>
            </m:ctrlPr>
          </m:e>
        </m:d>
      </m:oMath>
      <w:r w:rsidRPr="00EE39A6">
        <w:t xml:space="preserve"> is the total </w:t>
      </w:r>
      <w:r w:rsidRPr="001E2F59">
        <w:t xml:space="preserve">number of these paths passing through </w:t>
      </w:r>
      <m:oMath>
        <m:r>
          <w:rPr>
            <w:rFonts w:ascii="Cambria Math" w:hAnsi="Cambria Math"/>
          </w:rPr>
          <m:t>i</m:t>
        </m:r>
      </m:oMath>
      <w:r w:rsidRPr="001E2F59">
        <w:t>.</w:t>
      </w:r>
    </w:p>
    <w:p w14:paraId="48C88A30" w14:textId="77777777" w:rsidR="001E2F59" w:rsidRPr="001E2F59" w:rsidRDefault="001E2F59" w:rsidP="006E65F2">
      <w:pPr>
        <w:spacing w:line="480" w:lineRule="auto"/>
        <w:rPr>
          <w:rFonts w:ascii="Cambria Math" w:eastAsiaTheme="minorEastAsia" w:hAnsi="Cambria Math"/>
          <w:oMath/>
        </w:rPr>
      </w:pPr>
    </w:p>
    <w:p w14:paraId="5CAAF993" w14:textId="77777777" w:rsidR="003947A8" w:rsidRPr="00F95949" w:rsidRDefault="003947A8" w:rsidP="006E65F2">
      <w:pPr>
        <w:pStyle w:val="Heading3"/>
        <w:spacing w:before="0" w:beforeAutospacing="0" w:after="0" w:afterAutospacing="0" w:line="480" w:lineRule="auto"/>
        <w:rPr>
          <w:b w:val="0"/>
          <w:i/>
          <w:sz w:val="24"/>
          <w:szCs w:val="24"/>
        </w:rPr>
      </w:pPr>
      <w:r w:rsidRPr="00F95949">
        <w:rPr>
          <w:b w:val="0"/>
          <w:i/>
          <w:sz w:val="24"/>
          <w:szCs w:val="24"/>
        </w:rPr>
        <w:t>Status index (s)</w:t>
      </w:r>
    </w:p>
    <w:p w14:paraId="326906E2" w14:textId="0BA2092C" w:rsidR="001E2F59" w:rsidRPr="00F95949" w:rsidRDefault="001E2F59" w:rsidP="006E65F2">
      <w:pPr>
        <w:spacing w:line="480" w:lineRule="auto"/>
        <w:rPr>
          <w:i/>
        </w:rPr>
      </w:pPr>
    </w:p>
    <w:p w14:paraId="263575F0" w14:textId="58ED4EA3" w:rsidR="003947A8" w:rsidRDefault="003947A8" w:rsidP="006E65F2">
      <w:pPr>
        <w:spacing w:line="480" w:lineRule="auto"/>
      </w:pPr>
      <w:r w:rsidRPr="001E2F59">
        <w:t>The status index of a node is the sum of its distances from all the other nodes inside</w:t>
      </w:r>
      <w:r w:rsidRPr="00EE39A6">
        <w:t xml:space="preserve"> the network, calculated as their shortest paths following a bottom-up direction</w:t>
      </w:r>
      <w:r>
        <w:t xml:space="preserve"> </w:t>
      </w:r>
      <w:r>
        <w:fldChar w:fldCharType="begin" w:fldLock="1"/>
      </w:r>
      <w:r>
        <w:instrText>ADDIN CSL_CITATION {"citationItems":[{"id":"ITEM-1","itemData":{"DOI":"10.1016/j.ecolmodel.2017.11.015","ISSN":"03043800","abstract":"Using network analysis for making predictions about food web dynamics is one of the major challenges in systems ecology. Since there are several notoriously difficult methodological problems with food webs, only a comparative perspective can help. We study a standard database for trophic flow networks and analyse the correlation between structure and dynamics in strictly hierarchical food webs (directed acyclic graphs, DAGs). To characterize the structural information about trophic nodes in food webs (their positional importance), we use 8 topological indices that had been developed for quantifying DAGs (3 indices related to status, s, and 5 indices related to the keystone index, K). For dynamics, we use the KS (keystoneness) index that quantifies the importance of trophic nodes in the food web, considering also carbon flows and biomass. We statistically compare the structural and dynamical importance of each network node and find that the K indices are much better predictors of KS than the s indices. Based on these results, we suggest that functional studies have to consider both bottom-up and top-down effects as well as indirect effects that are dampening with distance. We suggest that this kind of study can be helpful to better understand the relevance and applicability of network analysis, an otherwise popular research methodology with continuously increasing predictive power.","author":[{"dropping-particle":"","family":"Endrédi","given":"Anett","non-dropping-particle":"","parse-names":false,"suffix":""},{"dropping-particle":"","family":"Senánszky","given":"Vera","non-dropping-particle":"","parse-names":false,"suffix":""},{"dropping-particle":"","family":"Libralato","given":"Simone","non-dropping-particle":"","parse-names":false,"suffix":""},{"dropping-particle":"","family":"Jordán","given":"Ferenc","non-dropping-particle":"","parse-names":false,"suffix":""}],"container-title":"Ecological Modelling","id":"ITEM-1","issue":"368","issued":{"date-parts":[["2018"]]},"page":"94-103","publisher":"Elsevier B.V.","title":"Food web dynamics in trophic hierarchies","type":"article-journal"},"uris":["http://www.mendeley.com/documents/?uuid=3a738fb0-6237-4530-9942-5c6f2689add1"]}],"mendeley":{"formattedCitation":"(Endrédi, Senánszky, Libralato, &amp; Jordán, 2018)","plainTextFormattedCitation":"(Endrédi, Senánszky, Libralato, &amp; Jordán, 2018)","previouslyFormattedCitation":"(Endrédi, Senánszky, Libralato, &amp; Jordán, 2018)"},"properties":{"noteIndex":0},"schema":"https://github.com/citation-style-language/schema/raw/master/csl-citation.json"}</w:instrText>
      </w:r>
      <w:r>
        <w:fldChar w:fldCharType="separate"/>
      </w:r>
      <w:r w:rsidRPr="00BE326C">
        <w:rPr>
          <w:noProof/>
        </w:rPr>
        <w:t>(Endrédi, Senánszky, Libralato, &amp; Jordán, 2018)</w:t>
      </w:r>
      <w:r>
        <w:fldChar w:fldCharType="end"/>
      </w:r>
    </w:p>
    <w:p w14:paraId="22EEB555" w14:textId="77777777" w:rsidR="006641DF" w:rsidRDefault="006641DF" w:rsidP="006E65F2">
      <w:pPr>
        <w:spacing w:line="480" w:lineRule="auto"/>
      </w:pPr>
    </w:p>
    <w:p w14:paraId="6BFA437D" w14:textId="1D5B49A1" w:rsidR="003947A8" w:rsidRPr="00A475C0" w:rsidRDefault="00060248" w:rsidP="006E65F2">
      <w:pPr>
        <w:spacing w:line="480" w:lineRule="auto"/>
        <w:jc w:val="center"/>
        <w:rPr>
          <w:rFonts w:asciiTheme="minorHAnsi" w:eastAsiaTheme="minorEastAsia" w:hAnsiTheme="minorHAnsi" w:cstheme="minorBidi"/>
        </w:rPr>
      </w:pP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r>
          <w:rPr>
            <w:rFonts w:ascii="Cambria Math" w:eastAsiaTheme="minorEastAsia" w:hAnsi="Cambria Math"/>
          </w:rPr>
          <m:t>=</m:t>
        </m:r>
        <m:nary>
          <m:naryPr>
            <m:chr m:val="∑"/>
            <m:limLoc m:val="undOvr"/>
            <m:ctrlPr>
              <w:rPr>
                <w:rFonts w:ascii="Cambria Math" w:eastAsiaTheme="minorEastAsia" w:hAnsi="Cambria Math"/>
              </w:rPr>
            </m:ctrlPr>
          </m:naryPr>
          <m:sub>
            <m:r>
              <w:rPr>
                <w:rFonts w:ascii="Cambria Math" w:eastAsiaTheme="minorEastAsia" w:hAnsi="Cambria Math"/>
              </w:rPr>
              <m:t>j=1</m:t>
            </m:r>
            <m:ctrlPr>
              <w:rPr>
                <w:rFonts w:ascii="Cambria Math" w:eastAsiaTheme="minorEastAsia" w:hAnsi="Cambria Math"/>
                <w:i/>
              </w:rPr>
            </m:ctrlPr>
          </m:sub>
          <m:sup>
            <m:r>
              <w:rPr>
                <w:rFonts w:ascii="Cambria Math" w:eastAsiaTheme="minorEastAsia" w:hAnsi="Cambria Math"/>
              </w:rPr>
              <m:t>n</m:t>
            </m:r>
            <m:ctrlPr>
              <w:rPr>
                <w:rFonts w:ascii="Cambria Math" w:eastAsiaTheme="minorEastAsia" w:hAnsi="Cambria Math"/>
                <w:i/>
              </w:rPr>
            </m:ctrlPr>
          </m:sup>
          <m:e>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i,j</m:t>
                </m:r>
              </m:e>
            </m:d>
            <m:ctrlPr>
              <w:rPr>
                <w:rFonts w:ascii="Cambria Math" w:eastAsiaTheme="minorEastAsia" w:hAnsi="Cambria Math"/>
                <w:i/>
              </w:rPr>
            </m:ctrlPr>
          </m:e>
        </m:nary>
      </m:oMath>
      <w:r w:rsidR="007D3BCC">
        <w:rPr>
          <w:rFonts w:asciiTheme="minorHAnsi" w:eastAsiaTheme="minorEastAsia" w:hAnsiTheme="minorHAnsi" w:cstheme="minorBidi"/>
        </w:rPr>
        <w:t xml:space="preserve"> (9)</w:t>
      </w:r>
    </w:p>
    <w:p w14:paraId="71B13770" w14:textId="77777777" w:rsidR="006641DF" w:rsidRDefault="006641DF" w:rsidP="006E65F2">
      <w:pPr>
        <w:spacing w:line="480" w:lineRule="auto"/>
      </w:pPr>
    </w:p>
    <w:p w14:paraId="7AFC014D" w14:textId="5F2962D4" w:rsidR="003947A8" w:rsidRPr="00431ED1" w:rsidRDefault="003947A8" w:rsidP="006E65F2">
      <w:pPr>
        <w:spacing w:line="480" w:lineRule="auto"/>
      </w:pPr>
      <w:r w:rsidRPr="00EE39A6">
        <w:t xml:space="preserve">where </w:t>
      </w:r>
      <m:oMath>
        <m:r>
          <w:rPr>
            <w:rFonts w:ascii="Cambria Math" w:hAnsi="Cambria Math"/>
          </w:rPr>
          <m:t>d</m:t>
        </m:r>
        <m:d>
          <m:dPr>
            <m:ctrlPr>
              <w:rPr>
                <w:rFonts w:ascii="Cambria Math" w:hAnsi="Cambria Math"/>
                <w:i/>
              </w:rPr>
            </m:ctrlPr>
          </m:dPr>
          <m:e>
            <m:r>
              <w:rPr>
                <w:rFonts w:ascii="Cambria Math" w:hAnsi="Cambria Math"/>
              </w:rPr>
              <m:t>i,j</m:t>
            </m:r>
          </m:e>
        </m:d>
      </m:oMath>
      <w:r w:rsidRPr="00EE39A6">
        <w:t xml:space="preserve"> is the shortest path between node </w:t>
      </w:r>
      <m:oMath>
        <m:r>
          <w:rPr>
            <w:rFonts w:ascii="Cambria Math" w:hAnsi="Cambria Math"/>
          </w:rPr>
          <m:t>i</m:t>
        </m:r>
      </m:oMath>
      <w:r w:rsidRPr="00EE39A6">
        <w:t xml:space="preserve"> and </w:t>
      </w:r>
      <m:oMath>
        <m:r>
          <w:rPr>
            <w:rFonts w:ascii="Cambria Math" w:hAnsi="Cambria Math"/>
          </w:rPr>
          <m:t>j</m:t>
        </m:r>
      </m:oMath>
      <w:r>
        <w:rPr>
          <w:rFonts w:eastAsiaTheme="minorEastAsia"/>
        </w:rPr>
        <w:t>.</w:t>
      </w:r>
      <w:r>
        <w:t xml:space="preserve"> </w:t>
      </w:r>
      <w:r w:rsidRPr="00EE39A6">
        <w:t>It was first introduced to social networks, followed two years later by its application to food</w:t>
      </w:r>
      <w:r>
        <w:t xml:space="preserve"> </w:t>
      </w:r>
      <w:r w:rsidRPr="00EE39A6">
        <w:t>webs by</w:t>
      </w:r>
      <w:r>
        <w:t xml:space="preserve"> </w:t>
      </w:r>
      <w:r>
        <w:fldChar w:fldCharType="begin" w:fldLock="1"/>
      </w:r>
      <w:r>
        <w:instrText>ADDIN CSL_CITATION {"citationItems":[{"id":"ITEM-1","itemData":{"DOI":"10.2307/2785610","ISSN":"00380431","abstract":"Our object is to propose a formula to measure a positional aspect of the status of a person in an organization or a group, and investigate some of its ramifications. \"Status\" is a word with multiple connotations. We do not attempt to handle here questions involving status due to salary, material wealth, education, fame, age, or similar attributes but are only concerned with structural or positional status. Examples and terminology are frequently drawn from formal organization theory and concepts for precision, but this is not necessary. The status formulations of this paper are intended to be applicable to all relations involving a group of persons, including for example informal sociometric choice, family relations, love, respect, and communica- tion as well as power or authority. We realize that our formula is only approximate and discuss its limitations in the last section.","author":[{"dropping-particle":"","family":"Harary","given":"Frank","non-dropping-particle":"","parse-names":false,"suffix":""}],"container-title":"Sociometry","id":"ITEM-1","issue":"1","issued":{"date-parts":[["1959"]]},"page":"23","title":"Status and Contrastatus","type":"article-journal","volume":"22"},"uris":["http://www.mendeley.com/documents/?uuid=b80e6c71-0782-427f-9557-f07aa1516647"]}],"mendeley":{"formattedCitation":"(Frank Harary, 1959)","manualFormatting":"Harary (1959,","plainTextFormattedCitation":"(Frank Harary, 1959)","previouslyFormattedCitation":"(Frank Harary, 1959)"},"properties":{"noteIndex":0},"schema":"https://github.com/citation-style-language/schema/raw/master/csl-citation.json"}</w:instrText>
      </w:r>
      <w:r>
        <w:fldChar w:fldCharType="separate"/>
      </w:r>
      <w:r w:rsidRPr="002C4573">
        <w:rPr>
          <w:noProof/>
        </w:rPr>
        <w:t xml:space="preserve">Harary </w:t>
      </w:r>
      <w:r>
        <w:rPr>
          <w:noProof/>
        </w:rPr>
        <w:t>(</w:t>
      </w:r>
      <w:r w:rsidRPr="002C4573">
        <w:rPr>
          <w:noProof/>
        </w:rPr>
        <w:t>1959</w:t>
      </w:r>
      <w:r>
        <w:rPr>
          <w:noProof/>
        </w:rPr>
        <w:t>,</w:t>
      </w:r>
      <w:r>
        <w:fldChar w:fldCharType="end"/>
      </w:r>
      <w:r>
        <w:t xml:space="preserve"> </w:t>
      </w:r>
      <w:r>
        <w:fldChar w:fldCharType="begin" w:fldLock="1"/>
      </w:r>
      <w:r>
        <w:instrText>ADDIN CSL_CITATION {"citationItems":[{"id":"ITEM-1","itemData":{"author":[{"dropping-particle":"","family":"Harary","given":"F.","non-dropping-particle":"","parse-names":false,"suffix":""}],"container-title":"General Systems","id":"ITEM-1","issued":{"date-parts":[["1961"]]},"page":"41-44","title":"Who eats whom?","type":"article-journal","volume":"6"},"uris":["http://www.mendeley.com/documents/?uuid=642f9206-668c-4cec-af06-f3c75453b0f8"]}],"mendeley":{"formattedCitation":"(F. Harary, 1961)","manualFormatting":"1961)","plainTextFormattedCitation":"(F. Harary, 1961)","previouslyFormattedCitation":"(F. Harary, 1961)"},"properties":{"noteIndex":0},"schema":"https://github.com/citation-style-language/schema/raw/master/csl-citation.json"}</w:instrText>
      </w:r>
      <w:r>
        <w:fldChar w:fldCharType="separate"/>
      </w:r>
      <w:r w:rsidRPr="002C4573">
        <w:rPr>
          <w:noProof/>
        </w:rPr>
        <w:t>1961)</w:t>
      </w:r>
      <w:r>
        <w:fldChar w:fldCharType="end"/>
      </w:r>
      <w:r w:rsidRPr="00EE39A6">
        <w:t>. By following the same method but in a top-down direction we</w:t>
      </w:r>
      <w:r>
        <w:t xml:space="preserve"> </w:t>
      </w:r>
      <w:r w:rsidRPr="00EE39A6">
        <w:t>obtain the contr</w:t>
      </w:r>
      <w:r>
        <w:t>a</w:t>
      </w:r>
      <w:r w:rsidRPr="00EE39A6">
        <w:t xml:space="preserve">status </w:t>
      </w:r>
      <m:oMath>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e>
        </m:d>
      </m:oMath>
    </w:p>
    <w:p w14:paraId="51C13B40" w14:textId="77777777" w:rsidR="00431ED1" w:rsidRPr="00431ED1" w:rsidRDefault="00431ED1" w:rsidP="006E65F2">
      <w:pPr>
        <w:spacing w:line="480" w:lineRule="auto"/>
      </w:pPr>
    </w:p>
    <w:p w14:paraId="30CAE095" w14:textId="3FFEC5A0" w:rsidR="003947A8" w:rsidRPr="00566B5C" w:rsidRDefault="00060248" w:rsidP="006E65F2">
      <w:pPr>
        <w:spacing w:line="480" w:lineRule="auto"/>
        <w:jc w:val="center"/>
        <w:rPr>
          <w:rFonts w:ascii="Cambria Math" w:eastAsiaTheme="minorEastAsia" w:hAnsi="Cambria Math"/>
          <w:oMath/>
        </w:rPr>
      </w:pPr>
      <m:oMath>
        <m:sSubSup>
          <m:sSubSupPr>
            <m:ctrlPr>
              <w:rPr>
                <w:rFonts w:ascii="Cambria Math" w:eastAsiaTheme="minorEastAsia" w:hAnsi="Cambria Math"/>
                <w:i/>
              </w:rPr>
            </m:ctrlPr>
          </m:sSubSupPr>
          <m:e>
            <m:r>
              <w:rPr>
                <w:rFonts w:ascii="Cambria Math" w:eastAsiaTheme="minorEastAsia" w:hAnsi="Cambria Math"/>
              </w:rPr>
              <m:t>s</m:t>
            </m:r>
          </m:e>
          <m:sub>
            <m:r>
              <w:rPr>
                <w:rFonts w:ascii="Cambria Math" w:eastAsiaTheme="minorEastAsia" w:hAnsi="Cambria Math"/>
              </w:rPr>
              <m:t>i</m:t>
            </m:r>
          </m:sub>
          <m:sup>
            <m:r>
              <w:rPr>
                <w:rFonts w:ascii="Cambria Math" w:eastAsiaTheme="minorEastAsia" w:hAnsi="Cambria Math"/>
              </w:rPr>
              <m:t>'</m:t>
            </m:r>
          </m:sup>
        </m:sSubSup>
        <m:r>
          <w:rPr>
            <w:rFonts w:ascii="Cambria Math" w:eastAsiaTheme="minorEastAsia" w:hAnsi="Cambria Math"/>
          </w:rPr>
          <m:t>=</m:t>
        </m:r>
        <m:nary>
          <m:naryPr>
            <m:chr m:val="∑"/>
            <m:limLoc m:val="undOvr"/>
            <m:ctrlPr>
              <w:rPr>
                <w:rFonts w:ascii="Cambria Math" w:eastAsiaTheme="minorEastAsia" w:hAnsi="Cambria Math"/>
              </w:rPr>
            </m:ctrlPr>
          </m:naryPr>
          <m:sub>
            <m:r>
              <w:rPr>
                <w:rFonts w:ascii="Cambria Math" w:eastAsiaTheme="minorEastAsia" w:hAnsi="Cambria Math"/>
              </w:rPr>
              <m:t>j=1</m:t>
            </m:r>
            <m:ctrlPr>
              <w:rPr>
                <w:rFonts w:ascii="Cambria Math" w:eastAsiaTheme="minorEastAsia" w:hAnsi="Cambria Math"/>
                <w:i/>
              </w:rPr>
            </m:ctrlPr>
          </m:sub>
          <m:sup>
            <m:r>
              <w:rPr>
                <w:rFonts w:ascii="Cambria Math" w:eastAsiaTheme="minorEastAsia" w:hAnsi="Cambria Math"/>
              </w:rPr>
              <m:t>n</m:t>
            </m:r>
            <m:ctrlPr>
              <w:rPr>
                <w:rFonts w:ascii="Cambria Math" w:eastAsiaTheme="minorEastAsia" w:hAnsi="Cambria Math"/>
                <w:i/>
              </w:rPr>
            </m:ctrlPr>
          </m:sup>
          <m:e>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i,j</m:t>
                </m:r>
              </m:e>
            </m:d>
            <m:ctrlPr>
              <w:rPr>
                <w:rFonts w:ascii="Cambria Math" w:eastAsiaTheme="minorEastAsia" w:hAnsi="Cambria Math"/>
                <w:i/>
              </w:rPr>
            </m:ctrlPr>
          </m:e>
        </m:nary>
      </m:oMath>
      <w:r w:rsidR="007D3BCC">
        <w:t>. (10)</w:t>
      </w:r>
    </w:p>
    <w:p w14:paraId="28B61C53" w14:textId="77777777" w:rsidR="00431ED1" w:rsidRPr="00431ED1" w:rsidRDefault="00431ED1" w:rsidP="006E65F2">
      <w:pPr>
        <w:spacing w:line="480" w:lineRule="auto"/>
      </w:pPr>
    </w:p>
    <w:p w14:paraId="72168679" w14:textId="0120C2E5" w:rsidR="003947A8" w:rsidRDefault="003947A8" w:rsidP="006E65F2">
      <w:pPr>
        <w:spacing w:line="480" w:lineRule="auto"/>
      </w:pPr>
      <w:r w:rsidRPr="00EE39A6">
        <w:t xml:space="preserve">The difference between the status and the </w:t>
      </w:r>
      <w:r>
        <w:t>contrastatus</w:t>
      </w:r>
      <w:r w:rsidRPr="00EE39A6">
        <w:t xml:space="preserve"> is called the net status (</w:t>
      </w:r>
      <m:oMath>
        <m:r>
          <m:rPr>
            <m:sty m:val="p"/>
          </m:rPr>
          <w:rPr>
            <w:rFonts w:ascii="Cambria Math" w:hAnsi="Cambria Math"/>
          </w:rPr>
          <m:t>Δ</m:t>
        </m:r>
        <m:sSub>
          <m:sSubPr>
            <m:ctrlPr>
              <w:rPr>
                <w:rFonts w:ascii="Cambria Math" w:hAnsi="Cambria Math"/>
                <w:i/>
              </w:rPr>
            </m:ctrlPr>
          </m:sSubPr>
          <m:e>
            <m:r>
              <w:rPr>
                <w:rFonts w:ascii="Cambria Math" w:hAnsi="Cambria Math"/>
              </w:rPr>
              <m:t>s</m:t>
            </m:r>
          </m:e>
          <m:sub>
            <m:r>
              <w:rPr>
                <w:rFonts w:ascii="Cambria Math" w:hAnsi="Cambria Math"/>
              </w:rPr>
              <m:t>i</m:t>
            </m:r>
          </m:sub>
        </m:sSub>
      </m:oMath>
      <w:r w:rsidRPr="00EE39A6">
        <w:t>)</w:t>
      </w:r>
      <w:r>
        <w:t xml:space="preserve"> </w:t>
      </w:r>
    </w:p>
    <w:p w14:paraId="60E16B69" w14:textId="77777777" w:rsidR="008E186B" w:rsidRDefault="008E186B" w:rsidP="006E65F2">
      <w:pPr>
        <w:spacing w:line="480" w:lineRule="auto"/>
      </w:pPr>
    </w:p>
    <w:p w14:paraId="6531C1B2" w14:textId="5CE7B45A" w:rsidR="003947A8" w:rsidRPr="00BB7A89" w:rsidRDefault="003947A8" w:rsidP="006E65F2">
      <w:pPr>
        <w:spacing w:line="480" w:lineRule="auto"/>
        <w:jc w:val="center"/>
        <w:rPr>
          <w:rFonts w:eastAsiaTheme="minorEastAsia"/>
        </w:rPr>
      </w:pPr>
      <m:oMath>
        <m:r>
          <m:rPr>
            <m:sty m:val="p"/>
          </m:rPr>
          <w:rPr>
            <w:rFonts w:ascii="Cambria Math" w:eastAsiaTheme="minorEastAsia" w:hAnsi="Cambria Math"/>
          </w:rPr>
          <w:lastRenderedPageBreak/>
          <m:t>Δ</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s</m:t>
            </m:r>
          </m:e>
          <m:sub>
            <m:r>
              <w:rPr>
                <w:rFonts w:ascii="Cambria Math" w:eastAsiaTheme="minorEastAsia" w:hAnsi="Cambria Math"/>
              </w:rPr>
              <m:t>i</m:t>
            </m:r>
          </m:sub>
          <m:sup>
            <m:r>
              <w:rPr>
                <w:rFonts w:ascii="Cambria Math" w:eastAsiaTheme="minorEastAsia" w:hAnsi="Cambria Math"/>
              </w:rPr>
              <m:t>'</m:t>
            </m:r>
          </m:sup>
        </m:sSubSup>
      </m:oMath>
      <w:r>
        <w:rPr>
          <w:rFonts w:eastAsiaTheme="minorEastAsia"/>
        </w:rPr>
        <w:t>.</w:t>
      </w:r>
      <w:r w:rsidR="007D3BCC">
        <w:rPr>
          <w:rFonts w:eastAsiaTheme="minorEastAsia"/>
        </w:rPr>
        <w:t xml:space="preserve"> (11)</w:t>
      </w:r>
    </w:p>
    <w:p w14:paraId="0549FDB4" w14:textId="77777777" w:rsidR="008E186B" w:rsidRDefault="008E186B" w:rsidP="006E65F2">
      <w:pPr>
        <w:spacing w:line="480" w:lineRule="auto"/>
        <w:rPr>
          <w:rFonts w:eastAsiaTheme="minorEastAsia"/>
        </w:rPr>
      </w:pPr>
    </w:p>
    <w:p w14:paraId="40E0BFAD" w14:textId="42E27908" w:rsidR="003947A8" w:rsidRDefault="003947A8" w:rsidP="006E65F2">
      <w:pPr>
        <w:spacing w:line="480" w:lineRule="auto"/>
        <w:rPr>
          <w:rFonts w:eastAsiaTheme="minorEastAsia"/>
        </w:rPr>
      </w:pPr>
      <w:r>
        <w:rPr>
          <w:rFonts w:eastAsiaTheme="minorEastAsia"/>
        </w:rPr>
        <w:t>The computation of the status, contrastatus and net status needs to be performed on a network without cycles. See supporting information for the algorithm used to create a directed acyclic graph (DAG).</w:t>
      </w:r>
    </w:p>
    <w:p w14:paraId="09262CEA" w14:textId="624699C0" w:rsidR="003947A8" w:rsidRDefault="003947A8" w:rsidP="006E65F2">
      <w:pPr>
        <w:spacing w:line="480" w:lineRule="auto"/>
        <w:rPr>
          <w:b/>
          <w:bCs/>
          <w:sz w:val="27"/>
          <w:szCs w:val="27"/>
        </w:rPr>
      </w:pPr>
    </w:p>
    <w:p w14:paraId="1895B10D" w14:textId="77777777" w:rsidR="003947A8" w:rsidRPr="00F95949" w:rsidRDefault="003947A8" w:rsidP="006E65F2">
      <w:pPr>
        <w:pStyle w:val="Heading3"/>
        <w:spacing w:before="0" w:beforeAutospacing="0" w:after="0" w:afterAutospacing="0" w:line="480" w:lineRule="auto"/>
        <w:rPr>
          <w:b w:val="0"/>
          <w:i/>
          <w:sz w:val="24"/>
          <w:szCs w:val="24"/>
        </w:rPr>
      </w:pPr>
      <w:r w:rsidRPr="00F95949">
        <w:rPr>
          <w:b w:val="0"/>
          <w:i/>
          <w:sz w:val="24"/>
          <w:szCs w:val="24"/>
        </w:rPr>
        <w:t>Keystone index (K)</w:t>
      </w:r>
    </w:p>
    <w:p w14:paraId="2CB10950" w14:textId="49854081" w:rsidR="001E2F59" w:rsidRDefault="001E2F59" w:rsidP="006E65F2">
      <w:pPr>
        <w:spacing w:line="480" w:lineRule="auto"/>
      </w:pPr>
    </w:p>
    <w:p w14:paraId="41B6015C" w14:textId="79116DDF" w:rsidR="003947A8" w:rsidRDefault="003947A8" w:rsidP="006E65F2">
      <w:pPr>
        <w:spacing w:line="480" w:lineRule="auto"/>
        <w:rPr>
          <w:rFonts w:eastAsiaTheme="minorEastAsia"/>
        </w:rPr>
      </w:pPr>
      <w:r w:rsidRPr="001E2F59">
        <w:t xml:space="preserve">The keystone index was firstly introduced by </w:t>
      </w:r>
      <w:r w:rsidRPr="001E2F59">
        <w:fldChar w:fldCharType="begin" w:fldLock="1"/>
      </w:r>
      <w:r w:rsidRPr="001E2F59">
        <w:instrText>ADDIN CSL_CITATION {"citationItems":[{"id":"ITEM-1","itemData":{"DOI":"10.2307/3546650","ISSN":"00301299","abstract":"Species are not equally important for the functioning of communities. This fact is widely recognized and the term 'keystone species' has been introduced for the most important members of communities. In a recent paper, Power et al called for methods suitable for a priori identification of keystone species, which is an urgent problem in conservation biology. Another problem is the scarcity of their quantitative description. In this paper, we propose an index for characterizing keystone species reflecting their role in food web flow networks. We present some calculations for characterizing the role of keystones in weighted webs and discuss some problems of food web dynamics. Our keystone index refers well to keystones only if trophic interactions are of prime importance in a community. We further analyse the relationship between keystone species and the reliability of network flow Keystones make network flow less reliable. Finally, we discuss some problems of stability and reliability in ecological systems.","author":[{"dropping-particle":"","family":"Jordán","given":"Ferenc","non-dropping-particle":"","parse-names":false,"suffix":""},{"dropping-particle":"","family":"Takács-Sánta","given":"Andras","non-dropping-particle":"","parse-names":false,"suffix":""},{"dropping-particle":"","family":"Molnár","given":"Istvan","non-dropping-particle":"","parse-names":false,"suffix":""}],"container-title":"Oikos","id":"ITEM-1","issue":"3","issued":{"date-parts":[["1999"]]},"page":"453","title":"A Reliability Theoretical Quest for Keystones","type":"article-journal","volume":"86"},"uris":["http://www.mendeley.com/documents/?uuid=b10a9389-02c6-4316-a32f-7dc71f59616d"]}],"mendeley":{"formattedCitation":"(Ferenc Jordán, Takács-Sánta, &amp; Molnár, 1999)","manualFormatting":"Jordán, Takacs-Santa, &amp; Molnar (1999)","plainTextFormattedCitation":"(Ferenc Jordán, Takács-Sánta, &amp; Molnár, 1999)","previouslyFormattedCitation":"(Ferenc Jordán, Takács-Sánta, &amp; Molnár, 1999)"},"properties":{"noteIndex":0},"schema":"https://github.com/citation-style-language/schema/raw/master/csl-citation.json"}</w:instrText>
      </w:r>
      <w:r w:rsidRPr="001E2F59">
        <w:fldChar w:fldCharType="separate"/>
      </w:r>
      <w:r w:rsidRPr="001E2F59">
        <w:rPr>
          <w:noProof/>
        </w:rPr>
        <w:t>Jordán, Takacs-Santa, &amp; Molnar (1999)</w:t>
      </w:r>
      <w:r w:rsidRPr="001E2F59">
        <w:fldChar w:fldCharType="end"/>
      </w:r>
      <w:r w:rsidRPr="001E2F59">
        <w:t xml:space="preserve"> and inspired by the status index. As in the status index family, the keystone index of a species is calculated by considering the bottom-up and the top-down effects separately </w:t>
      </w:r>
      <w:r w:rsidRPr="001E2F59">
        <w:fldChar w:fldCharType="begin" w:fldLock="1"/>
      </w:r>
      <w:r w:rsidRPr="001E2F59">
        <w:instrText>ADDIN CSL_CITATION {"citationItems":[{"id":"ITEM-1","itemData":{"PMID":"73","abstract":"The local extinction or large fluctuation in abundance of a species may seriously affect other species in the community. The effects spread through the community by direct and indirect interactions. The network perspective on ecology can help map the pathways of these effects, for food webs, the pathways of indirect trophic interactions. Indirect interactions typically decay in intensity as they spread. Therefore, there is a conceptual maximum range in topological space beyond which interactions have no effects, even though all species remain connected. Neither the local characteristics of species, nor the global characteristics of entire webs, suitably quantify this range. We therefore apply intermediate scale indices that reflect the limitations imposed by effect damping in networks. We present a complex analysis of the topological positional importance of species in the Chesapeake Bay web. This web is a carbon-flow network that represents trophic interactions. We present several different indices reflecting different properties and discuss which questions the different indices best answer. We look for the best indices for identifying the key players in ecosystem functioning. Our study contributes to the quantification of relative species importance and provides an exact and a priori determination of a class of candidate keystone species that can inform applied and conservation ecology as well as theoretical concerns.","author":[{"dropping-particle":"","family":"Jordán","given":"Ferenc","non-dropping-particle":"","parse-names":false,"suffix":""},{"dropping-particle":"","family":"Liu","given":"Wei-Chung","non-dropping-particle":"","parse-names":false,"suffix":""},{"dropping-particle":"","family":"Davis","given":"Andrew J","non-dropping-particle":"","parse-names":false,"suffix":""}],"container-title":"Oikos","id":"ITEM-1","issue":"3","issued":{"date-parts":[["2006"]]},"page":"535-546","title":"Topological keystone species: measures of positional importance in food webs","type":"article-journal","volume":"112"},"uris":["http://www.mendeley.com/documents/?uuid=4e98fb0f-a131-45c6-a805-10c447267eec"]}],"mendeley":{"formattedCitation":"(Ferenc Jordán, Liu, &amp; Davis, 2006)","plainTextFormattedCitation":"(Ferenc Jordán, Liu, &amp; Davis, 2006)","previouslyFormattedCitation":"(Ferenc Jordán, Liu, &amp; Davis, 2006)"},"properties":{"noteIndex":0},"schema":"https://github.com/citation-style-language/schema/raw/master/csl-citation.json"}</w:instrText>
      </w:r>
      <w:r w:rsidRPr="001E2F59">
        <w:fldChar w:fldCharType="separate"/>
      </w:r>
      <w:r w:rsidRPr="001E2F59">
        <w:rPr>
          <w:noProof/>
        </w:rPr>
        <w:t>(Ferenc Jordán, Liu, &amp; Davis, 2006)</w:t>
      </w:r>
      <w:r w:rsidRPr="001E2F59">
        <w:fldChar w:fldCharType="end"/>
      </w:r>
      <w:r>
        <w:t xml:space="preserve">. </w:t>
      </w:r>
      <w:r w:rsidRPr="00EE39A6">
        <w:t xml:space="preserve">Unlike the status index, which only considers the distance between a node and all the other nodes, the keystone index takes into consideration how the size of a certain effect gets split between the different neighbours of a node. Every time the effect reaches a certain node connected to multiple </w:t>
      </w:r>
      <w:proofErr w:type="gramStart"/>
      <w:r w:rsidRPr="00EE39A6">
        <w:t>nodes</w:t>
      </w:r>
      <w:r>
        <w:t>,</w:t>
      </w:r>
      <w:proofErr w:type="gramEnd"/>
      <w:r w:rsidRPr="00EE39A6">
        <w:t xml:space="preserve"> the following nodes receive only a fraction of the total effect. For example, when considering the bottom-up effect, if the prey has two predators, the bottom-up effect received by each predator will be half.</w:t>
      </w:r>
      <w:r>
        <w:t xml:space="preserve"> </w:t>
      </w:r>
      <w:r>
        <w:rPr>
          <w:rFonts w:eastAsiaTheme="minorEastAsia"/>
        </w:rPr>
        <w:t>The computation of the keystone index, as the status index, also needs to be performed on a network without cycles.</w:t>
      </w:r>
    </w:p>
    <w:p w14:paraId="1E465441" w14:textId="35C3D7FE" w:rsidR="003947A8" w:rsidRDefault="003947A8" w:rsidP="006E65F2">
      <w:pPr>
        <w:spacing w:line="480" w:lineRule="auto"/>
        <w:ind w:firstLine="720"/>
      </w:pPr>
      <w:r>
        <w:t>T</w:t>
      </w:r>
      <w:r w:rsidRPr="00EE39A6">
        <w:t xml:space="preserve">he keystone index of a species </w:t>
      </w:r>
      <m:oMath>
        <m:r>
          <w:rPr>
            <w:rFonts w:ascii="Cambria Math" w:hAnsi="Cambria Math"/>
          </w:rPr>
          <m:t>i</m:t>
        </m:r>
      </m:oMath>
      <w:r>
        <w:t xml:space="preserve"> is equal to the sum of its bottom-up and top-down effects</w:t>
      </w:r>
    </w:p>
    <w:p w14:paraId="3541F77A" w14:textId="77777777" w:rsidR="00E508DA" w:rsidRDefault="00E508DA" w:rsidP="006E65F2">
      <w:pPr>
        <w:spacing w:line="480" w:lineRule="auto"/>
        <w:ind w:firstLine="720"/>
      </w:pPr>
    </w:p>
    <w:p w14:paraId="0B1B0A13" w14:textId="41354CF0" w:rsidR="003947A8" w:rsidRPr="00464A0B" w:rsidRDefault="003947A8" w:rsidP="006E65F2">
      <w:pPr>
        <w:spacing w:line="480" w:lineRule="auto"/>
        <w:jc w:val="center"/>
        <w:rPr>
          <w:rFonts w:asciiTheme="minorHAnsi" w:eastAsiaTheme="minorEastAsia" w:hAnsiTheme="minorHAnsi" w:cstheme="minorBidi"/>
        </w:rPr>
      </w:pPr>
      <m:oMath>
        <m:r>
          <w:rPr>
            <w:rFonts w:ascii="Cambria Math" w:eastAsiaTheme="minorEastAsia" w:hAnsi="Cambria Math"/>
            <w:lang w:val="it-IT"/>
          </w:rPr>
          <m:t>K</m:t>
        </m:r>
        <m:d>
          <m:dPr>
            <m:ctrlPr>
              <w:rPr>
                <w:rFonts w:ascii="Cambria Math" w:eastAsiaTheme="minorEastAsia" w:hAnsi="Cambria Math"/>
                <w:i/>
                <w:lang w:val="it-IT"/>
              </w:rPr>
            </m:ctrlPr>
          </m:dPr>
          <m:e>
            <m:r>
              <w:rPr>
                <w:rFonts w:ascii="Cambria Math" w:eastAsiaTheme="minorEastAsia" w:hAnsi="Cambria Math"/>
                <w:lang w:val="it-IT"/>
              </w:rPr>
              <m:t>i</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d>
          <m:dPr>
            <m:ctrlPr>
              <w:rPr>
                <w:rFonts w:ascii="Cambria Math" w:eastAsiaTheme="minorEastAsia" w:hAnsi="Cambria Math"/>
                <w:i/>
              </w:rPr>
            </m:ctrlPr>
          </m:dPr>
          <m:e>
            <m:r>
              <w:rPr>
                <w:rFonts w:ascii="Cambria Math" w:eastAsiaTheme="minorEastAsia" w:hAnsi="Cambria Math"/>
              </w:rPr>
              <m:t>i</m:t>
            </m:r>
          </m:e>
        </m:d>
      </m:oMath>
      <w:r w:rsidR="00F31A67">
        <w:rPr>
          <w:rFonts w:asciiTheme="minorHAnsi" w:eastAsiaTheme="minorEastAsia" w:hAnsiTheme="minorHAnsi" w:cstheme="minorBidi"/>
        </w:rPr>
        <w:t xml:space="preserve"> (12)</w:t>
      </w:r>
    </w:p>
    <w:p w14:paraId="6004B18B" w14:textId="77777777" w:rsidR="00E508DA" w:rsidRDefault="00E508DA" w:rsidP="006E65F2">
      <w:pPr>
        <w:spacing w:line="480" w:lineRule="auto"/>
      </w:pPr>
    </w:p>
    <w:p w14:paraId="275E20D1" w14:textId="2F1BF844" w:rsidR="003947A8" w:rsidRDefault="003947A8" w:rsidP="006E65F2">
      <w:pPr>
        <w:spacing w:line="480" w:lineRule="auto"/>
      </w:pPr>
      <w:r>
        <w:lastRenderedPageBreak/>
        <w:t>w</w:t>
      </w:r>
      <w:r w:rsidRPr="00EE39A6">
        <w:t>here</w:t>
      </w:r>
      <w:r>
        <w:t xml:space="preserve"> </w:t>
      </w:r>
      <m:oMath>
        <m:r>
          <w:rPr>
            <w:rFonts w:ascii="Cambria Math" w:eastAsiaTheme="minorEastAsia" w:hAnsi="Cambria Math"/>
            <w:lang w:val="it-IT"/>
          </w:rPr>
          <m:t>K</m:t>
        </m:r>
        <m:d>
          <m:dPr>
            <m:ctrlPr>
              <w:rPr>
                <w:rFonts w:ascii="Cambria Math" w:eastAsiaTheme="minorEastAsia" w:hAnsi="Cambria Math"/>
                <w:i/>
                <w:lang w:val="it-IT"/>
              </w:rPr>
            </m:ctrlPr>
          </m:dPr>
          <m:e>
            <m:r>
              <w:rPr>
                <w:rFonts w:ascii="Cambria Math" w:eastAsiaTheme="minorEastAsia" w:hAnsi="Cambria Math"/>
                <w:lang w:val="it-IT"/>
              </w:rPr>
              <m:t>i</m:t>
            </m:r>
          </m:e>
        </m:d>
      </m:oMath>
      <w:r w:rsidRPr="00891A6F">
        <w:rPr>
          <w:rFonts w:eastAsiaTheme="minorEastAsia"/>
        </w:rPr>
        <w:t xml:space="preserve"> is </w:t>
      </w:r>
      <w:r>
        <w:rPr>
          <w:rFonts w:eastAsiaTheme="minorEastAsia"/>
        </w:rPr>
        <w:t xml:space="preserve">the </w:t>
      </w:r>
      <w:r w:rsidRPr="00891A6F">
        <w:rPr>
          <w:rFonts w:eastAsiaTheme="minorEastAsia"/>
        </w:rPr>
        <w:t>keystone index,</w:t>
      </w:r>
      <w:r w:rsidRPr="00EE39A6">
        <w:t xml:space="preserve"> </w:t>
      </w:r>
      <m:oMath>
        <m:sSub>
          <m:sSubPr>
            <m:ctrlPr>
              <w:rPr>
                <w:rFonts w:ascii="Cambria Math" w:hAnsi="Cambria Math"/>
                <w:i/>
              </w:rPr>
            </m:ctrlPr>
          </m:sSubPr>
          <m:e>
            <m:r>
              <w:rPr>
                <w:rFonts w:ascii="Cambria Math" w:hAnsi="Cambria Math"/>
              </w:rPr>
              <m:t>K</m:t>
            </m:r>
          </m:e>
          <m:sub>
            <m:r>
              <w:rPr>
                <w:rFonts w:ascii="Cambria Math" w:hAnsi="Cambria Math"/>
              </w:rPr>
              <m:t>b</m:t>
            </m:r>
          </m:sub>
        </m:sSub>
        <m:d>
          <m:dPr>
            <m:ctrlPr>
              <w:rPr>
                <w:rFonts w:ascii="Cambria Math" w:hAnsi="Cambria Math"/>
              </w:rPr>
            </m:ctrlPr>
          </m:dPr>
          <m:e>
            <m:r>
              <w:rPr>
                <w:rFonts w:ascii="Cambria Math" w:hAnsi="Cambria Math"/>
              </w:rPr>
              <m:t>i</m:t>
            </m:r>
            <m:ctrlPr>
              <w:rPr>
                <w:rFonts w:ascii="Cambria Math" w:hAnsi="Cambria Math"/>
                <w:i/>
              </w:rPr>
            </m:ctrlPr>
          </m:e>
        </m:d>
      </m:oMath>
      <w:r w:rsidRPr="00EE39A6">
        <w:t xml:space="preserve"> is </w:t>
      </w:r>
      <w:r>
        <w:t xml:space="preserve">the </w:t>
      </w:r>
      <w:r w:rsidRPr="00EE39A6">
        <w:t xml:space="preserve">bottom-up </w:t>
      </w:r>
      <w:r>
        <w:t xml:space="preserve">keystone index, </w:t>
      </w:r>
      <w:r>
        <w:rPr>
          <w:rFonts w:eastAsiaTheme="minorEastAsia"/>
        </w:rPr>
        <w:t xml:space="preserve">and </w:t>
      </w:r>
      <m:oMath>
        <m:sSub>
          <m:sSubPr>
            <m:ctrlPr>
              <w:rPr>
                <w:rFonts w:ascii="Cambria Math" w:hAnsi="Cambria Math"/>
                <w:i/>
              </w:rPr>
            </m:ctrlPr>
          </m:sSubPr>
          <m:e>
            <m:r>
              <w:rPr>
                <w:rFonts w:ascii="Cambria Math" w:hAnsi="Cambria Math"/>
              </w:rPr>
              <m:t>K</m:t>
            </m:r>
          </m:e>
          <m:sub>
            <m:r>
              <w:rPr>
                <w:rFonts w:ascii="Cambria Math" w:hAnsi="Cambria Math"/>
              </w:rPr>
              <m:t>t</m:t>
            </m:r>
          </m:sub>
        </m:sSub>
        <m:d>
          <m:dPr>
            <m:ctrlPr>
              <w:rPr>
                <w:rFonts w:ascii="Cambria Math" w:hAnsi="Cambria Math"/>
              </w:rPr>
            </m:ctrlPr>
          </m:dPr>
          <m:e>
            <m:r>
              <w:rPr>
                <w:rFonts w:ascii="Cambria Math" w:hAnsi="Cambria Math"/>
              </w:rPr>
              <m:t>i</m:t>
            </m:r>
            <m:ctrlPr>
              <w:rPr>
                <w:rFonts w:ascii="Cambria Math" w:hAnsi="Cambria Math"/>
                <w:i/>
              </w:rPr>
            </m:ctrlPr>
          </m:e>
        </m:d>
      </m:oMath>
      <w:r w:rsidRPr="00EE39A6">
        <w:t xml:space="preserve"> </w:t>
      </w:r>
      <w:r>
        <w:t xml:space="preserve">is the </w:t>
      </w:r>
      <w:r w:rsidRPr="00EE39A6">
        <w:t xml:space="preserve">top-down </w:t>
      </w:r>
      <w:r>
        <w:t xml:space="preserve">keystone </w:t>
      </w:r>
      <w:proofErr w:type="gramStart"/>
      <w:r>
        <w:t>index.</w:t>
      </w:r>
      <w:proofErr w:type="gramEnd"/>
      <w:r>
        <w:t xml:space="preserve"> </w:t>
      </w:r>
      <w:r w:rsidRPr="00EE39A6">
        <w:t xml:space="preserve">The bottom-up </w:t>
      </w:r>
      <w:r>
        <w:t xml:space="preserve">keystone index </w:t>
      </w:r>
      <w:r w:rsidRPr="00EE39A6">
        <w:t xml:space="preserve">is calculated </w:t>
      </w:r>
      <w:r>
        <w:t>as</w:t>
      </w:r>
    </w:p>
    <w:p w14:paraId="5F100937" w14:textId="77777777" w:rsidR="00E508DA" w:rsidRPr="00A67706" w:rsidRDefault="00E508DA" w:rsidP="006E65F2">
      <w:pPr>
        <w:spacing w:line="480" w:lineRule="auto"/>
        <w:rPr>
          <w:rFonts w:ascii="Cambria Math" w:eastAsiaTheme="minorEastAsia" w:hAnsi="Cambria Math" w:cstheme="minorBidi"/>
          <w:oMath/>
        </w:rPr>
      </w:pPr>
    </w:p>
    <w:p w14:paraId="611DC851" w14:textId="62336C00" w:rsidR="003947A8" w:rsidRPr="00653E5A" w:rsidRDefault="00060248" w:rsidP="006E65F2">
      <w:pPr>
        <w:spacing w:line="480" w:lineRule="auto"/>
        <w:ind w:firstLine="720"/>
        <w:jc w:val="center"/>
        <w:rPr>
          <w:rFonts w:eastAsiaTheme="minorEastAsia"/>
        </w:rPr>
      </w:pPr>
      <m:oMath>
        <m:sSub>
          <m:sSubPr>
            <m:ctrlPr>
              <w:rPr>
                <w:rFonts w:ascii="Cambria Math" w:hAnsi="Cambria Math"/>
                <w:i/>
              </w:rPr>
            </m:ctrlPr>
          </m:sSubPr>
          <m:e>
            <m:r>
              <w:rPr>
                <w:rFonts w:ascii="Cambria Math" w:hAnsi="Cambria Math"/>
              </w:rPr>
              <m:t>K</m:t>
            </m:r>
          </m:e>
          <m:sub>
            <m:r>
              <w:rPr>
                <w:rFonts w:ascii="Cambria Math" w:hAnsi="Cambria Math"/>
              </w:rPr>
              <m:t>b</m:t>
            </m:r>
          </m:sub>
        </m:sSub>
        <m:d>
          <m:dPr>
            <m:ctrlPr>
              <w:rPr>
                <w:rFonts w:ascii="Cambria Math" w:hAnsi="Cambria Math"/>
                <w:i/>
              </w:rPr>
            </m:ctrlPr>
          </m:dPr>
          <m:e>
            <m:r>
              <w:rPr>
                <w:rFonts w:ascii="Cambria Math" w:hAnsi="Cambria Math"/>
              </w:rPr>
              <m:t>i</m:t>
            </m:r>
          </m:e>
        </m:d>
        <m:r>
          <w:rPr>
            <w:rFonts w:ascii="Cambria Math" w:hAnsi="Cambria Math"/>
          </w:rPr>
          <m:t>=</m:t>
        </m:r>
        <m:nary>
          <m:naryPr>
            <m:chr m:val="∑"/>
            <m:limLoc m:val="undOvr"/>
            <m:ctrlPr>
              <w:rPr>
                <w:rFonts w:ascii="Cambria Math" w:hAnsi="Cambria Math"/>
              </w:rPr>
            </m:ctrlPr>
          </m:naryPr>
          <m:sub>
            <m:r>
              <w:rPr>
                <w:rFonts w:ascii="Cambria Math" w:hAnsi="Cambria Math"/>
              </w:rPr>
              <m:t>j=1</m:t>
            </m:r>
            <m:ctrlPr>
              <w:rPr>
                <w:rFonts w:ascii="Cambria Math" w:hAnsi="Cambria Math"/>
                <w:i/>
              </w:rPr>
            </m:ctrlPr>
          </m:sub>
          <m:sup>
            <m:r>
              <w:rPr>
                <w:rFonts w:ascii="Cambria Math" w:hAnsi="Cambria Math"/>
              </w:rPr>
              <m:t>n</m:t>
            </m:r>
            <m:ctrlPr>
              <w:rPr>
                <w:rFonts w:ascii="Cambria Math" w:hAnsi="Cambria Math"/>
                <w:i/>
              </w:rPr>
            </m:ctrlPr>
          </m:sup>
          <m:e>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m</m:t>
                </m:r>
                <m:d>
                  <m:dPr>
                    <m:ctrlPr>
                      <w:rPr>
                        <w:rFonts w:ascii="Cambria Math" w:hAnsi="Cambria Math"/>
                        <w:i/>
                      </w:rPr>
                    </m:ctrlPr>
                  </m:dPr>
                  <m:e>
                    <m:r>
                      <w:rPr>
                        <w:rFonts w:ascii="Cambria Math" w:hAnsi="Cambria Math"/>
                      </w:rPr>
                      <m:t>i</m:t>
                    </m:r>
                  </m:e>
                </m:d>
                <m:d>
                  <m:dPr>
                    <m:ctrlPr>
                      <w:rPr>
                        <w:rFonts w:ascii="Cambria Math" w:hAnsi="Cambria Math"/>
                        <w:i/>
                      </w:rPr>
                    </m:ctrlPr>
                  </m:dPr>
                  <m:e>
                    <m:r>
                      <w:rPr>
                        <w:rFonts w:ascii="Cambria Math" w:hAnsi="Cambria Math"/>
                      </w:rPr>
                      <m:t>j</m:t>
                    </m:r>
                  </m:e>
                </m:d>
                <m:ctrlPr>
                  <w:rPr>
                    <w:rFonts w:ascii="Cambria Math" w:hAnsi="Cambria Math"/>
                    <w:i/>
                  </w:rPr>
                </m:ctrlPr>
              </m:den>
            </m:f>
          </m:e>
        </m:nary>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K</m:t>
                </m:r>
              </m:e>
              <m:sub>
                <m:r>
                  <w:rPr>
                    <w:rFonts w:ascii="Cambria Math" w:hAnsi="Cambria Math"/>
                  </w:rPr>
                  <m:t>b</m:t>
                </m:r>
              </m:sub>
            </m:sSub>
            <m:d>
              <m:dPr>
                <m:ctrlPr>
                  <w:rPr>
                    <w:rFonts w:ascii="Cambria Math" w:hAnsi="Cambria Math"/>
                    <w:i/>
                  </w:rPr>
                </m:ctrlPr>
              </m:dPr>
              <m:e>
                <m:r>
                  <w:rPr>
                    <w:rFonts w:ascii="Cambria Math" w:hAnsi="Cambria Math"/>
                  </w:rPr>
                  <m:t>j</m:t>
                </m:r>
              </m:e>
            </m:d>
            <m:ctrlPr>
              <w:rPr>
                <w:rFonts w:ascii="Cambria Math" w:hAnsi="Cambria Math"/>
                <w:i/>
              </w:rPr>
            </m:ctrlPr>
          </m:num>
          <m:den>
            <m:r>
              <w:rPr>
                <w:rFonts w:ascii="Cambria Math" w:hAnsi="Cambria Math"/>
              </w:rPr>
              <m:t>m</m:t>
            </m:r>
            <m:d>
              <m:dPr>
                <m:ctrlPr>
                  <w:rPr>
                    <w:rFonts w:ascii="Cambria Math" w:hAnsi="Cambria Math"/>
                    <w:i/>
                  </w:rPr>
                </m:ctrlPr>
              </m:dPr>
              <m:e>
                <m:r>
                  <w:rPr>
                    <w:rFonts w:ascii="Cambria Math" w:hAnsi="Cambria Math"/>
                  </w:rPr>
                  <m:t>i</m:t>
                </m:r>
              </m:e>
            </m:d>
            <m:d>
              <m:dPr>
                <m:ctrlPr>
                  <w:rPr>
                    <w:rFonts w:ascii="Cambria Math" w:hAnsi="Cambria Math"/>
                    <w:i/>
                  </w:rPr>
                </m:ctrlPr>
              </m:dPr>
              <m:e>
                <m:r>
                  <w:rPr>
                    <w:rFonts w:ascii="Cambria Math" w:hAnsi="Cambria Math"/>
                  </w:rPr>
                  <m:t>j</m:t>
                </m:r>
              </m:e>
            </m:d>
            <m:ctrlPr>
              <w:rPr>
                <w:rFonts w:ascii="Cambria Math" w:hAnsi="Cambria Math"/>
                <w:i/>
              </w:rPr>
            </m:ctrlPr>
          </m:den>
        </m:f>
      </m:oMath>
      <w:r w:rsidR="00F31A67">
        <w:rPr>
          <w:rFonts w:eastAsiaTheme="minorEastAsia"/>
        </w:rPr>
        <w:t xml:space="preserve"> (13)</w:t>
      </w:r>
    </w:p>
    <w:p w14:paraId="46BD7BF7" w14:textId="77777777" w:rsidR="00E508DA" w:rsidRDefault="00E508DA" w:rsidP="006E65F2">
      <w:pPr>
        <w:spacing w:line="480" w:lineRule="auto"/>
      </w:pPr>
    </w:p>
    <w:p w14:paraId="4E9AB5D3" w14:textId="053E6BE2" w:rsidR="003947A8" w:rsidRDefault="003947A8" w:rsidP="006E65F2">
      <w:pPr>
        <w:spacing w:line="480" w:lineRule="auto"/>
      </w:pPr>
      <w:r w:rsidRPr="00EE39A6">
        <w:t xml:space="preserve">where </w:t>
      </w:r>
      <m:oMath>
        <m:r>
          <w:rPr>
            <w:rFonts w:ascii="Cambria Math" w:hAnsi="Cambria Math"/>
          </w:rPr>
          <m:t>j</m:t>
        </m:r>
      </m:oMath>
      <w:r w:rsidRPr="00EE39A6">
        <w:t xml:space="preserve"> is a predator of</w:t>
      </w:r>
      <m:oMath>
        <m:r>
          <w:rPr>
            <w:rFonts w:ascii="Cambria Math" w:hAnsi="Cambria Math"/>
          </w:rPr>
          <m:t xml:space="preserve"> </m:t>
        </m:r>
        <m:r>
          <w:rPr>
            <w:rFonts w:ascii="Cambria Math" w:eastAsiaTheme="minorEastAsia" w:hAnsi="Cambria Math"/>
          </w:rPr>
          <m:t>i</m:t>
        </m:r>
      </m:oMath>
      <w:r>
        <w:rPr>
          <w:rFonts w:eastAsiaTheme="minorEastAsia"/>
        </w:rPr>
        <w:t xml:space="preserve"> </w:t>
      </w:r>
      <w:r>
        <w:t xml:space="preserve">and </w:t>
      </w:r>
      <m:oMath>
        <m:r>
          <w:rPr>
            <w:rFonts w:ascii="Cambria Math" w:hAnsi="Cambria Math"/>
          </w:rPr>
          <m:t>m</m:t>
        </m:r>
        <m:d>
          <m:dPr>
            <m:ctrlPr>
              <w:rPr>
                <w:rFonts w:ascii="Cambria Math" w:hAnsi="Cambria Math"/>
                <w:i/>
              </w:rPr>
            </m:ctrlPr>
          </m:dPr>
          <m:e>
            <m:r>
              <w:rPr>
                <w:rFonts w:ascii="Cambria Math" w:hAnsi="Cambria Math"/>
              </w:rPr>
              <m:t>i</m:t>
            </m:r>
          </m:e>
        </m:d>
        <m:d>
          <m:dPr>
            <m:ctrlPr>
              <w:rPr>
                <w:rFonts w:ascii="Cambria Math" w:hAnsi="Cambria Math"/>
                <w:i/>
              </w:rPr>
            </m:ctrlPr>
          </m:dPr>
          <m:e>
            <m:r>
              <w:rPr>
                <w:rFonts w:ascii="Cambria Math" w:hAnsi="Cambria Math"/>
              </w:rPr>
              <m:t>j</m:t>
            </m:r>
          </m:e>
        </m:d>
      </m:oMath>
      <w:r w:rsidRPr="00EE39A6">
        <w:t xml:space="preserve"> is the number of preys of </w:t>
      </w:r>
      <m:oMath>
        <m:r>
          <w:rPr>
            <w:rFonts w:ascii="Cambria Math" w:hAnsi="Cambria Math"/>
          </w:rPr>
          <m:t>j</m:t>
        </m:r>
      </m:oMath>
      <w:r>
        <w:t xml:space="preserve">. </w:t>
      </w:r>
      <m:oMath>
        <m:f>
          <m:fPr>
            <m:ctrlPr>
              <w:rPr>
                <w:rFonts w:ascii="Cambria Math" w:hAnsi="Cambria Math"/>
              </w:rPr>
            </m:ctrlPr>
          </m:fPr>
          <m:num>
            <m:sSub>
              <m:sSubPr>
                <m:ctrlPr>
                  <w:rPr>
                    <w:rFonts w:ascii="Cambria Math" w:hAnsi="Cambria Math"/>
                    <w:i/>
                  </w:rPr>
                </m:ctrlPr>
              </m:sSubPr>
              <m:e>
                <m:r>
                  <w:rPr>
                    <w:rFonts w:ascii="Cambria Math" w:hAnsi="Cambria Math"/>
                  </w:rPr>
                  <m:t>K</m:t>
                </m:r>
              </m:e>
              <m:sub>
                <m:r>
                  <w:rPr>
                    <w:rFonts w:ascii="Cambria Math" w:hAnsi="Cambria Math"/>
                  </w:rPr>
                  <m:t>b</m:t>
                </m:r>
              </m:sub>
            </m:sSub>
            <m:d>
              <m:dPr>
                <m:ctrlPr>
                  <w:rPr>
                    <w:rFonts w:ascii="Cambria Math" w:hAnsi="Cambria Math"/>
                  </w:rPr>
                </m:ctrlPr>
              </m:dPr>
              <m:e>
                <m:r>
                  <w:rPr>
                    <w:rFonts w:ascii="Cambria Math" w:hAnsi="Cambria Math"/>
                  </w:rPr>
                  <m:t>j</m:t>
                </m:r>
                <m:ctrlPr>
                  <w:rPr>
                    <w:rFonts w:ascii="Cambria Math" w:hAnsi="Cambria Math"/>
                    <w:i/>
                  </w:rPr>
                </m:ctrlPr>
              </m:e>
            </m:d>
            <m:ctrlPr>
              <w:rPr>
                <w:rFonts w:ascii="Cambria Math" w:hAnsi="Cambria Math"/>
                <w:i/>
              </w:rPr>
            </m:ctrlPr>
          </m:num>
          <m:den>
            <m:r>
              <w:rPr>
                <w:rFonts w:ascii="Cambria Math" w:hAnsi="Cambria Math"/>
              </w:rPr>
              <m:t>m</m:t>
            </m:r>
            <m:d>
              <m:dPr>
                <m:ctrlPr>
                  <w:rPr>
                    <w:rFonts w:ascii="Cambria Math" w:hAnsi="Cambria Math"/>
                  </w:rPr>
                </m:ctrlPr>
              </m:dPr>
              <m:e>
                <m:r>
                  <w:rPr>
                    <w:rFonts w:ascii="Cambria Math" w:hAnsi="Cambria Math"/>
                  </w:rPr>
                  <m:t>i</m:t>
                </m:r>
                <m:ctrlPr>
                  <w:rPr>
                    <w:rFonts w:ascii="Cambria Math" w:hAnsi="Cambria Math"/>
                    <w:i/>
                  </w:rPr>
                </m:ctrlPr>
              </m:e>
            </m:d>
            <m:d>
              <m:dPr>
                <m:ctrlPr>
                  <w:rPr>
                    <w:rFonts w:ascii="Cambria Math" w:hAnsi="Cambria Math"/>
                  </w:rPr>
                </m:ctrlPr>
              </m:dPr>
              <m:e>
                <m:r>
                  <w:rPr>
                    <w:rFonts w:ascii="Cambria Math" w:hAnsi="Cambria Math"/>
                  </w:rPr>
                  <m:t>j</m:t>
                </m:r>
                <m:ctrlPr>
                  <w:rPr>
                    <w:rFonts w:ascii="Cambria Math" w:hAnsi="Cambria Math"/>
                    <w:i/>
                  </w:rPr>
                </m:ctrlPr>
              </m:e>
            </m:d>
            <m:ctrlPr>
              <w:rPr>
                <w:rFonts w:ascii="Cambria Math" w:hAnsi="Cambria Math"/>
                <w:i/>
              </w:rPr>
            </m:ctrlPr>
          </m:den>
        </m:f>
      </m:oMath>
      <w:r w:rsidRPr="00EE39A6">
        <w:t xml:space="preserve"> is the fraction of bottom-up</w:t>
      </w:r>
      <w:r>
        <w:t xml:space="preserve"> </w:t>
      </w:r>
      <w:r w:rsidRPr="00EE39A6">
        <w:t xml:space="preserve">effects of </w:t>
      </w:r>
      <m:oMath>
        <m:r>
          <w:rPr>
            <w:rFonts w:ascii="Cambria Math" w:hAnsi="Cambria Math"/>
          </w:rPr>
          <m:t>j</m:t>
        </m:r>
      </m:oMath>
      <w:r w:rsidRPr="00EE39A6">
        <w:t xml:space="preserve"> that are caused by </w:t>
      </w:r>
      <m:oMath>
        <m:r>
          <w:rPr>
            <w:rFonts w:ascii="Cambria Math" w:hAnsi="Cambria Math"/>
          </w:rPr>
          <m:t>i</m:t>
        </m:r>
      </m:oMath>
      <w:r w:rsidRPr="00EE39A6">
        <w:t xml:space="preserve">. The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b</m:t>
            </m:r>
          </m:sub>
        </m:sSub>
        <m:d>
          <m:dPr>
            <m:ctrlPr>
              <w:rPr>
                <w:rFonts w:ascii="Cambria Math" w:eastAsiaTheme="minorEastAsia" w:hAnsi="Cambria Math"/>
              </w:rPr>
            </m:ctrlPr>
          </m:dPr>
          <m:e>
            <m:r>
              <w:rPr>
                <w:rFonts w:ascii="Cambria Math" w:eastAsiaTheme="minorEastAsia" w:hAnsi="Cambria Math"/>
              </w:rPr>
              <m:t>j</m:t>
            </m:r>
            <m:ctrlPr>
              <w:rPr>
                <w:rFonts w:ascii="Cambria Math" w:eastAsiaTheme="minorEastAsia" w:hAnsi="Cambria Math"/>
                <w:i/>
              </w:rPr>
            </m:ctrlPr>
          </m:e>
        </m:d>
      </m:oMath>
      <w:r>
        <w:rPr>
          <w:rFonts w:eastAsiaTheme="minorEastAsia"/>
        </w:rPr>
        <w:t xml:space="preserve"> </w:t>
      </w:r>
      <w:r w:rsidRPr="00EE39A6">
        <w:t xml:space="preserve">of top predators is set as 0. The top-down </w:t>
      </w:r>
      <w:r>
        <w:t xml:space="preserve">keystone index </w:t>
      </w:r>
      <w:r w:rsidRPr="00EE39A6">
        <w:t xml:space="preserve">is calculated exactly as </w:t>
      </w:r>
      <w:r>
        <w:t xml:space="preserve">the bottom-up keystone index, </w:t>
      </w:r>
      <w:r w:rsidRPr="00EE39A6">
        <w:t>but with the direction of the links inverted.</w:t>
      </w:r>
    </w:p>
    <w:p w14:paraId="0DC8ED1B" w14:textId="6E499BC7" w:rsidR="003947A8" w:rsidRDefault="003947A8" w:rsidP="006E65F2">
      <w:pPr>
        <w:spacing w:line="480" w:lineRule="auto"/>
        <w:ind w:firstLine="720"/>
      </w:pPr>
      <w:r>
        <w:t>When calculating the keystone index, we might be also interested in how much of the effect of a species on the community depends upon its directed and undirected effects. To do this, we can split the keystone index of a species into its direct and indirect effect components</w:t>
      </w:r>
    </w:p>
    <w:p w14:paraId="18EA1476" w14:textId="77777777" w:rsidR="00E508DA" w:rsidRDefault="00E508DA" w:rsidP="006E65F2">
      <w:pPr>
        <w:spacing w:line="480" w:lineRule="auto"/>
        <w:ind w:firstLine="720"/>
      </w:pPr>
    </w:p>
    <w:p w14:paraId="703CD2BD" w14:textId="5258D1F8" w:rsidR="003947A8" w:rsidRPr="00D21BF2" w:rsidRDefault="003947A8" w:rsidP="006E65F2">
      <w:pPr>
        <w:spacing w:line="480" w:lineRule="auto"/>
        <w:jc w:val="center"/>
        <w:rPr>
          <w:rFonts w:asciiTheme="minorHAnsi" w:eastAsiaTheme="minorEastAsia" w:hAnsiTheme="minorHAnsi" w:cstheme="minorBidi"/>
        </w:rPr>
      </w:pPr>
      <m:oMath>
        <m:r>
          <w:rPr>
            <w:rFonts w:ascii="Cambria Math" w:eastAsiaTheme="minorEastAsia" w:hAnsi="Cambria Math"/>
            <w:lang w:val="it-IT"/>
          </w:rPr>
          <m:t>K</m:t>
        </m:r>
        <m:d>
          <m:dPr>
            <m:ctrlPr>
              <w:rPr>
                <w:rFonts w:ascii="Cambria Math" w:eastAsiaTheme="minorEastAsia" w:hAnsi="Cambria Math"/>
                <w:i/>
                <w:lang w:val="it-IT"/>
              </w:rPr>
            </m:ctrlPr>
          </m:dPr>
          <m:e>
            <m:r>
              <w:rPr>
                <w:rFonts w:ascii="Cambria Math" w:eastAsiaTheme="minorEastAsia" w:hAnsi="Cambria Math"/>
                <w:lang w:val="it-IT"/>
              </w:rPr>
              <m:t>i</m:t>
            </m:r>
          </m:e>
        </m:d>
        <m:r>
          <w:rPr>
            <w:rFonts w:ascii="Cambria Math" w:eastAsiaTheme="minorEastAsia" w:hAnsi="Cambria Math"/>
          </w:rPr>
          <m:t>=</m:t>
        </m:r>
        <m:sSub>
          <m:sSubPr>
            <m:ctrlPr>
              <w:rPr>
                <w:rFonts w:ascii="Cambria Math" w:eastAsiaTheme="minorEastAsia" w:hAnsi="Cambria Math"/>
                <w:i/>
                <w:lang w:val="it-IT"/>
              </w:rPr>
            </m:ctrlPr>
          </m:sSubPr>
          <m:e>
            <m:r>
              <w:rPr>
                <w:rFonts w:ascii="Cambria Math" w:eastAsiaTheme="minorEastAsia" w:hAnsi="Cambria Math"/>
                <w:lang w:val="it-IT"/>
              </w:rPr>
              <m:t>K</m:t>
            </m:r>
          </m:e>
          <m:sub>
            <m:r>
              <w:rPr>
                <w:rFonts w:ascii="Cambria Math" w:eastAsiaTheme="minorEastAsia" w:hAnsi="Cambria Math"/>
                <w:lang w:val="it-IT"/>
              </w:rPr>
              <m:t>dir</m:t>
            </m:r>
          </m:sub>
        </m:sSub>
        <m:d>
          <m:dPr>
            <m:ctrlPr>
              <w:rPr>
                <w:rFonts w:ascii="Cambria Math" w:eastAsiaTheme="minorEastAsia" w:hAnsi="Cambria Math"/>
                <w:i/>
                <w:lang w:val="it-IT"/>
              </w:rPr>
            </m:ctrlPr>
          </m:dPr>
          <m:e>
            <m:r>
              <w:rPr>
                <w:rFonts w:ascii="Cambria Math" w:eastAsiaTheme="minorEastAsia" w:hAnsi="Cambria Math"/>
                <w:lang w:val="it-IT"/>
              </w:rPr>
              <m:t>i</m:t>
            </m:r>
          </m:e>
        </m:d>
        <m:r>
          <w:rPr>
            <w:rFonts w:ascii="Cambria Math" w:eastAsiaTheme="minorEastAsia" w:hAnsi="Cambria Math"/>
          </w:rPr>
          <m:t>+</m:t>
        </m:r>
        <m:sSub>
          <m:sSubPr>
            <m:ctrlPr>
              <w:rPr>
                <w:rFonts w:ascii="Cambria Math" w:eastAsiaTheme="minorEastAsia" w:hAnsi="Cambria Math"/>
                <w:i/>
                <w:lang w:val="it-IT"/>
              </w:rPr>
            </m:ctrlPr>
          </m:sSubPr>
          <m:e>
            <m:r>
              <w:rPr>
                <w:rFonts w:ascii="Cambria Math" w:eastAsiaTheme="minorEastAsia" w:hAnsi="Cambria Math"/>
                <w:lang w:val="it-IT"/>
              </w:rPr>
              <m:t>K</m:t>
            </m:r>
          </m:e>
          <m:sub>
            <m:r>
              <w:rPr>
                <w:rFonts w:ascii="Cambria Math" w:eastAsiaTheme="minorEastAsia" w:hAnsi="Cambria Math"/>
                <w:lang w:val="it-IT"/>
              </w:rPr>
              <m:t>indir</m:t>
            </m:r>
          </m:sub>
        </m:sSub>
        <m:d>
          <m:dPr>
            <m:ctrlPr>
              <w:rPr>
                <w:rFonts w:ascii="Cambria Math" w:eastAsiaTheme="minorEastAsia" w:hAnsi="Cambria Math"/>
                <w:i/>
                <w:lang w:val="it-IT"/>
              </w:rPr>
            </m:ctrlPr>
          </m:dPr>
          <m:e>
            <m:r>
              <w:rPr>
                <w:rFonts w:ascii="Cambria Math" w:eastAsiaTheme="minorEastAsia" w:hAnsi="Cambria Math"/>
                <w:lang w:val="it-IT"/>
              </w:rPr>
              <m:t>i</m:t>
            </m:r>
          </m:e>
        </m:d>
      </m:oMath>
      <w:r w:rsidR="00D21BF2" w:rsidRPr="00D21BF2">
        <w:rPr>
          <w:rFonts w:asciiTheme="minorHAnsi" w:eastAsiaTheme="minorEastAsia" w:hAnsiTheme="minorHAnsi" w:cstheme="minorBidi"/>
        </w:rPr>
        <w:t xml:space="preserve"> </w:t>
      </w:r>
      <w:r w:rsidR="00D21BF2">
        <w:rPr>
          <w:rFonts w:asciiTheme="minorHAnsi" w:eastAsiaTheme="minorEastAsia" w:hAnsiTheme="minorHAnsi" w:cstheme="minorBidi"/>
        </w:rPr>
        <w:t>(14)</w:t>
      </w:r>
    </w:p>
    <w:p w14:paraId="454B837C" w14:textId="77777777" w:rsidR="00E508DA" w:rsidRDefault="00E508DA" w:rsidP="006E65F2">
      <w:pPr>
        <w:spacing w:line="480" w:lineRule="auto"/>
      </w:pPr>
    </w:p>
    <w:p w14:paraId="686D83C2" w14:textId="7D0001B0" w:rsidR="003947A8" w:rsidRDefault="003947A8" w:rsidP="006E65F2">
      <w:pPr>
        <w:spacing w:line="480" w:lineRule="auto"/>
      </w:pPr>
      <w:r>
        <w:t xml:space="preserve">where </w:t>
      </w:r>
      <m:oMath>
        <m:sSub>
          <m:sSubPr>
            <m:ctrlPr>
              <w:rPr>
                <w:rFonts w:ascii="Cambria Math" w:eastAsiaTheme="minorEastAsia" w:hAnsi="Cambria Math"/>
                <w:i/>
                <w:lang w:val="it-IT"/>
              </w:rPr>
            </m:ctrlPr>
          </m:sSubPr>
          <m:e>
            <m:r>
              <w:rPr>
                <w:rFonts w:ascii="Cambria Math" w:eastAsiaTheme="minorEastAsia" w:hAnsi="Cambria Math"/>
                <w:lang w:val="it-IT"/>
              </w:rPr>
              <m:t>K</m:t>
            </m:r>
          </m:e>
          <m:sub>
            <m:r>
              <w:rPr>
                <w:rFonts w:ascii="Cambria Math" w:eastAsiaTheme="minorEastAsia" w:hAnsi="Cambria Math"/>
                <w:lang w:val="it-IT"/>
              </w:rPr>
              <m:t>dir</m:t>
            </m:r>
          </m:sub>
        </m:sSub>
        <m:d>
          <m:dPr>
            <m:ctrlPr>
              <w:rPr>
                <w:rFonts w:ascii="Cambria Math" w:eastAsiaTheme="minorEastAsia" w:hAnsi="Cambria Math"/>
                <w:i/>
                <w:lang w:val="it-IT"/>
              </w:rPr>
            </m:ctrlPr>
          </m:dPr>
          <m:e>
            <m:r>
              <w:rPr>
                <w:rFonts w:ascii="Cambria Math" w:eastAsiaTheme="minorEastAsia" w:hAnsi="Cambria Math"/>
                <w:lang w:val="it-IT"/>
              </w:rPr>
              <m:t>i</m:t>
            </m:r>
          </m:e>
        </m:d>
      </m:oMath>
      <w:r w:rsidRPr="00891A6F">
        <w:rPr>
          <w:rFonts w:eastAsiaTheme="minorEastAsia"/>
        </w:rPr>
        <w:t xml:space="preserve"> is </w:t>
      </w:r>
      <w:r>
        <w:rPr>
          <w:rFonts w:eastAsiaTheme="minorEastAsia"/>
        </w:rPr>
        <w:t xml:space="preserve">its directed component, and </w:t>
      </w:r>
      <m:oMath>
        <m:r>
          <w:rPr>
            <w:rFonts w:ascii="Cambria Math" w:eastAsiaTheme="minorEastAsia" w:hAnsi="Cambria Math"/>
          </w:rPr>
          <m:t xml:space="preserve"> </m:t>
        </m:r>
        <m:sSub>
          <m:sSubPr>
            <m:ctrlPr>
              <w:rPr>
                <w:rFonts w:ascii="Cambria Math" w:eastAsiaTheme="minorEastAsia" w:hAnsi="Cambria Math"/>
                <w:i/>
                <w:lang w:val="it-IT"/>
              </w:rPr>
            </m:ctrlPr>
          </m:sSubPr>
          <m:e>
            <m:r>
              <w:rPr>
                <w:rFonts w:ascii="Cambria Math" w:eastAsiaTheme="minorEastAsia" w:hAnsi="Cambria Math"/>
                <w:lang w:val="it-IT"/>
              </w:rPr>
              <m:t>K</m:t>
            </m:r>
          </m:e>
          <m:sub>
            <m:r>
              <w:rPr>
                <w:rFonts w:ascii="Cambria Math" w:eastAsiaTheme="minorEastAsia" w:hAnsi="Cambria Math"/>
                <w:lang w:val="it-IT"/>
              </w:rPr>
              <m:t>indir</m:t>
            </m:r>
          </m:sub>
        </m:sSub>
        <m:d>
          <m:dPr>
            <m:ctrlPr>
              <w:rPr>
                <w:rFonts w:ascii="Cambria Math" w:eastAsiaTheme="minorEastAsia" w:hAnsi="Cambria Math"/>
                <w:i/>
                <w:lang w:val="it-IT"/>
              </w:rPr>
            </m:ctrlPr>
          </m:dPr>
          <m:e>
            <m:r>
              <w:rPr>
                <w:rFonts w:ascii="Cambria Math" w:eastAsiaTheme="minorEastAsia" w:hAnsi="Cambria Math"/>
                <w:lang w:val="it-IT"/>
              </w:rPr>
              <m:t>i</m:t>
            </m:r>
          </m:e>
        </m:d>
      </m:oMath>
      <w:r>
        <w:t xml:space="preserve"> is its indirected </w:t>
      </w:r>
      <w:proofErr w:type="gramStart"/>
      <w:r>
        <w:t>component.</w:t>
      </w:r>
      <w:proofErr w:type="gramEnd"/>
      <w:r>
        <w:t xml:space="preserve"> To calculate them, we need to know that </w:t>
      </w:r>
    </w:p>
    <w:p w14:paraId="044DAE62" w14:textId="77777777" w:rsidR="00E508DA" w:rsidRDefault="00E508DA" w:rsidP="006E65F2">
      <w:pPr>
        <w:spacing w:line="480" w:lineRule="auto"/>
      </w:pPr>
    </w:p>
    <w:p w14:paraId="4C64A748" w14:textId="20BA7B23" w:rsidR="003947A8" w:rsidRPr="00E508DA" w:rsidRDefault="00060248" w:rsidP="006E65F2">
      <w:pPr>
        <w:spacing w:line="480" w:lineRule="auto"/>
        <w:ind w:firstLine="720"/>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dir</m:t>
            </m:r>
          </m:sub>
        </m:sSub>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b,dir</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t,dir</m:t>
            </m:r>
          </m:sub>
        </m:sSub>
      </m:oMath>
      <w:r w:rsidR="00E52E61">
        <w:rPr>
          <w:rFonts w:eastAsiaTheme="minorEastAsia"/>
        </w:rPr>
        <w:t xml:space="preserve"> (15)</w:t>
      </w:r>
    </w:p>
    <w:p w14:paraId="7A153B49" w14:textId="77777777" w:rsidR="00E508DA" w:rsidRPr="009D74D3" w:rsidRDefault="00E508DA" w:rsidP="006E65F2">
      <w:pPr>
        <w:spacing w:line="480" w:lineRule="auto"/>
        <w:ind w:firstLine="720"/>
        <w:rPr>
          <w:rFonts w:eastAsiaTheme="minorEastAsia"/>
        </w:rPr>
      </w:pPr>
    </w:p>
    <w:p w14:paraId="4C724E05" w14:textId="722DAFE4" w:rsidR="003947A8" w:rsidRPr="00A82243" w:rsidRDefault="00060248" w:rsidP="006E65F2">
      <w:pPr>
        <w:spacing w:line="480" w:lineRule="auto"/>
        <w:ind w:firstLine="720"/>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indir</m:t>
            </m:r>
          </m:sub>
        </m:sSub>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b,indir</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t,indir</m:t>
            </m:r>
          </m:sub>
        </m:sSub>
      </m:oMath>
      <w:r w:rsidR="00E52E61">
        <w:rPr>
          <w:rFonts w:eastAsiaTheme="minorEastAsia"/>
        </w:rPr>
        <w:t xml:space="preserve"> (16)</w:t>
      </w:r>
    </w:p>
    <w:p w14:paraId="09E38E58" w14:textId="77777777" w:rsidR="00E508DA" w:rsidRDefault="00E508DA" w:rsidP="006E65F2">
      <w:pPr>
        <w:spacing w:line="480" w:lineRule="auto"/>
      </w:pPr>
    </w:p>
    <w:p w14:paraId="5827FFFD" w14:textId="1477AF4D" w:rsidR="003947A8" w:rsidRDefault="003947A8" w:rsidP="006E65F2">
      <w:pPr>
        <w:spacing w:line="480" w:lineRule="auto"/>
        <w:rPr>
          <w:rFonts w:eastAsiaTheme="minorEastAsia"/>
        </w:rPr>
      </w:pPr>
      <w:r>
        <w:t xml:space="preserve">where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b,dir</m:t>
            </m:r>
          </m:sub>
        </m:sSub>
      </m:oMath>
      <w:r>
        <w:rPr>
          <w:rFonts w:eastAsiaTheme="minorEastAsia"/>
        </w:rPr>
        <w:t xml:space="preserve"> is the directed component of the bottom-up effect,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t,dir</m:t>
            </m:r>
          </m:sub>
        </m:sSub>
      </m:oMath>
      <w:r>
        <w:rPr>
          <w:rFonts w:eastAsiaTheme="minorEastAsia"/>
        </w:rPr>
        <w:t xml:space="preserve"> is the directed component of the top-down effect,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b,indir</m:t>
            </m:r>
          </m:sub>
        </m:sSub>
      </m:oMath>
      <w:r>
        <w:rPr>
          <w:rFonts w:eastAsiaTheme="minorEastAsia"/>
        </w:rPr>
        <w:t xml:space="preserve"> is the indirected component of the bottom-up </w:t>
      </w:r>
      <w:r>
        <w:rPr>
          <w:rFonts w:eastAsiaTheme="minorEastAsia"/>
        </w:rPr>
        <w:lastRenderedPageBreak/>
        <w:t xml:space="preserve">effect, and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t,indir</m:t>
            </m:r>
          </m:sub>
        </m:sSub>
      </m:oMath>
      <w:r>
        <w:rPr>
          <w:rFonts w:eastAsiaTheme="minorEastAsia"/>
        </w:rPr>
        <w:t xml:space="preserve"> is the indirected component of the top-down effect. The directed and indirected components of the bottom-up index are calculated as </w:t>
      </w:r>
    </w:p>
    <w:p w14:paraId="4E8CE128" w14:textId="77777777" w:rsidR="00CC12BD" w:rsidRDefault="00CC12BD" w:rsidP="006E65F2">
      <w:pPr>
        <w:spacing w:line="480" w:lineRule="auto"/>
        <w:rPr>
          <w:rFonts w:eastAsiaTheme="minorEastAsia"/>
        </w:rPr>
      </w:pPr>
    </w:p>
    <w:p w14:paraId="11947583" w14:textId="1CBA75B3" w:rsidR="003947A8" w:rsidRPr="00CC12BD" w:rsidRDefault="00060248" w:rsidP="006E65F2">
      <w:pPr>
        <w:spacing w:line="480" w:lineRule="auto"/>
        <w:ind w:firstLine="720"/>
        <w:jc w:val="center"/>
        <w:rPr>
          <w:rFonts w:eastAsiaTheme="minorEastAsia"/>
        </w:rPr>
      </w:pPr>
      <m:oMath>
        <m:sSub>
          <m:sSubPr>
            <m:ctrlPr>
              <w:rPr>
                <w:rFonts w:ascii="Cambria Math" w:hAnsi="Cambria Math"/>
                <w:i/>
              </w:rPr>
            </m:ctrlPr>
          </m:sSubPr>
          <m:e>
            <m:r>
              <w:rPr>
                <w:rFonts w:ascii="Cambria Math" w:hAnsi="Cambria Math"/>
              </w:rPr>
              <m:t>K</m:t>
            </m:r>
          </m:e>
          <m:sub>
            <m:r>
              <w:rPr>
                <w:rFonts w:ascii="Cambria Math" w:hAnsi="Cambria Math"/>
              </w:rPr>
              <m:t>b,dir</m:t>
            </m:r>
          </m:sub>
        </m:sSub>
        <m:d>
          <m:dPr>
            <m:ctrlPr>
              <w:rPr>
                <w:rFonts w:ascii="Cambria Math" w:hAnsi="Cambria Math"/>
                <w:i/>
              </w:rPr>
            </m:ctrlPr>
          </m:dPr>
          <m:e>
            <m:r>
              <w:rPr>
                <w:rFonts w:ascii="Cambria Math" w:hAnsi="Cambria Math"/>
              </w:rPr>
              <m:t>i</m:t>
            </m:r>
          </m:e>
        </m:d>
        <m:r>
          <w:rPr>
            <w:rFonts w:ascii="Cambria Math" w:hAnsi="Cambria Math"/>
          </w:rPr>
          <m:t>=</m:t>
        </m:r>
        <m:nary>
          <m:naryPr>
            <m:chr m:val="∑"/>
            <m:limLoc m:val="undOvr"/>
            <m:ctrlPr>
              <w:rPr>
                <w:rFonts w:ascii="Cambria Math" w:hAnsi="Cambria Math"/>
              </w:rPr>
            </m:ctrlPr>
          </m:naryPr>
          <m:sub>
            <m:r>
              <w:rPr>
                <w:rFonts w:ascii="Cambria Math" w:hAnsi="Cambria Math"/>
              </w:rPr>
              <m:t>j=1</m:t>
            </m:r>
            <m:ctrlPr>
              <w:rPr>
                <w:rFonts w:ascii="Cambria Math" w:hAnsi="Cambria Math"/>
                <w:i/>
              </w:rPr>
            </m:ctrlPr>
          </m:sub>
          <m:sup>
            <m:r>
              <w:rPr>
                <w:rFonts w:ascii="Cambria Math" w:hAnsi="Cambria Math"/>
              </w:rPr>
              <m:t>n</m:t>
            </m:r>
            <m:ctrlPr>
              <w:rPr>
                <w:rFonts w:ascii="Cambria Math" w:hAnsi="Cambria Math"/>
                <w:i/>
              </w:rPr>
            </m:ctrlPr>
          </m:sup>
          <m:e>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m</m:t>
                </m:r>
                <m:d>
                  <m:dPr>
                    <m:ctrlPr>
                      <w:rPr>
                        <w:rFonts w:ascii="Cambria Math" w:hAnsi="Cambria Math"/>
                        <w:i/>
                      </w:rPr>
                    </m:ctrlPr>
                  </m:dPr>
                  <m:e>
                    <m:r>
                      <w:rPr>
                        <w:rFonts w:ascii="Cambria Math" w:hAnsi="Cambria Math"/>
                      </w:rPr>
                      <m:t>i</m:t>
                    </m:r>
                  </m:e>
                </m:d>
                <m:d>
                  <m:dPr>
                    <m:ctrlPr>
                      <w:rPr>
                        <w:rFonts w:ascii="Cambria Math" w:hAnsi="Cambria Math"/>
                        <w:i/>
                      </w:rPr>
                    </m:ctrlPr>
                  </m:dPr>
                  <m:e>
                    <m:r>
                      <w:rPr>
                        <w:rFonts w:ascii="Cambria Math" w:hAnsi="Cambria Math"/>
                      </w:rPr>
                      <m:t>j</m:t>
                    </m:r>
                  </m:e>
                </m:d>
                <m:ctrlPr>
                  <w:rPr>
                    <w:rFonts w:ascii="Cambria Math" w:hAnsi="Cambria Math"/>
                    <w:i/>
                  </w:rPr>
                </m:ctrlPr>
              </m:den>
            </m:f>
          </m:e>
        </m:nary>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m</m:t>
            </m:r>
            <m:d>
              <m:dPr>
                <m:ctrlPr>
                  <w:rPr>
                    <w:rFonts w:ascii="Cambria Math" w:hAnsi="Cambria Math"/>
                    <w:i/>
                  </w:rPr>
                </m:ctrlPr>
              </m:dPr>
              <m:e>
                <m:r>
                  <w:rPr>
                    <w:rFonts w:ascii="Cambria Math" w:hAnsi="Cambria Math"/>
                  </w:rPr>
                  <m:t>i</m:t>
                </m:r>
              </m:e>
            </m:d>
            <m:d>
              <m:dPr>
                <m:ctrlPr>
                  <w:rPr>
                    <w:rFonts w:ascii="Cambria Math" w:hAnsi="Cambria Math"/>
                    <w:i/>
                  </w:rPr>
                </m:ctrlPr>
              </m:dPr>
              <m:e>
                <m:r>
                  <w:rPr>
                    <w:rFonts w:ascii="Cambria Math" w:hAnsi="Cambria Math"/>
                  </w:rPr>
                  <m:t>j</m:t>
                </m:r>
              </m:e>
            </m:d>
            <m:ctrlPr>
              <w:rPr>
                <w:rFonts w:ascii="Cambria Math" w:hAnsi="Cambria Math"/>
                <w:i/>
              </w:rPr>
            </m:ctrlPr>
          </m:den>
        </m:f>
      </m:oMath>
      <w:r w:rsidR="0028742E">
        <w:rPr>
          <w:rFonts w:eastAsiaTheme="minorEastAsia"/>
        </w:rPr>
        <w:t xml:space="preserve"> (17)</w:t>
      </w:r>
    </w:p>
    <w:p w14:paraId="4C6C5BC9" w14:textId="77777777" w:rsidR="00CC12BD" w:rsidRPr="009871D8" w:rsidRDefault="00CC12BD" w:rsidP="006E65F2">
      <w:pPr>
        <w:spacing w:line="480" w:lineRule="auto"/>
        <w:ind w:firstLine="720"/>
        <w:rPr>
          <w:rFonts w:eastAsiaTheme="minorHAnsi"/>
        </w:rPr>
      </w:pPr>
    </w:p>
    <w:p w14:paraId="076CEBF3" w14:textId="1F68E05C" w:rsidR="003947A8" w:rsidRPr="003E4D32" w:rsidRDefault="00060248" w:rsidP="006E65F2">
      <w:pPr>
        <w:spacing w:line="480" w:lineRule="auto"/>
        <w:ind w:firstLine="720"/>
        <w:jc w:val="center"/>
        <w:rPr>
          <w:rFonts w:eastAsiaTheme="minorEastAsia"/>
        </w:rPr>
      </w:pPr>
      <m:oMath>
        <m:sSub>
          <m:sSubPr>
            <m:ctrlPr>
              <w:rPr>
                <w:rFonts w:ascii="Cambria Math" w:hAnsi="Cambria Math"/>
                <w:i/>
              </w:rPr>
            </m:ctrlPr>
          </m:sSubPr>
          <m:e>
            <m:r>
              <w:rPr>
                <w:rFonts w:ascii="Cambria Math" w:hAnsi="Cambria Math"/>
              </w:rPr>
              <m:t>K</m:t>
            </m:r>
          </m:e>
          <m:sub>
            <m:r>
              <w:rPr>
                <w:rFonts w:ascii="Cambria Math" w:hAnsi="Cambria Math"/>
              </w:rPr>
              <m:t>b,indir</m:t>
            </m:r>
          </m:sub>
        </m:sSub>
        <m:d>
          <m:dPr>
            <m:ctrlPr>
              <w:rPr>
                <w:rFonts w:ascii="Cambria Math" w:hAnsi="Cambria Math"/>
                <w:i/>
              </w:rPr>
            </m:ctrlPr>
          </m:dPr>
          <m:e>
            <m:r>
              <w:rPr>
                <w:rFonts w:ascii="Cambria Math" w:hAnsi="Cambria Math"/>
              </w:rPr>
              <m:t>i</m:t>
            </m:r>
          </m:e>
        </m:d>
        <m:r>
          <w:rPr>
            <w:rFonts w:ascii="Cambria Math" w:hAnsi="Cambria Math"/>
          </w:rPr>
          <m:t>=</m:t>
        </m:r>
        <m:nary>
          <m:naryPr>
            <m:chr m:val="∑"/>
            <m:limLoc m:val="undOvr"/>
            <m:ctrlPr>
              <w:rPr>
                <w:rFonts w:ascii="Cambria Math" w:hAnsi="Cambria Math"/>
              </w:rPr>
            </m:ctrlPr>
          </m:naryPr>
          <m:sub>
            <m:r>
              <w:rPr>
                <w:rFonts w:ascii="Cambria Math" w:hAnsi="Cambria Math"/>
              </w:rPr>
              <m:t>j=1</m:t>
            </m:r>
            <m:ctrlPr>
              <w:rPr>
                <w:rFonts w:ascii="Cambria Math" w:hAnsi="Cambria Math"/>
                <w:i/>
              </w:rPr>
            </m:ctrlPr>
          </m:sub>
          <m:sup>
            <m:r>
              <w:rPr>
                <w:rFonts w:ascii="Cambria Math" w:hAnsi="Cambria Math"/>
              </w:rPr>
              <m:t>n</m:t>
            </m:r>
            <m:ctrlPr>
              <w:rPr>
                <w:rFonts w:ascii="Cambria Math" w:hAnsi="Cambria Math"/>
                <w:i/>
              </w:rPr>
            </m:ctrlPr>
          </m:sup>
          <m:e>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m</m:t>
                </m:r>
                <m:d>
                  <m:dPr>
                    <m:ctrlPr>
                      <w:rPr>
                        <w:rFonts w:ascii="Cambria Math" w:hAnsi="Cambria Math"/>
                        <w:i/>
                      </w:rPr>
                    </m:ctrlPr>
                  </m:dPr>
                  <m:e>
                    <m:r>
                      <w:rPr>
                        <w:rFonts w:ascii="Cambria Math" w:hAnsi="Cambria Math"/>
                      </w:rPr>
                      <m:t>i</m:t>
                    </m:r>
                  </m:e>
                </m:d>
                <m:d>
                  <m:dPr>
                    <m:ctrlPr>
                      <w:rPr>
                        <w:rFonts w:ascii="Cambria Math" w:hAnsi="Cambria Math"/>
                        <w:i/>
                      </w:rPr>
                    </m:ctrlPr>
                  </m:dPr>
                  <m:e>
                    <m:r>
                      <w:rPr>
                        <w:rFonts w:ascii="Cambria Math" w:hAnsi="Cambria Math"/>
                      </w:rPr>
                      <m:t>j</m:t>
                    </m:r>
                  </m:e>
                </m:d>
                <m:ctrlPr>
                  <w:rPr>
                    <w:rFonts w:ascii="Cambria Math" w:hAnsi="Cambria Math"/>
                    <w:i/>
                  </w:rPr>
                </m:ctrlPr>
              </m:den>
            </m:f>
          </m:e>
        </m:nary>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K</m:t>
                </m:r>
              </m:e>
              <m:sub>
                <m:r>
                  <w:rPr>
                    <w:rFonts w:ascii="Cambria Math" w:hAnsi="Cambria Math"/>
                  </w:rPr>
                  <m:t>b</m:t>
                </m:r>
              </m:sub>
            </m:sSub>
            <m:d>
              <m:dPr>
                <m:ctrlPr>
                  <w:rPr>
                    <w:rFonts w:ascii="Cambria Math" w:hAnsi="Cambria Math"/>
                    <w:i/>
                  </w:rPr>
                </m:ctrlPr>
              </m:dPr>
              <m:e>
                <m:r>
                  <w:rPr>
                    <w:rFonts w:ascii="Cambria Math" w:hAnsi="Cambria Math"/>
                  </w:rPr>
                  <m:t>j</m:t>
                </m:r>
              </m:e>
            </m:d>
            <m:ctrlPr>
              <w:rPr>
                <w:rFonts w:ascii="Cambria Math" w:hAnsi="Cambria Math"/>
                <w:i/>
              </w:rPr>
            </m:ctrlPr>
          </m:num>
          <m:den>
            <m:r>
              <w:rPr>
                <w:rFonts w:ascii="Cambria Math" w:hAnsi="Cambria Math"/>
              </w:rPr>
              <m:t>m</m:t>
            </m:r>
            <m:d>
              <m:dPr>
                <m:ctrlPr>
                  <w:rPr>
                    <w:rFonts w:ascii="Cambria Math" w:hAnsi="Cambria Math"/>
                    <w:i/>
                  </w:rPr>
                </m:ctrlPr>
              </m:dPr>
              <m:e>
                <m:r>
                  <w:rPr>
                    <w:rFonts w:ascii="Cambria Math" w:hAnsi="Cambria Math"/>
                  </w:rPr>
                  <m:t>i</m:t>
                </m:r>
              </m:e>
            </m:d>
            <m:d>
              <m:dPr>
                <m:ctrlPr>
                  <w:rPr>
                    <w:rFonts w:ascii="Cambria Math" w:hAnsi="Cambria Math"/>
                    <w:i/>
                  </w:rPr>
                </m:ctrlPr>
              </m:dPr>
              <m:e>
                <m:r>
                  <w:rPr>
                    <w:rFonts w:ascii="Cambria Math" w:hAnsi="Cambria Math"/>
                  </w:rPr>
                  <m:t>j</m:t>
                </m:r>
              </m:e>
            </m:d>
            <m:ctrlPr>
              <w:rPr>
                <w:rFonts w:ascii="Cambria Math" w:hAnsi="Cambria Math"/>
                <w:i/>
              </w:rPr>
            </m:ctrlPr>
          </m:den>
        </m:f>
      </m:oMath>
      <w:r w:rsidR="0028742E">
        <w:rPr>
          <w:rFonts w:eastAsiaTheme="minorEastAsia"/>
        </w:rPr>
        <w:t xml:space="preserve"> (18)</w:t>
      </w:r>
    </w:p>
    <w:p w14:paraId="3F245CDF" w14:textId="77777777" w:rsidR="00CC12BD" w:rsidRDefault="00CC12BD" w:rsidP="006E65F2">
      <w:pPr>
        <w:spacing w:line="480" w:lineRule="auto"/>
        <w:rPr>
          <w:rFonts w:eastAsiaTheme="minorEastAsia"/>
        </w:rPr>
      </w:pPr>
    </w:p>
    <w:p w14:paraId="78A47615" w14:textId="740A030F" w:rsidR="003947A8" w:rsidRPr="001E2F59" w:rsidRDefault="003947A8" w:rsidP="006E65F2">
      <w:pPr>
        <w:spacing w:line="480" w:lineRule="auto"/>
        <w:rPr>
          <w:rFonts w:eastAsiaTheme="minorEastAsia"/>
        </w:rPr>
      </w:pPr>
      <w:r w:rsidRPr="00EE39A6">
        <w:rPr>
          <w:rFonts w:eastAsiaTheme="minorEastAsia"/>
        </w:rPr>
        <w:t xml:space="preserve">The direct and indirect components of the top-down effect are calculated in the same way, but </w:t>
      </w:r>
      <w:r w:rsidRPr="001E2F59">
        <w:rPr>
          <w:rFonts w:eastAsiaTheme="minorEastAsia"/>
        </w:rPr>
        <w:t xml:space="preserve">with the direction of the links inverted. </w:t>
      </w:r>
    </w:p>
    <w:p w14:paraId="5852F54B" w14:textId="77777777" w:rsidR="003947A8" w:rsidRPr="001E2F59" w:rsidRDefault="003947A8" w:rsidP="006E65F2">
      <w:pPr>
        <w:spacing w:line="480" w:lineRule="auto"/>
        <w:rPr>
          <w:rFonts w:eastAsiaTheme="minorEastAsia"/>
        </w:rPr>
      </w:pPr>
    </w:p>
    <w:p w14:paraId="01992D38" w14:textId="77777777" w:rsidR="003947A8" w:rsidRPr="00F95949" w:rsidRDefault="003947A8" w:rsidP="006E65F2">
      <w:pPr>
        <w:pStyle w:val="Heading3"/>
        <w:spacing w:before="0" w:beforeAutospacing="0" w:after="0" w:afterAutospacing="0" w:line="480" w:lineRule="auto"/>
        <w:rPr>
          <w:b w:val="0"/>
          <w:i/>
          <w:sz w:val="24"/>
          <w:szCs w:val="24"/>
        </w:rPr>
      </w:pPr>
      <w:r w:rsidRPr="00F95949">
        <w:rPr>
          <w:b w:val="0"/>
          <w:i/>
          <w:sz w:val="24"/>
          <w:szCs w:val="24"/>
        </w:rPr>
        <w:t>Topological importance (TI)</w:t>
      </w:r>
    </w:p>
    <w:p w14:paraId="1FAD777F" w14:textId="77777777" w:rsidR="001E2F59" w:rsidRDefault="001E2F59" w:rsidP="006E65F2">
      <w:pPr>
        <w:spacing w:line="480" w:lineRule="auto"/>
      </w:pPr>
    </w:p>
    <w:p w14:paraId="6C687131" w14:textId="180861F8" w:rsidR="003947A8" w:rsidRDefault="003947A8" w:rsidP="006E65F2">
      <w:pPr>
        <w:spacing w:line="480" w:lineRule="auto"/>
      </w:pPr>
      <w:r w:rsidRPr="001E2F59">
        <w:t>The topological importance (</w:t>
      </w:r>
      <m:oMath>
        <m:r>
          <w:rPr>
            <w:rFonts w:ascii="Cambria Math" w:hAnsi="Cambria Math"/>
          </w:rPr>
          <m:t>TI</m:t>
        </m:r>
      </m:oMath>
      <w:r w:rsidRPr="001E2F59">
        <w:t>) of a node represents its potential to create bottom-up</w:t>
      </w:r>
      <w:r w:rsidRPr="00EE39A6">
        <w:t xml:space="preserve"> effects on other species, up to a certain number of steps that we can set. It was first introduced to host-parasitoid networks by </w:t>
      </w:r>
      <w:r>
        <w:fldChar w:fldCharType="begin" w:fldLock="1"/>
      </w:r>
      <w:r>
        <w:instrText>ADDIN CSL_CITATION {"citationItems":[{"id":"ITEM-1","itemData":{"DOI":"10.1046/j.1365-2656.1999.00288.x","ISSN":"00218790","abstract":"1. A quantitative parasitoid web was constructed describing the trophic relationships between the community of aphids, parasitoids and secondary parasitoids in an abandoned field in southern England. Root aphids were omitted and secondary parasitoids were associated with aphids rather than primary parasitoids. All aphids, parasitoids and trophic links were expressed in the same units (m-2). Over a 2-year period, separate webs were constructed for every month that aphids and parasitoids were active in the field. 2. Twenty-six species of plants were attacked by 25 species of aphid which were parasitized by 18 species of primary parasitoids. The primary parasitoids were attacked by 28 species of secondary parasitoids, of which 18 directly attacked the still living aphid (hyperparasitoids) and 10 attacked the aphid after mummification (mummy parasitoids). The aphids were attended by three species of ants. 3. Eleven webs were constructed for the months May to September 1994 and May to October 1995. Aphids and primary parasitoids were most abundant and diverse in June, and secondary parasitoids one month later. 4. The ratios of the number of aphid species to the number of species of primary parasitoid and hyperparasitoid were relatively constant across webs, as was the ratio, of the number of links involving hyperparasitoids and mummy parasitoids. The ratio of the total number of links to the total number of species increased with web size. 5. The relative abundance of the species in the different webs was well described by a Dirichlet distribution with a common parameter. This implies a gamma distribution of aphid abundances in the field with few common and many rare species. 6. Predator (i.e. parasitoid) overlap graphs were constructed to assess the potential for indirect interactions between aphids. Mummy parasitoids were the most important group linking different aphids. A quantitative overlap diagram was developed to illustrate the potential strengths of indirect linkages. Common aphid species shared few strong, indirect links via primary parasitoids or hyperparasitoids, but could be strongly linked by mummy parasitoids. Symmetrical links were uncommon, and rare species were potentially strongly influenced by the presence of common aphids with which they shared parasitoids. 7. Ant-attended aphids were attacked by fewer species of primary parasitoids and hyperparasitoids than those species not attended by ants. Species of mummy parasitoids attack, on aver…","author":[{"dropping-particle":"","family":"Müller","given":"C. B.","non-dropping-particle":"","parse-names":false,"suffix":""},{"dropping-particle":"","family":"Adriaanse","given":"I. C.T.","non-dropping-particle":"","parse-names":false,"suffix":""},{"dropping-particle":"","family":"Belshaw","given":"R.","non-dropping-particle":"","parse-names":false,"suffix":""},{"dropping-particle":"","family":"Godfray","given":"H. C.J.","non-dropping-particle":"","parse-names":false,"suffix":""}],"container-title":"Journal of Animal Ecology","id":"ITEM-1","issued":{"date-parts":[["1999"]]},"page":"346-370","title":"The structure of an aphid-parasitoid community","type":"article-journal","volume":"68"},"uris":["http://www.mendeley.com/documents/?uuid=baa19ff3-5d19-4ddb-bb70-75e27a731fcd"]}],"mendeley":{"formattedCitation":"(Müller, Adriaanse, Belshaw, &amp; Godfray, 1999)","manualFormatting":"Müller, Adriaanse, Belshaw, &amp; Godfray (1999)","plainTextFormattedCitation":"(Müller, Adriaanse, Belshaw, &amp; Godfray, 1999)","previouslyFormattedCitation":"(Müller, Adriaanse, Belshaw, &amp; Godfray, 1999)"},"properties":{"noteIndex":0},"schema":"https://github.com/citation-style-language/schema/raw/master/csl-citation.json"}</w:instrText>
      </w:r>
      <w:r>
        <w:fldChar w:fldCharType="separate"/>
      </w:r>
      <w:r w:rsidRPr="00D01014">
        <w:rPr>
          <w:noProof/>
        </w:rPr>
        <w:t xml:space="preserve">Müller, Adriaanse, Belshaw, &amp; Godfray </w:t>
      </w:r>
      <w:r>
        <w:rPr>
          <w:noProof/>
        </w:rPr>
        <w:t>(</w:t>
      </w:r>
      <w:r w:rsidRPr="00D01014">
        <w:rPr>
          <w:noProof/>
        </w:rPr>
        <w:t>1999)</w:t>
      </w:r>
      <w:r>
        <w:fldChar w:fldCharType="end"/>
      </w:r>
      <w:r w:rsidRPr="00EE39A6">
        <w:t xml:space="preserve"> and then to food webs by </w:t>
      </w:r>
      <w:r>
        <w:fldChar w:fldCharType="begin" w:fldLock="1"/>
      </w:r>
      <w:r>
        <w:instrText>ADDIN CSL_CITATION {"citationItems":[{"id":"ITEM-1","itemData":{"DOI":"10.1556/ComEc.4.2003.1.12","ISSN":"15858553","abstract":"We present a new method to asses the strength of indirect interactions and to indentify candidate keystone species in quantitative food webs. We apply this method to the structural analysis of a host-parasitoid community. The strength and symmetry of indirect interactions between 12 leaf-miner hosts and their 27 hymenopteran parasitoids are quantified. It is shown that (1) quantifying longer pathways helps in determining which species have more important direct or indirect effects on others, (2) a keystone pattern of relative species importance, based on positionality in the interaction network, seems to characterize this community, (3) considering longer pathways results in a characteristic 'few strong - many weak' distribution of interaction strength, and (4) between the majority of species pairs the interaction is weakly asymmetrical. We emphasise that a very simple network algebra approach may offer important predictions on both species- and community-level patterns.","author":[{"dropping-particle":"","family":"Jordán","given":"F.","non-dropping-particle":"","parse-names":false,"suffix":""},{"dropping-particle":"","family":"Liu","given":"W. C.","non-dropping-particle":"","parse-names":false,"suffix":""},{"dropping-particle":"","family":"Veen","given":"F. J.F.","non-dropping-particle":"van","parse-names":false,"suffix":""}],"container-title":"Community Ecology","id":"ITEM-1","issue":"1","issued":{"date-parts":[["2003"]]},"page":"79-88","title":"Quantifying the importance of species and their interactions in a host-parasitoid community","type":"article-journal","volume":"4"},"uris":["http://www.mendeley.com/documents/?uuid=1b8e870a-8f0e-4c5b-ac13-749eea48cc2a"]}],"mendeley":{"formattedCitation":"(F. Jordán, Liu, &amp; van Veen, 2003)","manualFormatting":"Jordán, Liu, &amp; van Veen (2003)","plainTextFormattedCitation":"(F. Jordán, Liu, &amp; van Veen, 2003)","previouslyFormattedCitation":"(F. Jordán, Liu, &amp; van Veen, 2003)"},"properties":{"noteIndex":0},"schema":"https://github.com/citation-style-language/schema/raw/master/csl-citation.json"}</w:instrText>
      </w:r>
      <w:r>
        <w:fldChar w:fldCharType="separate"/>
      </w:r>
      <w:r w:rsidRPr="00D01014">
        <w:rPr>
          <w:noProof/>
        </w:rPr>
        <w:t xml:space="preserve">Jordán, Liu, &amp; van Veen </w:t>
      </w:r>
      <w:r>
        <w:rPr>
          <w:noProof/>
        </w:rPr>
        <w:t>(</w:t>
      </w:r>
      <w:r w:rsidRPr="00D01014">
        <w:rPr>
          <w:noProof/>
        </w:rPr>
        <w:t>2003)</w:t>
      </w:r>
      <w:r>
        <w:fldChar w:fldCharType="end"/>
      </w:r>
      <w:r w:rsidRPr="00EE39A6">
        <w:t xml:space="preserve">. </w:t>
      </w:r>
      <w:r>
        <w:t>If topological importance takes interaction strength into consideration, we refer to it as weighted topological importance (</w:t>
      </w:r>
      <m:oMath>
        <m:r>
          <w:rPr>
            <w:rFonts w:ascii="Cambria Math" w:hAnsi="Cambria Math"/>
          </w:rPr>
          <m:t>WI</m:t>
        </m:r>
      </m:oMath>
      <w:r>
        <w:t xml:space="preserve">). See supporting information for the </w:t>
      </w:r>
      <w:r w:rsidRPr="00EE39A6">
        <w:t xml:space="preserve">algorithm </w:t>
      </w:r>
      <w:r>
        <w:t xml:space="preserve">for the computation of topological </w:t>
      </w:r>
      <w:r w:rsidRPr="001E2F59">
        <w:t>importance and weighted topological importance.</w:t>
      </w:r>
    </w:p>
    <w:p w14:paraId="09BCBA4B" w14:textId="77777777" w:rsidR="001E2F59" w:rsidRPr="001E2F59" w:rsidRDefault="001E2F59" w:rsidP="006E65F2">
      <w:pPr>
        <w:spacing w:line="480" w:lineRule="auto"/>
      </w:pPr>
    </w:p>
    <w:p w14:paraId="7DCB5950" w14:textId="77777777" w:rsidR="003947A8" w:rsidRPr="00F95949" w:rsidRDefault="003947A8" w:rsidP="006E65F2">
      <w:pPr>
        <w:pStyle w:val="Heading3"/>
        <w:spacing w:before="0" w:beforeAutospacing="0" w:after="0" w:afterAutospacing="0" w:line="480" w:lineRule="auto"/>
        <w:rPr>
          <w:b w:val="0"/>
          <w:i/>
          <w:sz w:val="24"/>
          <w:szCs w:val="24"/>
        </w:rPr>
      </w:pPr>
      <w:r w:rsidRPr="00F95949">
        <w:rPr>
          <w:b w:val="0"/>
          <w:i/>
          <w:sz w:val="24"/>
          <w:szCs w:val="24"/>
        </w:rPr>
        <w:t>Species uniqueness (STO)</w:t>
      </w:r>
    </w:p>
    <w:p w14:paraId="3F9654EA" w14:textId="77777777" w:rsidR="001E2F59" w:rsidRDefault="001E2F59" w:rsidP="006E65F2">
      <w:pPr>
        <w:spacing w:line="480" w:lineRule="auto"/>
      </w:pPr>
    </w:p>
    <w:p w14:paraId="7D2E48D2" w14:textId="14A3170D" w:rsidR="003947A8" w:rsidRDefault="003947A8" w:rsidP="006E65F2">
      <w:pPr>
        <w:spacing w:line="480" w:lineRule="auto"/>
      </w:pPr>
      <w:r w:rsidRPr="001E2F59">
        <w:t>Species uniqueness (</w:t>
      </w:r>
      <m:oMath>
        <m:r>
          <w:rPr>
            <w:rFonts w:ascii="Cambria Math" w:hAnsi="Cambria Math"/>
          </w:rPr>
          <m:t>STO</m:t>
        </m:r>
      </m:oMath>
      <w:r w:rsidRPr="001E2F59">
        <w:t xml:space="preserve">) represents how redundant the strong interactions of a node are. It was first introduced by </w:t>
      </w:r>
      <w:r w:rsidRPr="001E2F59">
        <w:fldChar w:fldCharType="begin" w:fldLock="1"/>
      </w:r>
      <w:r w:rsidRPr="001E2F59">
        <w:instrText>ADDIN CSL_CITATION {"citationItems":[{"id":"ITEM-1","itemData":{"DOI":"10.1016/j.ecolmodel.2014.12.014","ISSN":"03043800","abstract":"Species importance is often defined by how central the role a species plays in a food web. Here we argue that species importance should also incorporate the concept of uniqueness of its network position. By developing a previous methodology, we propose a new approach for species uniqueness. Our methodology quantifies the interaction structure of species, separates strong and weak interactors in a threshold-dependent way and measures the similarity of strong interactors' identity for pairs of species. By exploring various threshold values systematically, the profile of a species' trophic overlap can be constructed. Summing up the extent of trophic overlap across the whole profile for a species, we then obtain a new measure for species uniqueness. A unique species should overlap less with other species and therefore has a low value for this new measure. We demonstrate our methodology by using the food web representation of Prince Williams Sound ecosystem. Drastic differences between our new result and that derived from the previous approach are found. We further compare the result with other network indices and found that the information generated from our new approach differs from the majority others. This in turn implies our approach offer an alternative view on species importance that may complement the existing methodologies in the literature.","author":[{"dropping-particle":"","family":"Lai","given":"Shu Mei","non-dropping-particle":"","parse-names":false,"suffix":""},{"dropping-particle":"","family":"Liu","given":"Wei Chung","non-dropping-particle":"","parse-names":false,"suffix":""},{"dropping-particle":"","family":"Jordán","given":"Ferenc","non-dropping-particle":"","parse-names":false,"suffix":""}],"container-title":"Ecological Modelling","id":"ITEM-1","issued":{"date-parts":[["2015"]]},"page":"95-101","publisher":"Elsevier B.V.","title":"A trophic overlap-based measure for species uniqueness in ecological networks","type":"article-journal","volume":"299"},"uris":["http://www.mendeley.com/documents/?uuid=7c05e8e2-6b4b-44cb-b74d-c2a8af948feb"]}],"mendeley":{"formattedCitation":"(Lai, Liu, &amp; Jordán, 2015)","manualFormatting":"Lai, Liu, &amp; Jordán (2015)","plainTextFormattedCitation":"(Lai, Liu, &amp; Jordán, 2015)","previouslyFormattedCitation":"(Lai, Liu, &amp; Jordán, 2015)"},"properties":{"noteIndex":0},"schema":"https://github.com/citation-style-language/schema/raw/master/csl-citation.json"}</w:instrText>
      </w:r>
      <w:r w:rsidRPr="001E2F59">
        <w:fldChar w:fldCharType="separate"/>
      </w:r>
      <w:r w:rsidRPr="001E2F59">
        <w:rPr>
          <w:noProof/>
        </w:rPr>
        <w:t>Lai, Liu, &amp; Jordán (2015)</w:t>
      </w:r>
      <w:r w:rsidRPr="001E2F59">
        <w:fldChar w:fldCharType="end"/>
      </w:r>
      <w:r w:rsidRPr="001E2F59">
        <w:t xml:space="preserve"> and can be considered as an extension of the trophic field overlap (</w:t>
      </w:r>
      <m:oMath>
        <m:r>
          <w:rPr>
            <w:rFonts w:ascii="Cambria Math" w:hAnsi="Cambria Math"/>
          </w:rPr>
          <m:t>TO</m:t>
        </m:r>
      </m:oMath>
      <w:r w:rsidRPr="001E2F59">
        <w:t xml:space="preserve">) (see </w:t>
      </w:r>
      <w:r w:rsidRPr="001E2F59">
        <w:fldChar w:fldCharType="begin" w:fldLock="1"/>
      </w:r>
      <w:r w:rsidRPr="001E2F59">
        <w:instrText>ADDIN CSL_CITATION {"citationItems":[{"id":"ITEM-1","itemData":{"DOI":"10.1016/j.ecolmodel.2008.12.003","ISSN":"03043800","abstract":"It is a current challenge to better understand the relative importance of species in ecosystems, and the network perspective is able to offer quantitative tools for this. It is plausible to assume, in general, that well-linked species, being key interactors, are also more important for the community. Recently a number of methods have been suggested for quantifying the network position of species in ecological networks (like the topological importance metric, TI). Most of them are based on node centrality indices and it may happen that the two most important species in a food web have very similar interaction structure and they can essentially replace each other if one becomes extinct. For conservation considerations it is a challenge to identify species that are richly connected and, at the same time, have a relatively unique and irreplaceable interaction pattern. We present a new method and illustrate our approach by using the Kuosheng Bay trophic network in Taiwan. The new method is based on the interaction matrix, where the strength of the interaction between nodes i and j depends only on topology. By defining a threshold separating weak and strong interactors, we define the effective range of interactions for each graph node. If the overlaps between pairs of these ranges are quantified, we gain a metric expressing how unique is the interaction pattern of a focal node (TO). The combination of centrality (TI) and uniqueness (TO) is called topological functionality (TF). We compare the nodal importance rank provided by this metric to others based on a variety of centrality measures. The main conclusion is that shrimps seem to have the most unique interaction pattern despite that their structural importance has been underestimated by all conventional centrality indices. Also, our network analysis suggests that fisheries disturb the ecosystem in a more critical network position than the impingement by the local power plant. © 2008 Elsevier B.V. All rights reserved.","author":[{"dropping-particle":"","family":"Jordán","given":"Ferenc","non-dropping-particle":"","parse-names":false,"suffix":""},{"dropping-particle":"","family":"Liu","given":"Wei Chung","non-dropping-particle":"","parse-names":false,"suffix":""},{"dropping-particle":"","family":"Mike","given":"Ágnes","non-dropping-particle":"","parse-names":false,"suffix":""}],"container-title":"Ecological Modelling","id":"ITEM-1","issue":"21","issued":{"date-parts":[["2009"]]},"page":"2899-2907","title":"Trophic field overlap: A new approach to quantify keystone species","type":"article-journal","volume":"220"},"uris":["http://www.mendeley.com/documents/?uuid=1666e07a-5c78-4b13-ab81-ebdb32076cb2"]}],"mendeley":{"formattedCitation":"(Ferenc Jordán, Liu, &amp; Mike, 2009)","manualFormatting":"Jordán, Liu, &amp; Mike (2009)","plainTextFormattedCitation":"(Ferenc Jordán, Liu, &amp; Mike, 2009)","previouslyFormattedCitation":"(Ferenc Jordán, Liu, &amp; Mike, 2009)"},"properties":{"noteIndex":0},"schema":"https://github.com/citation-style-language/schema/raw/master/csl-citation.json"}</w:instrText>
      </w:r>
      <w:r w:rsidRPr="001E2F59">
        <w:fldChar w:fldCharType="separate"/>
      </w:r>
      <w:r w:rsidRPr="001E2F59">
        <w:rPr>
          <w:noProof/>
        </w:rPr>
        <w:t>Jordán, Liu, &amp; Mike (2009)</w:t>
      </w:r>
      <w:r w:rsidRPr="001E2F59">
        <w:fldChar w:fldCharType="end"/>
      </w:r>
      <w:r w:rsidRPr="001E2F59">
        <w:t>. The trophic field</w:t>
      </w:r>
      <w:r>
        <w:t xml:space="preserve"> overlap of a </w:t>
      </w:r>
      <w:r>
        <w:lastRenderedPageBreak/>
        <w:t xml:space="preserve">node </w:t>
      </w:r>
      <m:oMath>
        <m:r>
          <w:rPr>
            <w:rFonts w:ascii="Cambria Math" w:hAnsi="Cambria Math"/>
          </w:rPr>
          <m:t>i</m:t>
        </m:r>
      </m:oMath>
      <w:r>
        <w:t xml:space="preserve"> is the number of times that </w:t>
      </w:r>
      <m:oMath>
        <m:r>
          <w:rPr>
            <w:rFonts w:ascii="Cambria Math" w:hAnsi="Cambria Math"/>
          </w:rPr>
          <m:t>i</m:t>
        </m:r>
      </m:oMath>
      <w:r w:rsidRPr="00F36A4E">
        <w:t xml:space="preserve"> and another node interact strongly with the same predator. </w:t>
      </w:r>
      <w:r>
        <w:t>Interactions are considered strong when they exceed a certain threshold. T</w:t>
      </w:r>
      <w:r w:rsidRPr="00C2174E">
        <w:t xml:space="preserve">o avoid </w:t>
      </w:r>
      <w:r>
        <w:t>having to choose a single threshold</w:t>
      </w:r>
      <w:r w:rsidRPr="00C2174E">
        <w:t>,</w:t>
      </w:r>
      <w:r>
        <w:t xml:space="preserve"> </w:t>
      </w:r>
      <m:oMath>
        <m:r>
          <w:rPr>
            <w:rFonts w:ascii="Cambria Math" w:hAnsi="Cambria Math"/>
          </w:rPr>
          <m:t>TO</m:t>
        </m:r>
      </m:oMath>
      <w:r>
        <w:t xml:space="preserve"> is calculated based on multiple thresholds. Each of these </w:t>
      </w:r>
      <m:oMath>
        <m:r>
          <w:rPr>
            <w:rFonts w:ascii="Cambria Math" w:hAnsi="Cambria Math"/>
          </w:rPr>
          <m:t>TO</m:t>
        </m:r>
      </m:oMath>
      <w:r>
        <w:t xml:space="preserve"> is then summed to give species uniqueness. If we calculate the topological overlap taking into consideration interaction strength, we can calculate weighted species </w:t>
      </w:r>
      <w:r w:rsidRPr="001E2F59">
        <w:t xml:space="preserve">uniqueness </w:t>
      </w:r>
      <m:oMath>
        <m:r>
          <w:rPr>
            <w:rFonts w:ascii="Cambria Math" w:hAnsi="Cambria Math"/>
          </w:rPr>
          <m:t>(wSTO)</m:t>
        </m:r>
      </m:oMath>
      <w:r w:rsidRPr="001E2F59">
        <w:t>. See supporting information for the algorithm for the computation of trophic field overlap.</w:t>
      </w:r>
    </w:p>
    <w:p w14:paraId="4D817CE9" w14:textId="77777777" w:rsidR="001E2F59" w:rsidRPr="001E2F59" w:rsidRDefault="001E2F59" w:rsidP="006E65F2">
      <w:pPr>
        <w:spacing w:line="480" w:lineRule="auto"/>
      </w:pPr>
    </w:p>
    <w:p w14:paraId="73AC9CBE" w14:textId="77777777" w:rsidR="003947A8" w:rsidRPr="00F95949" w:rsidRDefault="003947A8" w:rsidP="006E65F2">
      <w:pPr>
        <w:pStyle w:val="Heading2"/>
        <w:spacing w:before="0" w:beforeAutospacing="0" w:after="0" w:afterAutospacing="0" w:line="480" w:lineRule="auto"/>
        <w:rPr>
          <w:sz w:val="24"/>
          <w:szCs w:val="24"/>
        </w:rPr>
      </w:pPr>
      <w:r w:rsidRPr="00F95949">
        <w:rPr>
          <w:sz w:val="24"/>
          <w:szCs w:val="24"/>
        </w:rPr>
        <w:t>Statistical analysis</w:t>
      </w:r>
    </w:p>
    <w:p w14:paraId="0A467108" w14:textId="77777777" w:rsidR="001E2F59" w:rsidRDefault="001E2F59" w:rsidP="006E65F2">
      <w:pPr>
        <w:spacing w:line="480" w:lineRule="auto"/>
      </w:pPr>
    </w:p>
    <w:p w14:paraId="400619FD" w14:textId="4B6AFD92" w:rsidR="003947A8" w:rsidRPr="001E2F59" w:rsidRDefault="003947A8" w:rsidP="006E65F2">
      <w:pPr>
        <w:spacing w:line="480" w:lineRule="auto"/>
      </w:pPr>
      <w:r w:rsidRPr="001E2F59">
        <w:t>The combination of the six clustering techniques, five linkage methods and four ways of determining interaction strength produced 120 ways of aggregating food webs. For each of</w:t>
      </w:r>
      <w:r w:rsidRPr="00C2174E">
        <w:t xml:space="preserve"> these aggregation methods, we studied their effects on </w:t>
      </w:r>
      <w:r>
        <w:t xml:space="preserve">the </w:t>
      </w:r>
      <w:r w:rsidRPr="00C2174E">
        <w:t>indices</w:t>
      </w:r>
      <w:r>
        <w:t xml:space="preserve"> of importance</w:t>
      </w:r>
      <w:r w:rsidRPr="00C2174E">
        <w:t xml:space="preserve">. </w:t>
      </w:r>
      <w:r>
        <w:t xml:space="preserve">In particular, we studied the correlation between the ranking of the nodes before and after the aggregation. This correlation was calculated by using </w:t>
      </w:r>
      <w:r w:rsidRPr="00C2174E">
        <w:t>Kendall's tau b (</w:t>
      </w:r>
      <m:oMath>
        <m:sSub>
          <m:sSubPr>
            <m:ctrlPr>
              <w:rPr>
                <w:rFonts w:ascii="Cambria Math" w:hAnsi="Cambria Math"/>
                <w:i/>
              </w:rPr>
            </m:ctrlPr>
          </m:sSubPr>
          <m:e>
            <m:r>
              <m:rPr>
                <m:sty m:val="p"/>
              </m:rPr>
              <w:rPr>
                <w:rFonts w:ascii="Cambria Math" w:hAnsi="Cambria Math"/>
              </w:rPr>
              <m:t>τ</m:t>
            </m:r>
            <m:ctrlPr>
              <w:rPr>
                <w:rFonts w:ascii="Cambria Math" w:hAnsi="Cambria Math"/>
              </w:rPr>
            </m:ctrlPr>
          </m:e>
          <m:sub>
            <m:r>
              <w:rPr>
                <w:rFonts w:ascii="Cambria Math" w:hAnsi="Cambria Math"/>
              </w:rPr>
              <m:t>B</m:t>
            </m:r>
          </m:sub>
        </m:sSub>
      </m:oMath>
      <w:r w:rsidRPr="00C2174E">
        <w:t>) - a version of Kendall's rank correlation coefficient that makes adjustments for ties</w:t>
      </w:r>
      <w:r>
        <w:t xml:space="preserve"> </w:t>
      </w:r>
      <w:r>
        <w:fldChar w:fldCharType="begin" w:fldLock="1"/>
      </w:r>
      <w:r>
        <w:instrText>ADDIN CSL_CITATION {"citationItems":[{"id":"ITEM-1","itemData":{"DOI":"10.1002/9780470594001","ISBN":"9780470594001","abstract":"Statistical science's first coordinated manual of methods for analyzing ordered categorical data, now fully revised and updated, continues to present applications and case studies in fields as diverse as sociology, public health, ecology, marketing, and pharmacy. Analysis of Ordinal Categorical Data, Second Edition provides an introduction to basic descriptive and inferential methods for categorical data, giving thorough coverage of new developments and recent methods. Special emphasis is placed on interpretation and application of methods including an integrated comparison of the available strategies for analyzing ordinal data. Practitioners of statistics in government, industry (particularly pharmaceutical), and academia will want this new edition.","author":[{"dropping-particle":"","family":"Agresti","given":"Alan","non-dropping-particle":"","parse-names":false,"suffix":""}],"container-title":"Analysis of Ordinal Categorical Data: Second Edition","id":"ITEM-1","issued":{"date-parts":[["2012","7","3"]]},"number-of-pages":"1-396","publisher":"John Wiley and Sons Inc","title":"Analysis of Ordinal Categorical Data: Second Edition","type":"book"},"uris":["http://www.mendeley.com/documents/?uuid=43d7040e-59c3-3388-b25d-e1a80dde9241"]}],"mendeley":{"formattedCitation":"(Agresti, 2012)","plainTextFormattedCitation":"(Agresti, 2012)","previouslyFormattedCitation":"(Agresti, 2012)"},"properties":{"noteIndex":0},"schema":"https://github.com/citation-style-language/schema/raw/master/csl-citation.json"}</w:instrText>
      </w:r>
      <w:r>
        <w:fldChar w:fldCharType="separate"/>
      </w:r>
      <w:r w:rsidRPr="00257265">
        <w:rPr>
          <w:noProof/>
        </w:rPr>
        <w:t>(Agresti, 2012)</w:t>
      </w:r>
      <w:r>
        <w:fldChar w:fldCharType="end"/>
      </w:r>
      <w:r>
        <w:t>.</w:t>
      </w:r>
      <w:r w:rsidRPr="00C2174E">
        <w:t xml:space="preserve"> For each </w:t>
      </w:r>
      <w:r>
        <w:t xml:space="preserve">combination of </w:t>
      </w:r>
      <w:r w:rsidRPr="00C2174E">
        <w:t>aggregation method and index</w:t>
      </w:r>
      <w:r>
        <w:t xml:space="preserve"> of importance</w:t>
      </w:r>
      <w:r w:rsidRPr="00C2174E">
        <w:t xml:space="preserve">, we found the mean </w:t>
      </w:r>
      <m:oMath>
        <m:sSub>
          <m:sSubPr>
            <m:ctrlPr>
              <w:rPr>
                <w:rFonts w:ascii="Cambria Math" w:hAnsi="Cambria Math"/>
                <w:i/>
              </w:rPr>
            </m:ctrlPr>
          </m:sSubPr>
          <m:e>
            <m:r>
              <m:rPr>
                <m:sty m:val="p"/>
              </m:rPr>
              <w:rPr>
                <w:rFonts w:ascii="Cambria Math" w:hAnsi="Cambria Math"/>
              </w:rPr>
              <m:t>τ</m:t>
            </m:r>
            <m:ctrlPr>
              <w:rPr>
                <w:rFonts w:ascii="Cambria Math" w:hAnsi="Cambria Math"/>
              </w:rPr>
            </m:ctrlPr>
          </m:e>
          <m:sub>
            <m:r>
              <w:rPr>
                <w:rFonts w:ascii="Cambria Math" w:hAnsi="Cambria Math"/>
              </w:rPr>
              <m:t>B</m:t>
            </m:r>
          </m:sub>
        </m:sSub>
      </m:oMath>
      <w:r w:rsidRPr="00C2174E">
        <w:t xml:space="preserve"> across all food webs. This required us to convert </w:t>
      </w:r>
      <m:oMath>
        <m:sSub>
          <m:sSubPr>
            <m:ctrlPr>
              <w:rPr>
                <w:rFonts w:ascii="Cambria Math" w:hAnsi="Cambria Math"/>
                <w:i/>
              </w:rPr>
            </m:ctrlPr>
          </m:sSubPr>
          <m:e>
            <m:r>
              <m:rPr>
                <m:sty m:val="p"/>
              </m:rPr>
              <w:rPr>
                <w:rFonts w:ascii="Cambria Math" w:hAnsi="Cambria Math"/>
              </w:rPr>
              <m:t>τ</m:t>
            </m:r>
            <m:ctrlPr>
              <w:rPr>
                <w:rFonts w:ascii="Cambria Math" w:hAnsi="Cambria Math"/>
              </w:rPr>
            </m:ctrlPr>
          </m:e>
          <m:sub>
            <m:r>
              <w:rPr>
                <w:rFonts w:ascii="Cambria Math" w:hAnsi="Cambria Math"/>
              </w:rPr>
              <m:t>B</m:t>
            </m:r>
          </m:sub>
        </m:sSub>
      </m:oMath>
      <w:r w:rsidRPr="00C2174E">
        <w:t xml:space="preserve"> using the Fisher z-transformation </w:t>
      </w:r>
      <w:r>
        <w:fldChar w:fldCharType="begin" w:fldLock="1"/>
      </w:r>
      <w:r>
        <w:instrText>ADDIN CSL_CITATION {"citationItems":[{"id":"ITEM-1","itemData":{"DOI":"10.2307/2331838","ISSN":"00063444","abstract":"508 Distribution of the Correlation Coeffeients of Samples In the second of these two papers the more difficult problem of the frequency distribution of the correlation coefficient is attempted. For samples of 2 the frequency","author":[{"dropping-particle":"","family":"Fisher","given":"R. A.","non-dropping-particle":"","parse-names":false,"suffix":""}],"container-title":"Biometrika","id":"ITEM-1","issue":"4","issued":{"date-parts":[["1915"]]},"page":"507-521","title":"Frequency Distribution of the Values of the Correlation Coefficient in Samples from an Indefinitely Large Population","type":"article-journal","volume":"10"},"uris":["http://www.mendeley.com/documents/?uuid=422762fa-bd52-4a05-b622-264cbfc4cd0b"]}],"mendeley":{"formattedCitation":"(Fisher, 1915)","plainTextFormattedCitation":"(Fisher, 1915)","previouslyFormattedCitation":"(Fisher, 1915)"},"properties":{"noteIndex":0},"schema":"https://github.com/citation-style-language/schema/raw/master/csl-citation.json"}</w:instrText>
      </w:r>
      <w:r>
        <w:fldChar w:fldCharType="separate"/>
      </w:r>
      <w:r w:rsidRPr="00791232">
        <w:rPr>
          <w:noProof/>
        </w:rPr>
        <w:t>(Fisher, 1915)</w:t>
      </w:r>
      <w:r>
        <w:fldChar w:fldCharType="end"/>
      </w:r>
      <w:r>
        <w:t>.</w:t>
      </w:r>
      <w:r w:rsidRPr="00C2174E">
        <w:t xml:space="preserve"> </w:t>
      </w:r>
      <w:r>
        <w:t xml:space="preserve">For each fisher’s z mean, </w:t>
      </w:r>
      <w:r w:rsidRPr="00C2174E">
        <w:t xml:space="preserve">we found its </w:t>
      </w:r>
      <w:r>
        <w:t xml:space="preserve">95% </w:t>
      </w:r>
      <w:r w:rsidRPr="00C2174E">
        <w:t>confidence interval by bootstrapping</w:t>
      </w:r>
      <w:r>
        <w:t xml:space="preserve"> </w:t>
      </w:r>
      <w:r w:rsidRPr="001E2F59">
        <w:fldChar w:fldCharType="begin" w:fldLock="1"/>
      </w:r>
      <w:r w:rsidRPr="001E2F59">
        <w:instrText>ADDIN CSL_CITATION {"citationItems":[{"id":"ITEM-1","itemData":{"DOI":"10.1214/ss/1032280214","ISSN":"08834237","abstract":"This article surveys bootstrap methods for producing good approximate confidence intervals. The goal is to improve by an order of magnitude upon the accuracy of the standard intervals θ^±z(α)σ^, in a way that allows routine application even to very complicated problems. Both theory and examples are used to show how this is done. The first seven sections provide a heuristic overview of four bootstrap confidence interval procedures: BCα, bootstrap-t, ABC and calibration. Sections 8 and 9 describe the theory behind these methods, and their close connection with the likelihood-based confidence interval theory developed by Barndorff-Nielsen, Cox and Reid and others. © 1996 Applied Probability Trust.","author":[{"dropping-particle":"","family":"DiCiccio","given":"Thomas J.","non-dropping-particle":"","parse-names":false,"suffix":""},{"dropping-particle":"","family":"Efron","given":"Bradley","non-dropping-particle":"","parse-names":false,"suffix":""}],"container-title":"Statistical Science","id":"ITEM-1","issue":"3","issued":{"date-parts":[["1996"]]},"page":"189-228","title":"Bootstrap confidence intervals","type":"article-journal","volume":"11"},"uris":["http://www.mendeley.com/documents/?uuid=a189d5b5-2d7a-4980-83f4-69ed6416127d"]}],"mendeley":{"formattedCitation":"(DiCiccio &amp; Efron, 1996)","plainTextFormattedCitation":"(DiCiccio &amp; Efron, 1996)","previouslyFormattedCitation":"(DiCiccio &amp; Efron, 1996)"},"properties":{"noteIndex":0},"schema":"https://github.com/citation-style-language/schema/raw/master/csl-citation.json"}</w:instrText>
      </w:r>
      <w:r w:rsidRPr="001E2F59">
        <w:fldChar w:fldCharType="separate"/>
      </w:r>
      <w:r w:rsidRPr="001E2F59">
        <w:rPr>
          <w:noProof/>
        </w:rPr>
        <w:t>(DiCiccio &amp; Efron, 1996)</w:t>
      </w:r>
      <w:r w:rsidRPr="001E2F59">
        <w:fldChar w:fldCharType="end"/>
      </w:r>
      <w:r w:rsidRPr="001E2F59">
        <w:t xml:space="preserve">. The fisher’s z means, and 95% confidence intervals were then back transformed to </w:t>
      </w:r>
      <m:oMath>
        <m:sSub>
          <m:sSubPr>
            <m:ctrlPr>
              <w:rPr>
                <w:rFonts w:ascii="Cambria Math" w:hAnsi="Cambria Math"/>
                <w:i/>
              </w:rPr>
            </m:ctrlPr>
          </m:sSubPr>
          <m:e>
            <m:r>
              <m:rPr>
                <m:sty m:val="p"/>
              </m:rPr>
              <w:rPr>
                <w:rFonts w:ascii="Cambria Math" w:hAnsi="Cambria Math"/>
              </w:rPr>
              <m:t>τ</m:t>
            </m:r>
            <m:ctrlPr>
              <w:rPr>
                <w:rFonts w:ascii="Cambria Math" w:hAnsi="Cambria Math"/>
              </w:rPr>
            </m:ctrlPr>
          </m:e>
          <m:sub>
            <m:r>
              <w:rPr>
                <w:rFonts w:ascii="Cambria Math" w:hAnsi="Cambria Math"/>
              </w:rPr>
              <m:t>B</m:t>
            </m:r>
          </m:sub>
        </m:sSub>
      </m:oMath>
      <w:r w:rsidRPr="001E2F59">
        <w:rPr>
          <w:rFonts w:eastAsiaTheme="minorEastAsia"/>
        </w:rPr>
        <w:t xml:space="preserve">. </w:t>
      </w:r>
      <m:oMath>
        <m:sSub>
          <m:sSubPr>
            <m:ctrlPr>
              <w:rPr>
                <w:rFonts w:ascii="Cambria Math" w:hAnsi="Cambria Math"/>
                <w:i/>
              </w:rPr>
            </m:ctrlPr>
          </m:sSubPr>
          <m:e>
            <m:r>
              <m:rPr>
                <m:sty m:val="p"/>
              </m:rPr>
              <w:rPr>
                <w:rFonts w:ascii="Cambria Math" w:hAnsi="Cambria Math"/>
              </w:rPr>
              <m:t>τ</m:t>
            </m:r>
            <m:ctrlPr>
              <w:rPr>
                <w:rFonts w:ascii="Cambria Math" w:hAnsi="Cambria Math"/>
              </w:rPr>
            </m:ctrlPr>
          </m:e>
          <m:sub>
            <m:r>
              <w:rPr>
                <w:rFonts w:ascii="Cambria Math" w:hAnsi="Cambria Math"/>
              </w:rPr>
              <m:t>B</m:t>
            </m:r>
          </m:sub>
        </m:sSub>
      </m:oMath>
      <w:r w:rsidRPr="001E2F59">
        <w:t xml:space="preserve"> and bootstrapping were implemented in the Statistics and Machine Learning Toolbox for MATLAB </w:t>
      </w:r>
      <w:r w:rsidRPr="001E2F59">
        <w:fldChar w:fldCharType="begin" w:fldLock="1"/>
      </w:r>
      <w:r w:rsidRPr="001E2F59">
        <w:instrText>ADDIN CSL_CITATION {"citationItems":[{"id":"ITEM-1","itemData":{"ISBN":"252.2277014","URL":"https://www.mathworks.com/products/statistics.html","abstract":"Statistics and Machine Learning Toolbox™ provides functions and apps to describe, analyze, and model data using statistics and machine learning. You can use descriptive statistics and plots for exploratory data analysis, fit probability distributions to data, generate random numbers for Monte Carlo simulations, and perform hypothesis tests. Regression and classification algorithms let you draw inferences from data and build predictive models. For analyzing multidimensional data, Statistics and Machine Learning Toolbox lets you identify key variables or features that impact your model with sequential feature selection, stepwise regression, principal component analysis, regularization, and other dimensionality reduction methods. The toolbox provides supervised and unsupervised machine learning algorithms, including support vector machines (SVMs), boosted and bagged decision trees, k-nearest neighbor, k-means, k-medoids, hierarchical clustering, Gaussian mixture models, and hidden Markov models.","author":[{"dropping-particle":"","family":"Mathworks Inc.","given":"","non-dropping-particle":"","parse-names":false,"suffix":""}],"container-title":"2015","id":"ITEM-1","issued":{"date-parts":[["2019"]]},"title":"Matlab Statistics and Machine Learning Toolbox","type":"webpage"},"uris":["http://www.mendeley.com/documents/?uuid=b257c811-4b9f-459d-9523-189507672c7e"]}],"mendeley":{"formattedCitation":"(Mathworks Inc., 2019)","plainTextFormattedCitation":"(Mathworks Inc., 2019)","previouslyFormattedCitation":"(Mathworks Inc., 2019)"},"properties":{"noteIndex":0},"schema":"https://github.com/citation-style-language/schema/raw/master/csl-citation.json"}</w:instrText>
      </w:r>
      <w:r w:rsidRPr="001E2F59">
        <w:fldChar w:fldCharType="separate"/>
      </w:r>
      <w:r w:rsidRPr="001E2F59">
        <w:rPr>
          <w:noProof/>
        </w:rPr>
        <w:t>(Mathworks Inc., 2019)</w:t>
      </w:r>
      <w:r w:rsidRPr="001E2F59">
        <w:fldChar w:fldCharType="end"/>
      </w:r>
      <w:r w:rsidRPr="001E2F59">
        <w:t>.</w:t>
      </w:r>
    </w:p>
    <w:p w14:paraId="628EB6AF" w14:textId="18033FF4" w:rsidR="001E2F59" w:rsidRPr="001E2F59" w:rsidRDefault="001E2F59" w:rsidP="006E65F2">
      <w:pPr>
        <w:spacing w:line="480" w:lineRule="auto"/>
      </w:pPr>
    </w:p>
    <w:p w14:paraId="6F2A6DAE" w14:textId="77777777" w:rsidR="003947A8" w:rsidRPr="00015DA8" w:rsidRDefault="003947A8" w:rsidP="006E65F2">
      <w:pPr>
        <w:spacing w:line="480" w:lineRule="auto"/>
      </w:pPr>
      <w:r w:rsidRPr="00F95949">
        <w:rPr>
          <w:b/>
        </w:rPr>
        <w:t>Results</w:t>
      </w:r>
    </w:p>
    <w:p w14:paraId="59DEE2BC" w14:textId="77777777" w:rsidR="001E2F59" w:rsidRDefault="001E2F59" w:rsidP="006E65F2">
      <w:pPr>
        <w:pStyle w:val="Heading2"/>
        <w:spacing w:before="0" w:beforeAutospacing="0" w:after="0" w:afterAutospacing="0" w:line="480" w:lineRule="auto"/>
        <w:rPr>
          <w:sz w:val="24"/>
          <w:szCs w:val="24"/>
        </w:rPr>
      </w:pPr>
    </w:p>
    <w:p w14:paraId="49BEB135" w14:textId="7436155F" w:rsidR="003947A8" w:rsidRPr="00F95949" w:rsidRDefault="003947A8" w:rsidP="006E65F2">
      <w:pPr>
        <w:pStyle w:val="Heading2"/>
        <w:spacing w:before="0" w:beforeAutospacing="0" w:after="0" w:afterAutospacing="0" w:line="480" w:lineRule="auto"/>
        <w:rPr>
          <w:b w:val="0"/>
          <w:i/>
          <w:sz w:val="24"/>
          <w:szCs w:val="24"/>
        </w:rPr>
      </w:pPr>
      <w:r w:rsidRPr="00F95949">
        <w:rPr>
          <w:b w:val="0"/>
          <w:i/>
          <w:sz w:val="24"/>
          <w:szCs w:val="24"/>
        </w:rPr>
        <w:lastRenderedPageBreak/>
        <w:t>Size of the clusters produced</w:t>
      </w:r>
    </w:p>
    <w:p w14:paraId="4A7D32F9" w14:textId="77777777" w:rsidR="001E2F59" w:rsidRDefault="001E2F59" w:rsidP="006E65F2">
      <w:pPr>
        <w:spacing w:line="480" w:lineRule="auto"/>
      </w:pPr>
    </w:p>
    <w:p w14:paraId="33A127FB" w14:textId="4019598B" w:rsidR="003947A8" w:rsidRDefault="003947A8" w:rsidP="006E65F2">
      <w:pPr>
        <w:spacing w:line="480" w:lineRule="auto"/>
      </w:pPr>
      <w:r w:rsidRPr="001E2F59">
        <w:t>The 76 food webs we used had a median of 25.5 nodes (IQR = 16.0), with a minimum of 14 nodes and a maximum of 55 nodes (Figure 1). The median size of the aggregated food web compared to the original one was 74.5% (IQR=10.8</w:t>
      </w:r>
      <w:r w:rsidRPr="005048EB">
        <w:t xml:space="preserve">%) for </w:t>
      </w:r>
      <w:r w:rsidRPr="001E2F59">
        <w:t>the Jaccard index, 73% (IQR=7.2%) for the REGE index, 12.8% (IQR=6.5) for the density-based modules, 35.8% (IQR=21.3%) for the prey-based modules, 72.1% (IQR=29.6%) for the predator-based modules and 15.8% (IQR=6.5%) for the group model (Figure 2 and 6).</w:t>
      </w:r>
    </w:p>
    <w:p w14:paraId="278CF03B" w14:textId="77777777" w:rsidR="001E2F59" w:rsidRPr="001E2F59" w:rsidRDefault="001E2F59" w:rsidP="006E65F2">
      <w:pPr>
        <w:spacing w:line="480" w:lineRule="auto"/>
      </w:pPr>
    </w:p>
    <w:p w14:paraId="488786F9" w14:textId="77777777" w:rsidR="003947A8" w:rsidRPr="00F95949" w:rsidRDefault="003947A8" w:rsidP="006E65F2">
      <w:pPr>
        <w:pStyle w:val="Heading2"/>
        <w:spacing w:before="0" w:beforeAutospacing="0" w:after="0" w:afterAutospacing="0" w:line="480" w:lineRule="auto"/>
        <w:rPr>
          <w:b w:val="0"/>
          <w:i/>
          <w:sz w:val="24"/>
          <w:szCs w:val="24"/>
        </w:rPr>
      </w:pPr>
      <w:r w:rsidRPr="00F95949">
        <w:rPr>
          <w:b w:val="0"/>
          <w:i/>
          <w:sz w:val="24"/>
          <w:szCs w:val="24"/>
        </w:rPr>
        <w:t>Correlation of indices of importance before and after the aggregation</w:t>
      </w:r>
    </w:p>
    <w:p w14:paraId="52092F47" w14:textId="77777777" w:rsidR="001E2F59" w:rsidRPr="00F95949" w:rsidRDefault="001E2F59" w:rsidP="006E65F2">
      <w:pPr>
        <w:spacing w:line="480" w:lineRule="auto"/>
        <w:rPr>
          <w:i/>
        </w:rPr>
      </w:pPr>
    </w:p>
    <w:p w14:paraId="1251E08B" w14:textId="67562F8B" w:rsidR="003947A8" w:rsidRDefault="003947A8" w:rsidP="006E65F2">
      <w:pPr>
        <w:spacing w:line="480" w:lineRule="auto"/>
      </w:pPr>
      <w:r w:rsidRPr="001E2F59">
        <w:t>The correlation between the ranking before and after the aggregation can be seen in Figure 3. By focusing only on the clustering method and ignoring the linkage method and the interaction strength method, we can select the best clustering for each combination of</w:t>
      </w:r>
      <w:r>
        <w:t xml:space="preserve"> centrality indices and clustering methods. This provides us with a clearer heat map. See Figure 4. Ranking the clustering algorithms in Figure 4 produces Table 1. Density modularity always ranked as the worst clustering algorithm. Prey-based modules and group model were always ranked as either fourth or fifth. Except for </w:t>
      </w:r>
      <m:oMath>
        <m:r>
          <w:rPr>
            <w:rFonts w:ascii="Cambria Math" w:hAnsi="Cambria Math"/>
          </w:rPr>
          <m:t>BC</m:t>
        </m:r>
      </m:oMath>
      <w:r>
        <w:t xml:space="preserve"> and </w:t>
      </w:r>
      <m:oMath>
        <m:r>
          <w:rPr>
            <w:rFonts w:ascii="Cambria Math" w:hAnsi="Cambria Math"/>
          </w:rPr>
          <m:t>s’</m:t>
        </m:r>
      </m:oMath>
      <w:r>
        <w:t xml:space="preserve">, the clustering of predator modules ranked consistently as third. Excluding the results of contrastatus, the hierarchical clustering based on Jaccard index and REGE index were always ranked as the best clustering methods. Jaccard index was better than REGE for weighted and unweighted species uniqueness, unweighted topological importance, degree centrality, closeness centrality, and betweenness centrality. REGE was better for weighted topological importance and weighted degree centrality. Status index and keystone index were maintained better either by Jaccard or by REGE according to which index of those two families </w:t>
      </w:r>
      <w:r w:rsidRPr="005048EB">
        <w:t xml:space="preserve">we considered. We can </w:t>
      </w:r>
      <w:r w:rsidRPr="005048EB">
        <w:lastRenderedPageBreak/>
        <w:t>qualitatively say that the correlation between the ranking before and after the aggregation seems to increase with the size of the aggregated food web.</w:t>
      </w:r>
    </w:p>
    <w:p w14:paraId="63BCFC84" w14:textId="2CE6338D" w:rsidR="003947A8" w:rsidRPr="00F95949" w:rsidRDefault="003947A8" w:rsidP="006E65F2">
      <w:pPr>
        <w:spacing w:line="480" w:lineRule="auto"/>
        <w:rPr>
          <w:b/>
          <w:bCs/>
          <w:kern w:val="36"/>
        </w:rPr>
      </w:pPr>
    </w:p>
    <w:p w14:paraId="64304B63" w14:textId="77777777" w:rsidR="003947A8" w:rsidRPr="00F95949" w:rsidRDefault="003947A8" w:rsidP="006E65F2">
      <w:pPr>
        <w:pStyle w:val="Heading1"/>
        <w:spacing w:before="0" w:beforeAutospacing="0" w:after="0" w:afterAutospacing="0" w:line="480" w:lineRule="auto"/>
        <w:rPr>
          <w:sz w:val="24"/>
          <w:szCs w:val="24"/>
        </w:rPr>
      </w:pPr>
      <w:r w:rsidRPr="00F95949">
        <w:rPr>
          <w:sz w:val="24"/>
          <w:szCs w:val="24"/>
        </w:rPr>
        <w:t>Discussion</w:t>
      </w:r>
    </w:p>
    <w:p w14:paraId="4DA925CD" w14:textId="77777777" w:rsidR="005048EB" w:rsidRDefault="005048EB" w:rsidP="006E65F2">
      <w:pPr>
        <w:spacing w:line="480" w:lineRule="auto"/>
      </w:pPr>
    </w:p>
    <w:p w14:paraId="2BC90356" w14:textId="2C9A390F" w:rsidR="003947A8" w:rsidRDefault="003947A8" w:rsidP="006E65F2">
      <w:pPr>
        <w:spacing w:line="480" w:lineRule="auto"/>
      </w:pPr>
      <w:r w:rsidRPr="005048EB">
        <w:t xml:space="preserve">The aggregation of nodes in food webs is an old problem, dating back at least to the beginning of the 1980s (e.g., </w:t>
      </w:r>
      <w:r w:rsidRPr="005048EB">
        <w:fldChar w:fldCharType="begin" w:fldLock="1"/>
      </w:r>
      <w:r w:rsidRPr="005048EB">
        <w:instrText>ADDIN CSL_CITATION {"citationItems":[{"id":"ITEM-1","itemData":{"author":[{"dropping-particle":"","family":"Pimm","given":"Stuart L","non-dropping-particle":"","parse-names":false,"suffix":""}],"container-title":"Food webs","id":"ITEM-1","issued":{"date-parts":[["1982"]]},"number-of-pages":"1-11","publisher":"Springer","publisher-place":"London","title":"Food webs","type":"book"},"uris":["http://www.mendeley.com/documents/?uuid=fadc293e-6967-476b-b61e-ed17b03665bf"]}],"mendeley":{"formattedCitation":"(Pimm, 1982)","manualFormatting":"Pimm (1982)","plainTextFormattedCitation":"(Pimm, 1982)","previouslyFormattedCitation":"(Pimm, 1982)"},"properties":{"noteIndex":0},"schema":"https://github.com/citation-style-language/schema/raw/master/csl-citation.json"}</w:instrText>
      </w:r>
      <w:r w:rsidRPr="005048EB">
        <w:fldChar w:fldCharType="separate"/>
      </w:r>
      <w:r w:rsidRPr="005048EB">
        <w:rPr>
          <w:noProof/>
        </w:rPr>
        <w:t>Pimm (1982)</w:t>
      </w:r>
      <w:r w:rsidRPr="005048EB">
        <w:fldChar w:fldCharType="end"/>
      </w:r>
      <w:r w:rsidRPr="005048EB">
        <w:t xml:space="preserve">). Multiple studies investigated the effect of different types of aggregation on food web properties, such as connectance, food chain length and ratio between bottom, intermediate and top species </w:t>
      </w:r>
      <w:r w:rsidRPr="005048EB">
        <w:fldChar w:fldCharType="begin" w:fldLock="1"/>
      </w:r>
      <w:r w:rsidRPr="005048EB">
        <w:instrText>ADDIN CSL_CITATION {"citationItems":[{"id":"ITEM-1","itemData":{"DOI":"10.1007/s004420050310","ISSN":"00298549","abstract":"Historically, ecologists have been more interested in organisms feeding at the tops of food chains than in organisms feeding at or near the bottom. The problem of taxonomic and trophic inconsistency within and among described food webs is central to criticisms of contemporary food web research. To study the effects of taxonomic and trophic aggregation on food web properties, 38 published food webs, each containing a large fraction of investigator-defined biological species, were systematically aggregated by taxonomy and trophic (functional) group similarity. During each step of taxonomic and trophic aggregation, eight food web properties (MIN, MAX, mean chain lengths; the fractions of basal, intermediate and top species; the ratio of all links by the total number of species, L/S; and rigid circuits) were calculated and their departures from the original, unaggregated version were recorded. We found only two properties showing wide systematic departure from initial values after both taxonomic and trophic group aggregation: the fraction of basal species and L/S. One reason for the relative 'constancy' of the six other properties was due in part to large numbers of trophically equivalent species (species with identical sets of prey and predators) found in these and other published webs. In the 38 webs, the average number of trophically equivalent species was 45% and ranged from a low of 13% in aquatic webs to a high of 71% in certain terrestrial systems (i.e., carrion webs). Six of the eight properties (MIN, MAX and mean chain lengths, the fractions of top and basal species, and the L/S ratio) were found to be more sensitive to taxonomic than to trophic aggregation. The relatively smaller variations observed in trophically lumped versions suggest that food web properties more aptly reflect functional, rather than taxonomic, attributes of real food webs. These findings parallel earlier trophic-based results, and bolster the conclusion that uneven lumping of taxonomic and trophic groups in published food web reports do not modify markedly the scaling behaviour of most of their descriptive properties.","author":[{"dropping-particle":"","family":"Sugihara","given":"George","non-dropping-particle":"","parse-names":false,"suffix":""},{"dropping-particle":"","family":"Bersier","given":"Louis Félix","non-dropping-particle":"","parse-names":false,"suffix":""},{"dropping-particle":"","family":"Schoenly","given":"Kenneth","non-dropping-particle":"","parse-names":false,"suffix":""}],"container-title":"Oecologia","id":"ITEM-1","issue":"2","issued":{"date-parts":[["1997"]]},"page":"272-284","title":"Effects of taxonomic and trophic aggregation on food web properties","type":"article-journal","volume":"112"},"uris":["http://www.mendeley.com/documents/?uuid=21225626-56ac-41b0-95fd-646d1e6c8de8"]},{"id":"ITEM-2","itemData":{"DOI":"10.1126/science.2740915","ISSN":"00368075","PMID":"2740915","abstract":"The robustness of five common food web properties is examined by varying the resolution of the data through aggregation of trophic groupings. A surprising constancy in each of these properties is revealed as webs are collapsed down to approximately half their original size. This analysis of 60 invertebrate-dominated community food webs confirms the existence of all but one of these properties in such webs and addresses a common concern held by critics of food web theory that observed food web properties may be sensitive to trophic aggregation. The food web statistics (chain length; predator/prey ratio; fraction of top, intermediate, and bottom species; and rigid circuits) are scaling in the sense that they remain roughly invariant over a wide range of data resolution. As such, within present standards of reporting food web data, these statistics may be used to compare systems whose trophic data are resolved differently within a factor of 2.","author":[{"dropping-particle":"","family":"Sugihara","given":"George","non-dropping-particle":"","parse-names":false,"suffix":""},{"dropping-particle":"","family":"Schoenly","given":"Kenneth","non-dropping-particle":"","parse-names":false,"suffix":""},{"dropping-particle":"","family":"Trombla","given":"Alan","non-dropping-particle":"","parse-names":false,"suffix":""}],"container-title":"Science","id":"ITEM-2","issue":"4913","issued":{"date-parts":[["1989"]]},"page":"48-52","title":"Scale invariance in food web properties","type":"article-journal","volume":"245"},"uris":["http://www.mendeley.com/documents/?uuid=1a5ff2f5-8fb3-4b79-8df2-abec71aa99cc"]},{"id":"ITEM-3","itemData":{"author":[{"dropping-particle":"","family":"Martinez","given":"Neo D.","non-dropping-particle":"","parse-names":false,"suffix":""}],"container-title":"Ecological Monographs","id":"ITEM-3","issue":"4","issued":{"date-parts":[["1991"]]},"page":"367-392","title":"Artifacts or Attributes ? Effects of Resolution on the Little Rock Lake Food Web","type":"article-journal","volume":"61"},"uris":["http://www.mendeley.com/documents/?uuid=0f1334c5-6644-43a7-9284-0d85317706aa"]},{"id":"ITEM-4","itemData":{"author":[{"dropping-particle":"","family":"Martinez","given":"Neo D.","non-dropping-particle":"","parse-names":false,"suffix":""}],"container-title":"Oikos","id":"ITEM-4","issue":"3","issued":{"date-parts":[["1993"]]},"page":"403-412","title":"Effects of Resolution on Food Web Structure","type":"article-journal","volume":"66"},"uris":["http://www.mendeley.com/documents/?uuid=31a3d878-b05a-42e7-924a-604b9b92921c"]},{"id":"ITEM-5","itemData":{"DOI":"10.2307/5416","ISSN":"00218790","abstract":"JSTOR is a not-for-profit service that helps scholars, researchers, and students discover, use, and build upon a wide range of content in a trusted digital archive. We use information technology and tools to increase productivity and facilitate new forms of scholarship. For more information about JSTOR, please contact support@jstor.org. U.K. SUMMARY (1) The properties of a large and well-documented estuarine food web are examined to see how closely they conform to the patterns described for food webs in general. Average food-chain lengths are longer and the degree of omnivory is higher than for the majority of published webs. The web is similar to others in the proportions of top, intermediate and basal species and the links between them, and in the relation-ships between the number of trophic links and web size and between the number of predators and the number of prey. (2) The effects of taxonomic resolution on web properties are examined by progressively aggregating web elements into coarser taxonomic classes. Aggregation resulted in a marked reduction in average food-chain length and reproduced the relationship between the number of trophic links and the number of species and between the number of predators and the number of prey. The proportions of top, intermediate and basal species and the proportions of links between these groupings were insensitive to our aggregation procedure.","author":[{"dropping-particle":"","family":"Hall","given":"S.J.","non-dropping-particle":"","parse-names":false,"suffix":""},{"dropping-particle":"","family":"Raffaelli","given":"D.","non-dropping-particle":"","parse-names":false,"suffix":""}],"container-title":"The Journal of Animal Ecology","id":"ITEM-5","issue":"3","issued":{"date-parts":[["1991"]]},"page":"823-841","title":"Food-Web Patterns: Lessons from a Species-Rich Web","type":"article-journal","volume":"60"},"uris":["http://www.mendeley.com/documents/?uuid=7750e005-856c-4d52-8bf2-bb562155e259"]}],"mendeley":{"formattedCitation":"(Hall &amp; Raffaelli, 1991; Martinez, 1991, 1993; Sugihara, Bersier, &amp; Schoenly, 1997; Sugihara, Schoenly, &amp; Trombla, 1989)","plainTextFormattedCitation":"(Hall &amp; Raffaelli, 1991; Martinez, 1991, 1993; Sugihara, Bersier, &amp; Schoenly, 1997; Sugihara, Schoenly, &amp; Trombla, 1989)","previouslyFormattedCitation":"(Hall &amp; Raffaelli, 1991; Martinez, 1991, 1993; Sugihara, Bersier, &amp; Schoenly, 1997; Sugihara, Schoenly, &amp; Trombla, 1989)"},"properties":{"noteIndex":0},"schema":"https://github.com/citation-style-language/schema/raw/master/csl-citation.json"}</w:instrText>
      </w:r>
      <w:r w:rsidRPr="005048EB">
        <w:fldChar w:fldCharType="separate"/>
      </w:r>
      <w:r w:rsidRPr="005048EB">
        <w:rPr>
          <w:noProof/>
        </w:rPr>
        <w:t>(Hall &amp; Raffaelli, 1991; Martinez, 1991, 1993; Sugihara, Bersier, &amp; Schoenly, 1997; Sugihara, Schoenly, &amp; Trombla, 1989)</w:t>
      </w:r>
      <w:r w:rsidRPr="005048EB">
        <w:fldChar w:fldCharType="end"/>
      </w:r>
      <w:r>
        <w:t xml:space="preserve">. Not much attention, however, has been given to the effects that aggregation has on our ability to find keystone species inside the food web. </w:t>
      </w:r>
      <w:r>
        <w:fldChar w:fldCharType="begin" w:fldLock="1"/>
      </w:r>
      <w:r>
        <w:instrText>ADDIN CSL_CITATION {"citationItems":[{"id":"ITEM-1","itemData":{"DOI":"10.1093/icesjms/fst047","ISSN":"10543139","abstract":"Ecosystem models have been developed for many marine systems to provide guidance on fisheries management strategies that protect key ecological functions. These models are commonly \"recycled\", i.e. applied to new questions or policy concerns after the initial phase of model development, testing, and application. Because decisions about the model structure are typically based on the intended model use, it is important to recognize limits in the capacity of models to address questions for which they were not specifically designed. Here, we evaluate existing foodweb models in the context of their ability to identify key forage species in foodwebs and to test management strategies for fisheries that target them. We find that the depth and breadth with which predator species are represented are commonly insufficient for evaluating sensitivities of predator populations to forage fish depletion. We demonstrate that aggregating predator species into functional groups creates bias in foodweb metrics such as connectance. Models also varied considerably with respect to the extent that they have been tuned or fitted to retrospective patterns and the degree to which key sensitivities are identified. We use this case study to provide several general recommendations when \"recycling\" ecosystem and foodweb models. Briefly, we suggest as routine procedure careful scrutiny of structural model attributes, of scales at which ecological processes are included, and quality of fits for key functional groups. © 2013 International Council for the Exploration of the Sea. Published by Oxford University Press. All rights reserved.","author":[{"dropping-particle":"","family":"Essington","given":"Timothy E.","non-dropping-particle":"","parse-names":false,"suffix":""},{"dropping-particle":"","family":"Plagányi","given":"Éva E.","non-dropping-particle":"","parse-names":false,"suffix":""}],"container-title":"ICES Journal of Marine Science","id":"ITEM-1","issue":"1","issued":{"date-parts":[["2014"]]},"title":"Pitfalls and guidelines for \"recycling\" models for ecosystem-based fisheries management: Evaluating model suitability for forage fish fisheries","type":"article-journal","volume":"71"},"uris":["http://www.mendeley.com/documents/?uuid=f0c5193a-a692-3c41-9885-8881005be6e8"]},{"id":"ITEM-2","itemData":{"DOI":"10.1016/j.fishres.2014.05.011","ISSN":"01657836","abstract":"A novel method for identifying \"key\" prey species such as forage fish, upon which upper trophic level predators depend, is proposed. Forage fish fisheries collectively constitute 30% of global fishery landings and are important prey for other fished species as well as marine mammals and seabirds. The SURF index (SUpportive Role to Fishery ecosystems) for each prey species weights food web connectance by the importance of trophic connections, so that higher scores indicate a greater potential for indirect food web effects of forage fish fisheries. We show that the SURF index is less sensitive to choices on degree of taxonomic aggregation of analysis than typical connectance measures. Moreover, we show that SURF provides more robust predictions of which species have greatest effects on other food web components. This rapid and empirically based method has utility in ensuring that management plans for these species take into account the broader ecosystem impacts of different harvest levels. © 2014 Elsevier B.V.","author":[{"dropping-particle":"","family":"Plagányi","given":"Éva E.","non-dropping-particle":"","parse-names":false,"suffix":""},{"dropping-particle":"","family":"Essington","given":"Timothy E.","non-dropping-particle":"","parse-names":false,"suffix":""}],"container-title":"Fisheries Research","id":"ITEM-2","issued":{"date-parts":[["2014"]]},"page":"68-74","publisher":"Elsevier B.V.","title":"When the SURFs up, forage fish are key","type":"article-journal","volume":"159"},"uris":["http://www.mendeley.com/documents/?uuid=c21ee86b-7b97-47cb-9b5b-ccaab2dd4a3c"]}],"mendeley":{"formattedCitation":"(Essington &amp; Plagányi, 2014; Plagányi &amp; Essington, 2014)","manualFormatting":"Essington &amp; Plagányi, (2014) and Plagányi &amp; Essington, (2014)","plainTextFormattedCitation":"(Essington &amp; Plagányi, 2014; Plagányi &amp; Essington, 2014)","previouslyFormattedCitation":"(Essington &amp; Plagányi, 2014; Plagányi &amp; Essington, 2014)"},"properties":{"noteIndex":0},"schema":"https://github.com/citation-style-language/schema/raw/master/csl-citation.json"}</w:instrText>
      </w:r>
      <w:r>
        <w:fldChar w:fldCharType="separate"/>
      </w:r>
      <w:r w:rsidRPr="00F65FD1">
        <w:rPr>
          <w:noProof/>
        </w:rPr>
        <w:t xml:space="preserve">Essington &amp; Plagányi, </w:t>
      </w:r>
      <w:r>
        <w:rPr>
          <w:noProof/>
        </w:rPr>
        <w:t>(</w:t>
      </w:r>
      <w:r w:rsidRPr="00F65FD1">
        <w:rPr>
          <w:noProof/>
        </w:rPr>
        <w:t>2014</w:t>
      </w:r>
      <w:r>
        <w:rPr>
          <w:noProof/>
        </w:rPr>
        <w:t>) and</w:t>
      </w:r>
      <w:r w:rsidRPr="00F65FD1">
        <w:rPr>
          <w:noProof/>
        </w:rPr>
        <w:t xml:space="preserve"> Plagányi &amp; Essington, </w:t>
      </w:r>
      <w:r>
        <w:rPr>
          <w:noProof/>
        </w:rPr>
        <w:t>(</w:t>
      </w:r>
      <w:r w:rsidRPr="00F65FD1">
        <w:rPr>
          <w:noProof/>
        </w:rPr>
        <w:t>2014)</w:t>
      </w:r>
      <w:r>
        <w:fldChar w:fldCharType="end"/>
      </w:r>
      <w:r>
        <w:t xml:space="preserve"> tried to investigate this topic</w:t>
      </w:r>
      <w:r w:rsidR="005048EB">
        <w:t>.</w:t>
      </w:r>
      <w:r>
        <w:t xml:space="preserve"> </w:t>
      </w:r>
      <w:r w:rsidR="005048EB">
        <w:t>T</w:t>
      </w:r>
      <w:r>
        <w:t>he former</w:t>
      </w:r>
      <w:r w:rsidR="005048EB">
        <w:t xml:space="preserve"> by</w:t>
      </w:r>
      <w:r>
        <w:t xml:space="preserve"> study</w:t>
      </w:r>
      <w:r w:rsidR="005048EB">
        <w:t>ing</w:t>
      </w:r>
      <w:r>
        <w:t xml:space="preserve"> changes in degree centrality and in the </w:t>
      </w:r>
      <w:r w:rsidR="00926AB9">
        <w:t xml:space="preserve">ratio between the </w:t>
      </w:r>
      <w:r>
        <w:t>consumer species biomass</w:t>
      </w:r>
      <w:r w:rsidR="00926AB9">
        <w:t xml:space="preserve"> and the total</w:t>
      </w:r>
      <w:r>
        <w:t xml:space="preserve"> consumer biomas</w:t>
      </w:r>
      <w:r w:rsidR="00926AB9">
        <w:t>s</w:t>
      </w:r>
      <w:r w:rsidR="005048EB">
        <w:t>.</w:t>
      </w:r>
      <w:r>
        <w:t xml:space="preserve"> </w:t>
      </w:r>
      <w:r w:rsidR="005048EB">
        <w:t>T</w:t>
      </w:r>
      <w:r>
        <w:t xml:space="preserve">he latter </w:t>
      </w:r>
      <w:r w:rsidR="005048EB">
        <w:t>by</w:t>
      </w:r>
      <w:r>
        <w:t xml:space="preserve"> the SURF index (an index used to find important forage fish species). These, however, focused on indices that are rarely used in keystone species research and did not compare the effect of different aggregation methods. </w:t>
      </w:r>
    </w:p>
    <w:p w14:paraId="5991C312" w14:textId="68B40F84" w:rsidR="003947A8" w:rsidRDefault="003947A8" w:rsidP="006E65F2">
      <w:pPr>
        <w:spacing w:line="480" w:lineRule="auto"/>
        <w:ind w:firstLine="720"/>
      </w:pPr>
      <w:r>
        <w:t xml:space="preserve">In this paper, we study the effects of aggregation on </w:t>
      </w:r>
      <w:r w:rsidR="007D5971">
        <w:t>several</w:t>
      </w:r>
      <w:r>
        <w:t xml:space="preserve"> indices </w:t>
      </w:r>
      <w:r w:rsidR="007D5971">
        <w:t xml:space="preserve">used </w:t>
      </w:r>
      <w:r>
        <w:t xml:space="preserve">in </w:t>
      </w:r>
      <w:r w:rsidR="007D5971">
        <w:t xml:space="preserve">network ecology </w:t>
      </w:r>
      <w:r w:rsidR="008B2F48">
        <w:fldChar w:fldCharType="begin" w:fldLock="1"/>
      </w:r>
      <w:r w:rsidR="008B2F48">
        <w:instrText>ADDIN CSL_CITATION {"citationItems":[{"id":"ITEM-1","itemData":{"DOI":"10.1556/168.2019.20.2.5","ISSN":"15882756","abstract":"Anthropic activities impact ecosystems worldwide thus contributing to the rapid erosion of biodiversity. The failure of traditional strategies targeting single species highlighted ecosystems as the most suitable scale to plan biodiversity management. Network analysis represents an ideal tool to model interactions in ecosystems and centrality indices have been extensively applied to quantify the structural and functional importance of species in food webs. However, many network studies fail in deciphering the ecological mechanisms that lead some species to occupy the most central positions in food webs. To address this question, we built a high-resolution food web of the Gulf of California and quantified species position using 15 centrality indices and the trophic level. We then modelled the values of each index as a function of traits and other attributes (e.g., habitat). We found that body size and mobility are the best predictors of indices that characterize species importance at local, meso- and global scale, especially in presence of data accounting for energy direction. This result extends previous findings that illustrated how a restricted set of traitaxes can predict whether two species interact in food webs. In particular, we show that traits can also help understanding the way species are affected by and mediate indirect effects. The traits allow focusing on the processes that shape the food web, rather than providing case-specific indications as the taxonomy-based approach. We suggest that future network studies should consider the traits to explicitly identify the causal relationships that link anthropic impacts to role changes of species in food webs.","author":[{"dropping-particle":"","family":"Olmo Gilabert","given":"R.","non-dropping-particle":"","parse-names":false,"suffix":""},{"dropping-particle":"","family":"Navia","given":"A. F.","non-dropping-particle":"","parse-names":false,"suffix":""},{"dropping-particle":"","family":"La Cruz-Agüero","given":"G.","non-dropping-particle":"De","parse-names":false,"suffix":""},{"dropping-particle":"","family":"Molinero","given":"J. C.","non-dropping-particle":"","parse-names":false,"suffix":""},{"dropping-particle":"","family":"Sommer","given":"U.","non-dropping-particle":"","parse-names":false,"suffix":""},{"dropping-particle":"","family":"Scotti","given":"M.","non-dropping-particle":"","parse-names":false,"suffix":""}],"container-title":"Community Ecology","id":"ITEM-1","issue":"2","issued":{"date-parts":[["2019"]]},"page":"149-160","title":"Body size and mobility explain species centralities in the Gulf of California food web","type":"article-journal","volume":"20"},"uris":["http://www.mendeley.com/documents/?uuid=f6b95089-739d-44bc-a2f1-a13ee4d4134b"]},{"id":"ITEM-2","itemData":{"DOI":"10.1016/j.ecocom.2007.02.018","ISSN":"1476945X","abstract":"An important question in the network representation of ecological systems is to determine how direct and indirect interactions between species determine the positional importance of species in the ecosystem. Here we present a quantitative analysis of the similarities and differences of six different topological centrality measures as indicators of keystone species in 17 food webs. These indicators account for local, global and \"meso-scale\" - intermediate between local and global - topological information about species in the food webs. Using factor analysis we shown that most of these centrality indices share a great deal of topological information, which range from 75% to 96%. A generalized keystone indicator is then proposed by considering the factor loadings of the six-centrality measures, which contains most of the information encoded by these indices. However, the individual ordering of species according to these criteria display significant differences in most food webs. We simulate the effects of species extinction by removing species ranked according to a local and a \"meso-scale\" centrality indicator. The differences observed on three network characteristics - size, average distance and clustering coefficient of the largest component - after the removal of the most central nodes indicate that the consideration of these indices have different impacts for the ranking of species with conservational biology purposes. The \"meso-scale\" indicator appears to play an important role in determining the relative importance of species in epidemic spread and parasitism rates. © 2007 Elsevier B.V. All rights reserved.","author":[{"dropping-particle":"","family":"Estrada","given":"Ernesto","non-dropping-particle":"","parse-names":false,"suffix":""}],"container-title":"Ecological Complexity","id":"ITEM-2","issue":"1-2","issued":{"date-parts":[["2007"]]},"page":"48-57","title":"Characterization of topological keystone species. Local, global and \"meso-scale\" centralities in food webs","type":"article-journal","volume":"4"},"uris":["http://www.mendeley.com/documents/?uuid=2bbe1783-09ab-4c4a-bc94-3518ec4c7803"]}],"mendeley":{"formattedCitation":"(Estrada, 2007; Olmo Gilabert et al., 2019)","plainTextFormattedCitation":"(Estrada, 2007; Olmo Gilabert et al., 2019)","previouslyFormattedCitation":"(Estrada, 2007; Olmo Gilabert et al., 2019)"},"properties":{"noteIndex":0},"schema":"https://github.com/citation-style-language/schema/raw/master/csl-citation.json"}</w:instrText>
      </w:r>
      <w:r w:rsidR="008B2F48">
        <w:fldChar w:fldCharType="separate"/>
      </w:r>
      <w:r w:rsidR="008B2F48" w:rsidRPr="008B2F48">
        <w:rPr>
          <w:noProof/>
        </w:rPr>
        <w:t>(Estrada, 2007; Olmo Gilabert et al., 2019)</w:t>
      </w:r>
      <w:r w:rsidR="008B2F48">
        <w:fldChar w:fldCharType="end"/>
      </w:r>
      <w:r>
        <w:t>. The aggregation methods that we compared were the widely used hierarchical clustering using Jaccard index and REGE index, as well as directed modularity maximisation, prey-based modularity maximisation, predator-based modularity maximisation, and clustering through the group model. The latter four are normally used for community detection, but we explored the possibility of using them in the future for data aggregation.</w:t>
      </w:r>
    </w:p>
    <w:p w14:paraId="47F578A8" w14:textId="6CE5A3D3" w:rsidR="003947A8" w:rsidRDefault="003947A8" w:rsidP="006E65F2">
      <w:pPr>
        <w:spacing w:line="480" w:lineRule="auto"/>
        <w:ind w:firstLine="720"/>
      </w:pPr>
      <w:r>
        <w:lastRenderedPageBreak/>
        <w:t>Our</w:t>
      </w:r>
      <w:r w:rsidRPr="001A6B77">
        <w:t xml:space="preserve"> results show that different aggregation methods maintain the relative importance of species in different ways.</w:t>
      </w:r>
      <w:r>
        <w:t xml:space="preserve"> Therefore, they have different potential of changing the keystone species of the food web (Figure 5). Except for</w:t>
      </w:r>
      <w:r w:rsidRPr="001A6B77">
        <w:t xml:space="preserve"> the contr</w:t>
      </w:r>
      <w:r w:rsidR="005048EB">
        <w:t>a</w:t>
      </w:r>
      <w:r w:rsidRPr="001A6B77">
        <w:t>status index (</w:t>
      </w:r>
      <m:oMath>
        <m:r>
          <w:rPr>
            <w:rFonts w:ascii="Cambria Math" w:hAnsi="Cambria Math"/>
          </w:rPr>
          <m:t>s’</m:t>
        </m:r>
      </m:oMath>
      <w:r w:rsidRPr="001A6B77">
        <w:t xml:space="preserve">), hierarchical clustering with </w:t>
      </w:r>
      <w:r>
        <w:t xml:space="preserve">the </w:t>
      </w:r>
      <w:r w:rsidRPr="001A6B77">
        <w:t xml:space="preserve">Jaccard index and hierarchical clustering with </w:t>
      </w:r>
      <w:r>
        <w:t xml:space="preserve">the </w:t>
      </w:r>
      <w:r w:rsidRPr="001A6B77">
        <w:t xml:space="preserve">REGE index outperformed the other methods. </w:t>
      </w:r>
      <w:r>
        <w:t>When choosing between these two methods, however, we need to consider that n</w:t>
      </w:r>
      <w:r w:rsidRPr="001A6B77">
        <w:t xml:space="preserve">ot all indices have the same </w:t>
      </w:r>
      <w:r>
        <w:t>power</w:t>
      </w:r>
      <w:r w:rsidRPr="001A6B77">
        <w:t xml:space="preserve"> </w:t>
      </w:r>
      <w:r>
        <w:t xml:space="preserve">to predict </w:t>
      </w:r>
      <w:r w:rsidRPr="001A6B77">
        <w:t>keystone species.</w:t>
      </w:r>
      <w:r>
        <w:t xml:space="preserve"> </w:t>
      </w:r>
      <w:r>
        <w:fldChar w:fldCharType="begin" w:fldLock="1"/>
      </w:r>
      <w:r>
        <w:instrText>ADDIN CSL_CITATION {"citationItems":[{"id":"ITEM-1","itemData":{"DOI":"10.1016/j.ecolind.2021.107617","author":[{"dropping-particle":"","family":"Gouveia","given":"Catarina","non-dropping-particle":"","parse-names":false,"suffix":""},{"dropping-particle":"","family":"Móréh","given":"Ágnes","non-dropping-particle":"","parse-names":false,"suffix":""},{"dropping-particle":"","family":"Jordán","given":"Ferenc","non-dropping-particle":"","parse-names":false,"suffix":""}],"container-title":"Ecological Indicators","id":"ITEM-1","issued":{"date-parts":[["2021"]]},"page":"107617","title":"Combining centrality indices: maximizing the predictability of keystone species in food webs","type":"article-journal","volume":"126"},"uris":["http://www.mendeley.com/documents/?uuid=eed3a219-04b9-4e62-9d5f-ad759dc62080"]}],"mendeley":{"formattedCitation":"(Gouveia, Móréh, &amp; Jordán, 2021)","manualFormatting":"Gouveia, Móréh, &amp; Jordán (2021)","plainTextFormattedCitation":"(Gouveia, Móréh, &amp; Jordán, 2021)","previouslyFormattedCitation":"(Gouveia, Móréh, &amp; Jordán, 2021)"},"properties":{"noteIndex":0},"schema":"https://github.com/citation-style-language/schema/raw/master/csl-citation.json"}</w:instrText>
      </w:r>
      <w:r>
        <w:fldChar w:fldCharType="separate"/>
      </w:r>
      <w:r w:rsidRPr="00D25067">
        <w:rPr>
          <w:noProof/>
        </w:rPr>
        <w:t xml:space="preserve">Gouveia, Móréh, &amp; Jordán </w:t>
      </w:r>
      <w:r>
        <w:rPr>
          <w:noProof/>
        </w:rPr>
        <w:t>(</w:t>
      </w:r>
      <w:r w:rsidRPr="00D25067">
        <w:rPr>
          <w:noProof/>
        </w:rPr>
        <w:t>2021)</w:t>
      </w:r>
      <w:r>
        <w:fldChar w:fldCharType="end"/>
      </w:r>
      <w:r>
        <w:t xml:space="preserve"> </w:t>
      </w:r>
      <w:r w:rsidRPr="001A6B77">
        <w:t xml:space="preserve">looked at </w:t>
      </w:r>
      <w:r>
        <w:t xml:space="preserve">topological </w:t>
      </w:r>
      <w:r w:rsidRPr="001A6B77">
        <w:t xml:space="preserve">indices </w:t>
      </w:r>
      <w:r>
        <w:t xml:space="preserve">and how their findings correlated with the findings of the dynamical index keystoneness </w:t>
      </w:r>
      <w:r>
        <w:fldChar w:fldCharType="begin" w:fldLock="1"/>
      </w:r>
      <w:r>
        <w:instrText>ADDIN CSL_CITATION {"citationItems":[{"id":"ITEM-1","itemData":{"DOI":"10.1016/j.ecolmodel.2005.11.029","ISSN":"03043800","abstract":"Keystones are defined as relatively low biomass species with a structuring role in their food webs. Thus, identifying keystone species in a given ecosystem may be formulated as: (1) estimating the impact on the different elements of an ecosystem resulting from a small change to the biomass of the species to be evaluated for its 'keystoneness'; and (2) deciding on the keystoneness of a given species as a function of both the impact estimated in (1) and its own biomass. Experimental quantification of interaction strength necessarily focus on few species, and require a priori assumptions on the importance of the interactions, which can bias the identification of keystone species. Moreover, empirical measurements, although very important, are expensive and time consuming and, owing to the spatio-temporal heterogeneity of habitats, physical conditions, and densities of organisms, published results tend to be case-specific and context-dependent. Although models can only represent but a caricature of the complexity of the real world, the modelling approach can be helpful since it allows overcoming some of the difficulties mentioned. Here we present an approach for estimating the keystoneness of the functional groups (species or group of species) of food web models. Network mixed trophic impact analysis, based on Leontief's economic input-output analysis, allows to express the relative change of biomasses in the food web that would result from an infinitesimal increase of the biomass of the observed group, thus identifying its total impact. The analysis of the mixed trophic impacts presented here was applied to a suite of mass-balance models, and the results allow us to rank functional groups by their keystoneness. Overall, we concluded that the straightforward methodology proposed here and the broad use of Ecopath with Ecosim (where mixed trophic impact analysis is implemented) together give a solid empirical basis for identification of keystone functional groups. © 2005 Elsevier B.V. All rights reserved.","author":[{"dropping-particle":"","family":"Libralato","given":"Simone","non-dropping-particle":"","parse-names":false,"suffix":""},{"dropping-particle":"","family":"Christensen","given":"Villy","non-dropping-particle":"","parse-names":false,"suffix":""},{"dropping-particle":"","family":"Pauly","given":"Daniel","non-dropping-particle":"","parse-names":false,"suffix":""}],"container-title":"Ecological Modelling","id":"ITEM-1","issue":"3-4","issued":{"date-parts":[["2006"]]},"page":"153-171","title":"A method for identifying keystone species in food web models","type":"article-journal","volume":"195"},"uris":["http://www.mendeley.com/documents/?uuid=281ccd3e-f23b-453c-a6a1-75cc622b47c9"]}],"mendeley":{"formattedCitation":"(Libralato, Christensen, &amp; Pauly, 2006)","plainTextFormattedCitation":"(Libralato, Christensen, &amp; Pauly, 2006)","previouslyFormattedCitation":"(Libralato, Christensen, &amp; Pauly, 2006)"},"properties":{"noteIndex":0},"schema":"https://github.com/citation-style-language/schema/raw/master/csl-citation.json"}</w:instrText>
      </w:r>
      <w:r>
        <w:fldChar w:fldCharType="separate"/>
      </w:r>
      <w:r w:rsidRPr="00496435">
        <w:rPr>
          <w:noProof/>
        </w:rPr>
        <w:t>(Libralato, Christensen, &amp; Pauly, 2006)</w:t>
      </w:r>
      <w:r>
        <w:fldChar w:fldCharType="end"/>
      </w:r>
      <w:r w:rsidRPr="001A6B77">
        <w:t xml:space="preserve">. </w:t>
      </w:r>
      <w:r>
        <w:t xml:space="preserve">They </w:t>
      </w:r>
      <w:r w:rsidRPr="001A6B77">
        <w:t>found that the most reliable topological index was the weighted degree</w:t>
      </w:r>
      <w:r>
        <w:t xml:space="preserve"> centrality</w:t>
      </w:r>
      <w:r w:rsidRPr="001A6B77">
        <w:t xml:space="preserve"> (</w:t>
      </w:r>
      <m:oMath>
        <m:r>
          <w:rPr>
            <w:rFonts w:ascii="Cambria Math" w:hAnsi="Cambria Math"/>
          </w:rPr>
          <m:t>wDC</m:t>
        </m:r>
      </m:oMath>
      <w:r w:rsidRPr="001A6B77">
        <w:t xml:space="preserve">). </w:t>
      </w:r>
      <w:r>
        <w:t>This</w:t>
      </w:r>
      <w:r w:rsidRPr="001A6B77">
        <w:t xml:space="preserve"> could predict the most important species</w:t>
      </w:r>
      <w:r>
        <w:t xml:space="preserve"> for dynamic processes in</w:t>
      </w:r>
      <w:r w:rsidRPr="001A6B77">
        <w:t xml:space="preserve"> 70.1% of the </w:t>
      </w:r>
      <w:r>
        <w:t>cases</w:t>
      </w:r>
      <w:r w:rsidRPr="001A6B77">
        <w:t xml:space="preserve">. </w:t>
      </w:r>
      <w:r>
        <w:t xml:space="preserve">It was followed by a combination of </w:t>
      </w:r>
      <m:oMath>
        <m:r>
          <w:rPr>
            <w:rFonts w:ascii="Cambria Math" w:hAnsi="Cambria Math"/>
          </w:rPr>
          <m:t>wDC</m:t>
        </m:r>
      </m:oMath>
      <w:r>
        <w:t xml:space="preserve"> and </w:t>
      </w:r>
      <w:r w:rsidRPr="001A6B77">
        <w:t>the 5-step weighted topological importance (</w:t>
      </w:r>
      <m:oMath>
        <m:r>
          <w:rPr>
            <w:rFonts w:ascii="Cambria Math" w:hAnsi="Cambria Math"/>
          </w:rPr>
          <m:t>W</m:t>
        </m:r>
        <m:sSup>
          <m:sSupPr>
            <m:ctrlPr>
              <w:rPr>
                <w:rFonts w:ascii="Cambria Math" w:hAnsi="Cambria Math"/>
                <w:i/>
              </w:rPr>
            </m:ctrlPr>
          </m:sSupPr>
          <m:e>
            <m:r>
              <w:rPr>
                <w:rFonts w:ascii="Cambria Math" w:hAnsi="Cambria Math"/>
              </w:rPr>
              <m:t>I</m:t>
            </m:r>
          </m:e>
          <m:sup>
            <m:r>
              <w:rPr>
                <w:rFonts w:ascii="Cambria Math" w:hAnsi="Cambria Math"/>
              </w:rPr>
              <m:t>5</m:t>
            </m:r>
          </m:sup>
        </m:sSup>
      </m:oMath>
      <w:r w:rsidRPr="001A6B77">
        <w:t>)</w:t>
      </w:r>
      <w:r>
        <w:t xml:space="preserve">, which increased this percentage to 78.4%. </w:t>
      </w:r>
      <w:r w:rsidRPr="001A6B77">
        <w:t xml:space="preserve">In light of these findings, REGE might be considered the best clustering algorithm, as it maintains </w:t>
      </w:r>
      <m:oMath>
        <m:r>
          <w:rPr>
            <w:rFonts w:ascii="Cambria Math" w:hAnsi="Cambria Math"/>
          </w:rPr>
          <m:t>wDC</m:t>
        </m:r>
      </m:oMath>
      <w:r w:rsidRPr="001A6B77">
        <w:t xml:space="preserve"> and </w:t>
      </w:r>
      <m:oMath>
        <m:r>
          <w:rPr>
            <w:rFonts w:ascii="Cambria Math" w:hAnsi="Cambria Math"/>
          </w:rPr>
          <m:t>W</m:t>
        </m:r>
        <m:sSup>
          <m:sSupPr>
            <m:ctrlPr>
              <w:rPr>
                <w:rFonts w:ascii="Cambria Math" w:hAnsi="Cambria Math"/>
                <w:i/>
              </w:rPr>
            </m:ctrlPr>
          </m:sSupPr>
          <m:e>
            <m:r>
              <w:rPr>
                <w:rFonts w:ascii="Cambria Math" w:hAnsi="Cambria Math"/>
              </w:rPr>
              <m:t>I</m:t>
            </m:r>
          </m:e>
          <m:sup>
            <m:r>
              <w:rPr>
                <w:rFonts w:ascii="Cambria Math" w:hAnsi="Cambria Math"/>
              </w:rPr>
              <m:t>5</m:t>
            </m:r>
          </m:sup>
        </m:sSup>
      </m:oMath>
      <w:r w:rsidRPr="001A6B77">
        <w:t xml:space="preserve"> the best.</w:t>
      </w:r>
    </w:p>
    <w:p w14:paraId="2F22AD2F" w14:textId="77777777" w:rsidR="003947A8" w:rsidRDefault="003947A8" w:rsidP="006E65F2">
      <w:pPr>
        <w:spacing w:line="480" w:lineRule="auto"/>
        <w:ind w:firstLine="720"/>
      </w:pPr>
      <w:r w:rsidRPr="002F7A60">
        <w:t>The choice of the aggregation algorithm, however, boils down to our research question.</w:t>
      </w:r>
      <w:r>
        <w:t xml:space="preserve"> </w:t>
      </w:r>
      <w:r w:rsidRPr="002F7A60">
        <w:t xml:space="preserve">The particular index we are interested in might drive the choice between the Jaccard index and the REGE index. </w:t>
      </w:r>
      <w:r>
        <w:t xml:space="preserve">Another factor influencing our choice is the resulting network size. How much do we need to aggregate? </w:t>
      </w:r>
      <w:r w:rsidRPr="002F7A60">
        <w:t xml:space="preserve">In case we might want to have higher aggregation, we might consider using the group model, which produces high aggregation, but performs way better than density-based modularity (Figure 6). </w:t>
      </w:r>
      <w:r>
        <w:t>But also, we might be interest in a particular species role – in that case we should aggregate</w:t>
      </w:r>
      <w:r w:rsidRPr="002F7A60">
        <w:t xml:space="preserve"> according to that specific role.</w:t>
      </w:r>
      <w:r>
        <w:t xml:space="preserve"> </w:t>
      </w:r>
      <w:r w:rsidRPr="002F7A60">
        <w:t>Each method reveals some kind of biological similarities between nodes. The key point is to know the effects of these aggregation procedures and to keep them in mind when applying them and evaluating the properties of the aggregated network.</w:t>
      </w:r>
    </w:p>
    <w:p w14:paraId="605AA9FB" w14:textId="77777777" w:rsidR="003947A8" w:rsidRDefault="003947A8" w:rsidP="006E65F2">
      <w:pPr>
        <w:spacing w:line="480" w:lineRule="auto"/>
        <w:ind w:firstLine="720"/>
      </w:pPr>
      <w:r w:rsidRPr="00777BCC">
        <w:lastRenderedPageBreak/>
        <w:t>In this paper, we focus on a well-defined set of food webs that are methodologically strictly comparable (all created by the EwE methodology). Studying aggregation would be more exciting for larger food webs but these are rarely comparable (lacking standards for their description). When data will be available, interaction networks representing various interaction types will be very important to analyse from our present perspective: different interaction types may be differently sensitive to aggregation. A major advancement would be the analysis of aggregation effects on dynamical food web models. To see how dynamical properties can be altered or changed, as an effect of aggregation algorithms, would be a major step towards predictive food web modelling.</w:t>
      </w:r>
      <w:r>
        <w:t xml:space="preserve"> </w:t>
      </w:r>
    </w:p>
    <w:p w14:paraId="4BA00B21" w14:textId="5E5ED8BA" w:rsidR="005048EB" w:rsidRDefault="003947A8" w:rsidP="00BF0A8A">
      <w:pPr>
        <w:spacing w:line="480" w:lineRule="auto"/>
        <w:ind w:firstLine="720"/>
      </w:pPr>
      <w:r>
        <w:t xml:space="preserve">In conclusion, we have shown that different aggregation methods maintain differently the relative importance of species in a food web. </w:t>
      </w:r>
      <w:r w:rsidRPr="000939A4">
        <w:t>Hierarchical clustering with Jaccard index and hierarchical clustering with REGE index have been shown to be the best at doing this. The choice between these two algorithms should depend upon the type of importance index we are interested in maintaining. Future research should be carried out on larger food webs, dynamical indices and determining what the best linkage method and new interaction strength method are.</w:t>
      </w:r>
    </w:p>
    <w:p w14:paraId="0BF2B896" w14:textId="1257C151" w:rsidR="003947A8" w:rsidRPr="00F95949" w:rsidRDefault="003947A8" w:rsidP="006E65F2">
      <w:pPr>
        <w:pStyle w:val="Heading1"/>
        <w:spacing w:before="0" w:beforeAutospacing="0" w:after="0" w:afterAutospacing="0" w:line="480" w:lineRule="auto"/>
        <w:rPr>
          <w:sz w:val="24"/>
          <w:szCs w:val="24"/>
        </w:rPr>
      </w:pPr>
      <w:r w:rsidRPr="00F95949">
        <w:rPr>
          <w:sz w:val="24"/>
          <w:szCs w:val="24"/>
        </w:rPr>
        <w:t xml:space="preserve">Supplementary material </w:t>
      </w:r>
    </w:p>
    <w:p w14:paraId="5319D25A" w14:textId="77777777" w:rsidR="005048EB" w:rsidRDefault="005048EB" w:rsidP="006E65F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pPr>
    </w:p>
    <w:p w14:paraId="79A01985" w14:textId="3FC02CC9" w:rsidR="003947A8" w:rsidRPr="000D3CF3" w:rsidRDefault="003947A8" w:rsidP="006E65F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eastAsiaTheme="minorHAnsi"/>
        </w:rPr>
      </w:pPr>
      <w:r w:rsidRPr="005048EB">
        <w:t xml:space="preserve">The code used for this analysis is available at </w:t>
      </w:r>
      <w:hyperlink r:id="rId8" w:history="1">
        <w:r w:rsidRPr="005048EB">
          <w:rPr>
            <w:rStyle w:val="Hyperlink"/>
          </w:rPr>
          <w:t>https://github.com/Emanuele-Giacomuzzo/Data_aggregation</w:t>
        </w:r>
      </w:hyperlink>
      <w:r>
        <w:t xml:space="preserve">. This work resulted also in the MATLAB toolbox “Food Web Analysis Toolbox” available at </w:t>
      </w:r>
      <w:hyperlink r:id="rId9" w:history="1">
        <w:r w:rsidRPr="006329B6">
          <w:rPr>
            <w:rStyle w:val="Hyperlink"/>
            <w:rFonts w:eastAsiaTheme="minorHAnsi"/>
          </w:rPr>
          <w:t>https://uk.mathworks.com/matlabcentral/fileexchange/89907-food-web-analysis-toolbox</w:t>
        </w:r>
      </w:hyperlink>
      <w:r>
        <w:rPr>
          <w:rFonts w:eastAsiaTheme="minorHAnsi"/>
        </w:rPr>
        <w:t>.</w:t>
      </w:r>
    </w:p>
    <w:p w14:paraId="383E35E6" w14:textId="77777777" w:rsidR="005048EB" w:rsidRDefault="005048EB" w:rsidP="006E65F2">
      <w:pPr>
        <w:pStyle w:val="Heading1"/>
        <w:spacing w:before="0" w:beforeAutospacing="0" w:after="0" w:afterAutospacing="0" w:line="480" w:lineRule="auto"/>
        <w:rPr>
          <w:sz w:val="24"/>
          <w:szCs w:val="24"/>
        </w:rPr>
      </w:pPr>
    </w:p>
    <w:p w14:paraId="0E000B04" w14:textId="41CEDE98" w:rsidR="003947A8" w:rsidRPr="00F95949" w:rsidRDefault="003947A8" w:rsidP="006E65F2">
      <w:pPr>
        <w:pStyle w:val="Heading1"/>
        <w:spacing w:before="0" w:beforeAutospacing="0" w:after="0" w:afterAutospacing="0" w:line="480" w:lineRule="auto"/>
        <w:rPr>
          <w:sz w:val="24"/>
          <w:szCs w:val="24"/>
        </w:rPr>
      </w:pPr>
      <w:r w:rsidRPr="00F95949">
        <w:rPr>
          <w:sz w:val="24"/>
          <w:szCs w:val="24"/>
        </w:rPr>
        <w:t xml:space="preserve">References </w:t>
      </w:r>
    </w:p>
    <w:p w14:paraId="535E882A" w14:textId="72FB90C8" w:rsidR="00EE6DBF" w:rsidRPr="00EE6DBF" w:rsidRDefault="00862118" w:rsidP="00EE6DBF">
      <w:pPr>
        <w:widowControl w:val="0"/>
        <w:autoSpaceDE w:val="0"/>
        <w:autoSpaceDN w:val="0"/>
        <w:adjustRightInd w:val="0"/>
        <w:spacing w:line="480" w:lineRule="auto"/>
        <w:ind w:left="480" w:hanging="480"/>
        <w:rPr>
          <w:noProof/>
        </w:rPr>
      </w:pPr>
      <w:r>
        <w:fldChar w:fldCharType="begin" w:fldLock="1"/>
      </w:r>
      <w:r>
        <w:instrText xml:space="preserve">ADDIN Mendeley Bibliography CSL_BIBLIOGRAPHY </w:instrText>
      </w:r>
      <w:r>
        <w:fldChar w:fldCharType="separate"/>
      </w:r>
      <w:r w:rsidR="00EE6DBF" w:rsidRPr="00EE6DBF">
        <w:rPr>
          <w:noProof/>
        </w:rPr>
        <w:t xml:space="preserve">Agresti, A. (2012). Analysis of Ordinal Categorical Data: Second Edition. In </w:t>
      </w:r>
      <w:r w:rsidR="00EE6DBF" w:rsidRPr="00EE6DBF">
        <w:rPr>
          <w:i/>
          <w:iCs/>
          <w:noProof/>
        </w:rPr>
        <w:t xml:space="preserve">Analysis of </w:t>
      </w:r>
      <w:r w:rsidR="00EE6DBF" w:rsidRPr="00EE6DBF">
        <w:rPr>
          <w:i/>
          <w:iCs/>
          <w:noProof/>
        </w:rPr>
        <w:lastRenderedPageBreak/>
        <w:t>Ordinal Categorical Data: Second Edition</w:t>
      </w:r>
      <w:r w:rsidR="00EE6DBF" w:rsidRPr="00EE6DBF">
        <w:rPr>
          <w:noProof/>
        </w:rPr>
        <w:t>. https://doi.org/10.1002/9780470594001</w:t>
      </w:r>
    </w:p>
    <w:p w14:paraId="6C9A86A7" w14:textId="77777777" w:rsidR="00EE6DBF" w:rsidRPr="00EE6DBF" w:rsidRDefault="00EE6DBF" w:rsidP="00EE6DBF">
      <w:pPr>
        <w:widowControl w:val="0"/>
        <w:autoSpaceDE w:val="0"/>
        <w:autoSpaceDN w:val="0"/>
        <w:adjustRightInd w:val="0"/>
        <w:spacing w:line="480" w:lineRule="auto"/>
        <w:ind w:left="480" w:hanging="480"/>
        <w:rPr>
          <w:noProof/>
        </w:rPr>
      </w:pPr>
      <w:r w:rsidRPr="00EE6DBF">
        <w:rPr>
          <w:noProof/>
        </w:rPr>
        <w:t xml:space="preserve">Allesina, S., &amp; Pascual, M. (2009). Food web models: A plea for groups. </w:t>
      </w:r>
      <w:r w:rsidRPr="00EE6DBF">
        <w:rPr>
          <w:i/>
          <w:iCs/>
          <w:noProof/>
        </w:rPr>
        <w:t>Ecology Letters</w:t>
      </w:r>
      <w:r w:rsidRPr="00EE6DBF">
        <w:rPr>
          <w:noProof/>
        </w:rPr>
        <w:t xml:space="preserve">, </w:t>
      </w:r>
      <w:r w:rsidRPr="00EE6DBF">
        <w:rPr>
          <w:i/>
          <w:iCs/>
          <w:noProof/>
        </w:rPr>
        <w:t>12</w:t>
      </w:r>
      <w:r w:rsidRPr="00EE6DBF">
        <w:rPr>
          <w:noProof/>
        </w:rPr>
        <w:t>(7), 652–662. https://doi.org/10.1111/j.1461-0248.2009.01321.x</w:t>
      </w:r>
    </w:p>
    <w:p w14:paraId="7F2C94DF" w14:textId="77777777" w:rsidR="00EE6DBF" w:rsidRPr="00EE6DBF" w:rsidRDefault="00EE6DBF" w:rsidP="00EE6DBF">
      <w:pPr>
        <w:widowControl w:val="0"/>
        <w:autoSpaceDE w:val="0"/>
        <w:autoSpaceDN w:val="0"/>
        <w:adjustRightInd w:val="0"/>
        <w:spacing w:line="480" w:lineRule="auto"/>
        <w:ind w:left="480" w:hanging="480"/>
        <w:rPr>
          <w:noProof/>
        </w:rPr>
      </w:pPr>
      <w:r w:rsidRPr="00EE6DBF">
        <w:rPr>
          <w:noProof/>
        </w:rPr>
        <w:t xml:space="preserve">Arenas, A., Duch, J., Fernández, A., &amp; Gómez, S. (2007). Size reduction of complex networks preserving modularity. </w:t>
      </w:r>
      <w:r w:rsidRPr="00EE6DBF">
        <w:rPr>
          <w:i/>
          <w:iCs/>
          <w:noProof/>
        </w:rPr>
        <w:t>New Journal of Physics</w:t>
      </w:r>
      <w:r w:rsidRPr="00EE6DBF">
        <w:rPr>
          <w:noProof/>
        </w:rPr>
        <w:t xml:space="preserve">, </w:t>
      </w:r>
      <w:r w:rsidRPr="00EE6DBF">
        <w:rPr>
          <w:i/>
          <w:iCs/>
          <w:noProof/>
        </w:rPr>
        <w:t>9</w:t>
      </w:r>
      <w:r w:rsidRPr="00EE6DBF">
        <w:rPr>
          <w:noProof/>
        </w:rPr>
        <w:t>(6), 176. https://doi.org/10.1088/1367-2630/9/6/176</w:t>
      </w:r>
    </w:p>
    <w:p w14:paraId="6C5837E7" w14:textId="77777777" w:rsidR="00EE6DBF" w:rsidRPr="001269B6" w:rsidRDefault="00EE6DBF" w:rsidP="00EE6DBF">
      <w:pPr>
        <w:widowControl w:val="0"/>
        <w:autoSpaceDE w:val="0"/>
        <w:autoSpaceDN w:val="0"/>
        <w:adjustRightInd w:val="0"/>
        <w:spacing w:line="480" w:lineRule="auto"/>
        <w:ind w:left="480" w:hanging="480"/>
        <w:rPr>
          <w:noProof/>
          <w:lang w:val="it-IT"/>
        </w:rPr>
      </w:pPr>
      <w:r w:rsidRPr="00EE6DBF">
        <w:rPr>
          <w:noProof/>
        </w:rPr>
        <w:t xml:space="preserve">Bauer, B., Jordán, F., &amp; Podani, J. (2010). Node centrality indices in food webs: Rank orders versus distributions. </w:t>
      </w:r>
      <w:r w:rsidRPr="001269B6">
        <w:rPr>
          <w:i/>
          <w:iCs/>
          <w:noProof/>
          <w:lang w:val="it-IT"/>
        </w:rPr>
        <w:t>Ecological Complexity</w:t>
      </w:r>
      <w:r w:rsidRPr="001269B6">
        <w:rPr>
          <w:noProof/>
          <w:lang w:val="it-IT"/>
        </w:rPr>
        <w:t xml:space="preserve">, </w:t>
      </w:r>
      <w:r w:rsidRPr="001269B6">
        <w:rPr>
          <w:i/>
          <w:iCs/>
          <w:noProof/>
          <w:lang w:val="it-IT"/>
        </w:rPr>
        <w:t>7</w:t>
      </w:r>
      <w:r w:rsidRPr="001269B6">
        <w:rPr>
          <w:noProof/>
          <w:lang w:val="it-IT"/>
        </w:rPr>
        <w:t>(4), 471–477. https://doi.org/10.1016/j.ecocom.2009.11.006</w:t>
      </w:r>
    </w:p>
    <w:p w14:paraId="0F6593BB" w14:textId="77777777" w:rsidR="00EE6DBF" w:rsidRPr="00EE6DBF" w:rsidRDefault="00EE6DBF" w:rsidP="00EE6DBF">
      <w:pPr>
        <w:widowControl w:val="0"/>
        <w:autoSpaceDE w:val="0"/>
        <w:autoSpaceDN w:val="0"/>
        <w:adjustRightInd w:val="0"/>
        <w:spacing w:line="480" w:lineRule="auto"/>
        <w:ind w:left="480" w:hanging="480"/>
        <w:rPr>
          <w:noProof/>
        </w:rPr>
      </w:pPr>
      <w:r w:rsidRPr="001269B6">
        <w:rPr>
          <w:noProof/>
          <w:lang w:val="it-IT"/>
        </w:rPr>
        <w:t xml:space="preserve">Blondel, V. D., Guillaume, J. L., Lambiotte, R., &amp; Lefebvre, E. (2008). </w:t>
      </w:r>
      <w:r w:rsidRPr="00EE6DBF">
        <w:rPr>
          <w:noProof/>
        </w:rPr>
        <w:t xml:space="preserve">Fast unfolding of communities in large networks. </w:t>
      </w:r>
      <w:r w:rsidRPr="00EE6DBF">
        <w:rPr>
          <w:i/>
          <w:iCs/>
          <w:noProof/>
        </w:rPr>
        <w:t>Journal of Statistical Mechanics: Theory and Experiment</w:t>
      </w:r>
      <w:r w:rsidRPr="00EE6DBF">
        <w:rPr>
          <w:noProof/>
        </w:rPr>
        <w:t xml:space="preserve">, </w:t>
      </w:r>
      <w:r w:rsidRPr="00EE6DBF">
        <w:rPr>
          <w:i/>
          <w:iCs/>
          <w:noProof/>
        </w:rPr>
        <w:t>10</w:t>
      </w:r>
      <w:r w:rsidRPr="00EE6DBF">
        <w:rPr>
          <w:noProof/>
        </w:rPr>
        <w:t>. https://doi.org/10.1088/1742-5468/2008/10/P10008</w:t>
      </w:r>
    </w:p>
    <w:p w14:paraId="46E11552" w14:textId="77777777" w:rsidR="00EE6DBF" w:rsidRPr="00EE6DBF" w:rsidRDefault="00EE6DBF" w:rsidP="00EE6DBF">
      <w:pPr>
        <w:widowControl w:val="0"/>
        <w:autoSpaceDE w:val="0"/>
        <w:autoSpaceDN w:val="0"/>
        <w:adjustRightInd w:val="0"/>
        <w:spacing w:line="480" w:lineRule="auto"/>
        <w:ind w:left="480" w:hanging="480"/>
        <w:rPr>
          <w:noProof/>
        </w:rPr>
      </w:pPr>
      <w:r w:rsidRPr="001269B6">
        <w:rPr>
          <w:noProof/>
          <w:lang w:val="it-IT"/>
        </w:rPr>
        <w:t xml:space="preserve">Borgatti, S. P., &amp; Everett, M. G. (1993). </w:t>
      </w:r>
      <w:r w:rsidRPr="00EE6DBF">
        <w:rPr>
          <w:noProof/>
        </w:rPr>
        <w:t xml:space="preserve">Two algorithms for computing regular equivalence. </w:t>
      </w:r>
      <w:r w:rsidRPr="00EE6DBF">
        <w:rPr>
          <w:i/>
          <w:iCs/>
          <w:noProof/>
        </w:rPr>
        <w:t>Social Networks</w:t>
      </w:r>
      <w:r w:rsidRPr="00EE6DBF">
        <w:rPr>
          <w:noProof/>
        </w:rPr>
        <w:t xml:space="preserve">, </w:t>
      </w:r>
      <w:r w:rsidRPr="00EE6DBF">
        <w:rPr>
          <w:i/>
          <w:iCs/>
          <w:noProof/>
        </w:rPr>
        <w:t>15</w:t>
      </w:r>
      <w:r w:rsidRPr="00EE6DBF">
        <w:rPr>
          <w:noProof/>
        </w:rPr>
        <w:t>(4), 361–376. https://doi.org/10.1016/0378-8733(93)90012-A</w:t>
      </w:r>
    </w:p>
    <w:p w14:paraId="43FBC0F5" w14:textId="77777777" w:rsidR="00EE6DBF" w:rsidRPr="00EE6DBF" w:rsidRDefault="00EE6DBF" w:rsidP="00EE6DBF">
      <w:pPr>
        <w:widowControl w:val="0"/>
        <w:autoSpaceDE w:val="0"/>
        <w:autoSpaceDN w:val="0"/>
        <w:adjustRightInd w:val="0"/>
        <w:spacing w:line="480" w:lineRule="auto"/>
        <w:ind w:left="480" w:hanging="480"/>
        <w:rPr>
          <w:noProof/>
        </w:rPr>
      </w:pPr>
      <w:r w:rsidRPr="00EE6DBF">
        <w:rPr>
          <w:noProof/>
        </w:rPr>
        <w:t xml:space="preserve">Colléter, M., Valls, A., Guitton, J., Morissette, L., Arreguín-Sánchez, F., Christensen, V., … Pauly, D. (2013). EcoBase: A repository solution to gather and communicate information from EwE models. In </w:t>
      </w:r>
      <w:r w:rsidRPr="00EE6DBF">
        <w:rPr>
          <w:i/>
          <w:iCs/>
          <w:noProof/>
        </w:rPr>
        <w:t>Fisheries Centre Research Reports</w:t>
      </w:r>
      <w:r w:rsidRPr="00EE6DBF">
        <w:rPr>
          <w:noProof/>
        </w:rPr>
        <w:t>.</w:t>
      </w:r>
    </w:p>
    <w:p w14:paraId="2C264C80" w14:textId="77777777" w:rsidR="00EE6DBF" w:rsidRPr="00EE6DBF" w:rsidRDefault="00EE6DBF" w:rsidP="00EE6DBF">
      <w:pPr>
        <w:widowControl w:val="0"/>
        <w:autoSpaceDE w:val="0"/>
        <w:autoSpaceDN w:val="0"/>
        <w:adjustRightInd w:val="0"/>
        <w:spacing w:line="480" w:lineRule="auto"/>
        <w:ind w:left="480" w:hanging="480"/>
        <w:rPr>
          <w:noProof/>
        </w:rPr>
      </w:pPr>
      <w:r w:rsidRPr="00EE6DBF">
        <w:rPr>
          <w:noProof/>
        </w:rPr>
        <w:t xml:space="preserve">Csardi, G., &amp; Nepusz, T. (2006). The igraph software package for complex network research. </w:t>
      </w:r>
      <w:r w:rsidRPr="00EE6DBF">
        <w:rPr>
          <w:i/>
          <w:iCs/>
          <w:noProof/>
        </w:rPr>
        <w:t>InterJournal Complex Systems</w:t>
      </w:r>
      <w:r w:rsidRPr="00EE6DBF">
        <w:rPr>
          <w:noProof/>
        </w:rPr>
        <w:t>.</w:t>
      </w:r>
    </w:p>
    <w:p w14:paraId="545187A4" w14:textId="77777777" w:rsidR="00EE6DBF" w:rsidRPr="00EE6DBF" w:rsidRDefault="00EE6DBF" w:rsidP="00EE6DBF">
      <w:pPr>
        <w:widowControl w:val="0"/>
        <w:autoSpaceDE w:val="0"/>
        <w:autoSpaceDN w:val="0"/>
        <w:adjustRightInd w:val="0"/>
        <w:spacing w:line="480" w:lineRule="auto"/>
        <w:ind w:left="480" w:hanging="480"/>
        <w:rPr>
          <w:noProof/>
        </w:rPr>
      </w:pPr>
      <w:r w:rsidRPr="00EE6DBF">
        <w:rPr>
          <w:noProof/>
        </w:rPr>
        <w:t xml:space="preserve">D’Alelio, D., Libralato, S., Wyatt, T., &amp; Ribera D’Alcalà, M. (2016). Ecological-network models link diversity, structure and function in the plankton food-web. </w:t>
      </w:r>
      <w:r w:rsidRPr="00EE6DBF">
        <w:rPr>
          <w:i/>
          <w:iCs/>
          <w:noProof/>
        </w:rPr>
        <w:t>Scientific Reports</w:t>
      </w:r>
      <w:r w:rsidRPr="00EE6DBF">
        <w:rPr>
          <w:noProof/>
        </w:rPr>
        <w:t xml:space="preserve">, </w:t>
      </w:r>
      <w:r w:rsidRPr="00EE6DBF">
        <w:rPr>
          <w:i/>
          <w:iCs/>
          <w:noProof/>
        </w:rPr>
        <w:t>6</w:t>
      </w:r>
      <w:r w:rsidRPr="00EE6DBF">
        <w:rPr>
          <w:noProof/>
        </w:rPr>
        <w:t>(1), 1–13. https://doi.org/10.1038/srep21806</w:t>
      </w:r>
    </w:p>
    <w:p w14:paraId="56CD80CF" w14:textId="77777777" w:rsidR="00EE6DBF" w:rsidRPr="00EE6DBF" w:rsidRDefault="00EE6DBF" w:rsidP="00EE6DBF">
      <w:pPr>
        <w:widowControl w:val="0"/>
        <w:autoSpaceDE w:val="0"/>
        <w:autoSpaceDN w:val="0"/>
        <w:adjustRightInd w:val="0"/>
        <w:spacing w:line="480" w:lineRule="auto"/>
        <w:ind w:left="480" w:hanging="480"/>
        <w:rPr>
          <w:noProof/>
        </w:rPr>
      </w:pPr>
      <w:r w:rsidRPr="00EE6DBF">
        <w:rPr>
          <w:noProof/>
        </w:rPr>
        <w:t xml:space="preserve">DiCiccio, T. J., &amp; Efron, B. (1996). Bootstrap confidence intervals. </w:t>
      </w:r>
      <w:r w:rsidRPr="00EE6DBF">
        <w:rPr>
          <w:i/>
          <w:iCs/>
          <w:noProof/>
        </w:rPr>
        <w:t>Statistical Science</w:t>
      </w:r>
      <w:r w:rsidRPr="00EE6DBF">
        <w:rPr>
          <w:noProof/>
        </w:rPr>
        <w:t xml:space="preserve">, </w:t>
      </w:r>
      <w:r w:rsidRPr="00EE6DBF">
        <w:rPr>
          <w:i/>
          <w:iCs/>
          <w:noProof/>
        </w:rPr>
        <w:t>11</w:t>
      </w:r>
      <w:r w:rsidRPr="00EE6DBF">
        <w:rPr>
          <w:noProof/>
        </w:rPr>
        <w:t>(3), 189–228. https://doi.org/10.1214/ss/1032280214</w:t>
      </w:r>
    </w:p>
    <w:p w14:paraId="24D3640F" w14:textId="77777777" w:rsidR="00EE6DBF" w:rsidRPr="00EE6DBF" w:rsidRDefault="00EE6DBF" w:rsidP="00EE6DBF">
      <w:pPr>
        <w:widowControl w:val="0"/>
        <w:autoSpaceDE w:val="0"/>
        <w:autoSpaceDN w:val="0"/>
        <w:adjustRightInd w:val="0"/>
        <w:spacing w:line="480" w:lineRule="auto"/>
        <w:ind w:left="480" w:hanging="480"/>
        <w:rPr>
          <w:noProof/>
        </w:rPr>
      </w:pPr>
      <w:r w:rsidRPr="00EE6DBF">
        <w:rPr>
          <w:noProof/>
        </w:rPr>
        <w:t xml:space="preserve">Doulcier, G., &amp; Stouffer, D. B. (2015). </w:t>
      </w:r>
      <w:r w:rsidRPr="00EE6DBF">
        <w:rPr>
          <w:i/>
          <w:iCs/>
          <w:noProof/>
        </w:rPr>
        <w:t xml:space="preserve">Rnetcarto: Fast network modularity and roles </w:t>
      </w:r>
      <w:r w:rsidRPr="00EE6DBF">
        <w:rPr>
          <w:i/>
          <w:iCs/>
          <w:noProof/>
        </w:rPr>
        <w:lastRenderedPageBreak/>
        <w:t>computation by simulated annealing</w:t>
      </w:r>
      <w:r w:rsidRPr="00EE6DBF">
        <w:rPr>
          <w:noProof/>
        </w:rPr>
        <w:t>.</w:t>
      </w:r>
    </w:p>
    <w:p w14:paraId="5CB26BA3" w14:textId="77777777" w:rsidR="00EE6DBF" w:rsidRPr="00EE6DBF" w:rsidRDefault="00EE6DBF" w:rsidP="00EE6DBF">
      <w:pPr>
        <w:widowControl w:val="0"/>
        <w:autoSpaceDE w:val="0"/>
        <w:autoSpaceDN w:val="0"/>
        <w:adjustRightInd w:val="0"/>
        <w:spacing w:line="480" w:lineRule="auto"/>
        <w:ind w:left="480" w:hanging="480"/>
        <w:rPr>
          <w:noProof/>
        </w:rPr>
      </w:pPr>
      <w:r w:rsidRPr="00EE6DBF">
        <w:rPr>
          <w:noProof/>
        </w:rPr>
        <w:t xml:space="preserve">Endrédi, A., Senánszky, V., Libralato, S., &amp; Jordán, F. (2018). Food web dynamics in trophic hierarchies. </w:t>
      </w:r>
      <w:r w:rsidRPr="00EE6DBF">
        <w:rPr>
          <w:i/>
          <w:iCs/>
          <w:noProof/>
        </w:rPr>
        <w:t>Ecological Modelling</w:t>
      </w:r>
      <w:r w:rsidRPr="00EE6DBF">
        <w:rPr>
          <w:noProof/>
        </w:rPr>
        <w:t>, (368), 94–103. https://doi.org/10.1016/j.ecolmodel.2017.11.015</w:t>
      </w:r>
    </w:p>
    <w:p w14:paraId="43D84466" w14:textId="77777777" w:rsidR="00EE6DBF" w:rsidRPr="00EE6DBF" w:rsidRDefault="00EE6DBF" w:rsidP="00EE6DBF">
      <w:pPr>
        <w:widowControl w:val="0"/>
        <w:autoSpaceDE w:val="0"/>
        <w:autoSpaceDN w:val="0"/>
        <w:adjustRightInd w:val="0"/>
        <w:spacing w:line="480" w:lineRule="auto"/>
        <w:ind w:left="480" w:hanging="480"/>
        <w:rPr>
          <w:noProof/>
        </w:rPr>
      </w:pPr>
      <w:r w:rsidRPr="00EE6DBF">
        <w:rPr>
          <w:noProof/>
        </w:rPr>
        <w:t xml:space="preserve">Essington, T. E., &amp; Plagányi, É. E. (2014). Pitfalls and guidelines for “recycling” models for ecosystem-based fisheries management: Evaluating model suitability for forage fish fisheries. </w:t>
      </w:r>
      <w:r w:rsidRPr="00EE6DBF">
        <w:rPr>
          <w:i/>
          <w:iCs/>
          <w:noProof/>
        </w:rPr>
        <w:t>ICES Journal of Marine Science</w:t>
      </w:r>
      <w:r w:rsidRPr="00EE6DBF">
        <w:rPr>
          <w:noProof/>
        </w:rPr>
        <w:t xml:space="preserve">, </w:t>
      </w:r>
      <w:r w:rsidRPr="00EE6DBF">
        <w:rPr>
          <w:i/>
          <w:iCs/>
          <w:noProof/>
        </w:rPr>
        <w:t>71</w:t>
      </w:r>
      <w:r w:rsidRPr="00EE6DBF">
        <w:rPr>
          <w:noProof/>
        </w:rPr>
        <w:t>(1). https://doi.org/10.1093/icesjms/fst047</w:t>
      </w:r>
    </w:p>
    <w:p w14:paraId="5AC4E461" w14:textId="77777777" w:rsidR="00EE6DBF" w:rsidRPr="00EE6DBF" w:rsidRDefault="00EE6DBF" w:rsidP="00EE6DBF">
      <w:pPr>
        <w:widowControl w:val="0"/>
        <w:autoSpaceDE w:val="0"/>
        <w:autoSpaceDN w:val="0"/>
        <w:adjustRightInd w:val="0"/>
        <w:spacing w:line="480" w:lineRule="auto"/>
        <w:ind w:left="480" w:hanging="480"/>
        <w:rPr>
          <w:noProof/>
        </w:rPr>
      </w:pPr>
      <w:r w:rsidRPr="00EE6DBF">
        <w:rPr>
          <w:noProof/>
        </w:rPr>
        <w:t xml:space="preserve">Estrada, E. (2007). Characterization of topological keystone species. Local, global and “meso-scale” centralities in food webs. </w:t>
      </w:r>
      <w:r w:rsidRPr="00EE6DBF">
        <w:rPr>
          <w:i/>
          <w:iCs/>
          <w:noProof/>
        </w:rPr>
        <w:t>Ecological Complexity</w:t>
      </w:r>
      <w:r w:rsidRPr="00EE6DBF">
        <w:rPr>
          <w:noProof/>
        </w:rPr>
        <w:t xml:space="preserve">, </w:t>
      </w:r>
      <w:r w:rsidRPr="00EE6DBF">
        <w:rPr>
          <w:i/>
          <w:iCs/>
          <w:noProof/>
        </w:rPr>
        <w:t>4</w:t>
      </w:r>
      <w:r w:rsidRPr="00EE6DBF">
        <w:rPr>
          <w:noProof/>
        </w:rPr>
        <w:t>(1–2), 48–57. https://doi.org/10.1016/j.ecocom.2007.02.018</w:t>
      </w:r>
    </w:p>
    <w:p w14:paraId="4E7A4996" w14:textId="77777777" w:rsidR="00EE6DBF" w:rsidRPr="00EE6DBF" w:rsidRDefault="00EE6DBF" w:rsidP="00EE6DBF">
      <w:pPr>
        <w:widowControl w:val="0"/>
        <w:autoSpaceDE w:val="0"/>
        <w:autoSpaceDN w:val="0"/>
        <w:adjustRightInd w:val="0"/>
        <w:spacing w:line="480" w:lineRule="auto"/>
        <w:ind w:left="480" w:hanging="480"/>
        <w:rPr>
          <w:noProof/>
        </w:rPr>
      </w:pPr>
      <w:r w:rsidRPr="00EE6DBF">
        <w:rPr>
          <w:noProof/>
        </w:rPr>
        <w:t xml:space="preserve">Fisher, R. A. (1915). Frequency Distribution of the Values of the Correlation Coefficient in Samples from an Indefinitely Large Population. </w:t>
      </w:r>
      <w:r w:rsidRPr="00EE6DBF">
        <w:rPr>
          <w:i/>
          <w:iCs/>
          <w:noProof/>
        </w:rPr>
        <w:t>Biometrika</w:t>
      </w:r>
      <w:r w:rsidRPr="00EE6DBF">
        <w:rPr>
          <w:noProof/>
        </w:rPr>
        <w:t xml:space="preserve">, </w:t>
      </w:r>
      <w:r w:rsidRPr="00EE6DBF">
        <w:rPr>
          <w:i/>
          <w:iCs/>
          <w:noProof/>
        </w:rPr>
        <w:t>10</w:t>
      </w:r>
      <w:r w:rsidRPr="00EE6DBF">
        <w:rPr>
          <w:noProof/>
        </w:rPr>
        <w:t>(4), 507–521. https://doi.org/10.2307/2331838</w:t>
      </w:r>
    </w:p>
    <w:p w14:paraId="4465CBFE" w14:textId="77777777" w:rsidR="00EE6DBF" w:rsidRPr="00EE6DBF" w:rsidRDefault="00EE6DBF" w:rsidP="00EE6DBF">
      <w:pPr>
        <w:widowControl w:val="0"/>
        <w:autoSpaceDE w:val="0"/>
        <w:autoSpaceDN w:val="0"/>
        <w:adjustRightInd w:val="0"/>
        <w:spacing w:line="480" w:lineRule="auto"/>
        <w:ind w:left="480" w:hanging="480"/>
        <w:rPr>
          <w:noProof/>
        </w:rPr>
      </w:pPr>
      <w:r w:rsidRPr="00EE6DBF">
        <w:rPr>
          <w:noProof/>
        </w:rPr>
        <w:t xml:space="preserve">Fornito, A., Zalesky, A., &amp; Bullmore, E. T. (2016). Fundamentals of Brain Network Analysis. In </w:t>
      </w:r>
      <w:r w:rsidRPr="00EE6DBF">
        <w:rPr>
          <w:i/>
          <w:iCs/>
          <w:noProof/>
        </w:rPr>
        <w:t>Fundamentals of Brain Network Analysis</w:t>
      </w:r>
      <w:r w:rsidRPr="00EE6DBF">
        <w:rPr>
          <w:noProof/>
        </w:rPr>
        <w:t>. https://doi.org/10.1016/C2012-0-06036-X</w:t>
      </w:r>
    </w:p>
    <w:p w14:paraId="104FBA93" w14:textId="77777777" w:rsidR="00EE6DBF" w:rsidRPr="00EE6DBF" w:rsidRDefault="00EE6DBF" w:rsidP="00EE6DBF">
      <w:pPr>
        <w:widowControl w:val="0"/>
        <w:autoSpaceDE w:val="0"/>
        <w:autoSpaceDN w:val="0"/>
        <w:adjustRightInd w:val="0"/>
        <w:spacing w:line="480" w:lineRule="auto"/>
        <w:ind w:left="480" w:hanging="480"/>
        <w:rPr>
          <w:noProof/>
        </w:rPr>
      </w:pPr>
      <w:r w:rsidRPr="00EE6DBF">
        <w:rPr>
          <w:noProof/>
        </w:rPr>
        <w:t xml:space="preserve">Geyer, C. J. (1991). </w:t>
      </w:r>
      <w:r w:rsidRPr="00EE6DBF">
        <w:rPr>
          <w:i/>
          <w:iCs/>
          <w:noProof/>
        </w:rPr>
        <w:t>Markov chain Monte Carlo maximum likelihood</w:t>
      </w:r>
      <w:r w:rsidRPr="00EE6DBF">
        <w:rPr>
          <w:noProof/>
        </w:rPr>
        <w:t>.</w:t>
      </w:r>
    </w:p>
    <w:p w14:paraId="5DB55113" w14:textId="77777777" w:rsidR="00EE6DBF" w:rsidRPr="00EE6DBF" w:rsidRDefault="00EE6DBF" w:rsidP="00EE6DBF">
      <w:pPr>
        <w:widowControl w:val="0"/>
        <w:autoSpaceDE w:val="0"/>
        <w:autoSpaceDN w:val="0"/>
        <w:adjustRightInd w:val="0"/>
        <w:spacing w:line="480" w:lineRule="auto"/>
        <w:ind w:left="480" w:hanging="480"/>
        <w:rPr>
          <w:noProof/>
        </w:rPr>
      </w:pPr>
      <w:r w:rsidRPr="00EE6DBF">
        <w:rPr>
          <w:noProof/>
        </w:rPr>
        <w:t xml:space="preserve">Gouveia, C., Móréh, Á., &amp; Jordán, F. (2021). Combining centrality indices: maximizing the predictability of keystone species in food webs. </w:t>
      </w:r>
      <w:r w:rsidRPr="00EE6DBF">
        <w:rPr>
          <w:i/>
          <w:iCs/>
          <w:noProof/>
        </w:rPr>
        <w:t>Ecological Indicators</w:t>
      </w:r>
      <w:r w:rsidRPr="00EE6DBF">
        <w:rPr>
          <w:noProof/>
        </w:rPr>
        <w:t xml:space="preserve">, </w:t>
      </w:r>
      <w:r w:rsidRPr="00EE6DBF">
        <w:rPr>
          <w:i/>
          <w:iCs/>
          <w:noProof/>
        </w:rPr>
        <w:t>126</w:t>
      </w:r>
      <w:r w:rsidRPr="00EE6DBF">
        <w:rPr>
          <w:noProof/>
        </w:rPr>
        <w:t>, 107617. https://doi.org/10.1016/j.ecolind.2021.107617</w:t>
      </w:r>
    </w:p>
    <w:p w14:paraId="0FF41E2C" w14:textId="77777777" w:rsidR="00EE6DBF" w:rsidRPr="00EE6DBF" w:rsidRDefault="00EE6DBF" w:rsidP="00EE6DBF">
      <w:pPr>
        <w:widowControl w:val="0"/>
        <w:autoSpaceDE w:val="0"/>
        <w:autoSpaceDN w:val="0"/>
        <w:adjustRightInd w:val="0"/>
        <w:spacing w:line="480" w:lineRule="auto"/>
        <w:ind w:left="480" w:hanging="480"/>
        <w:rPr>
          <w:noProof/>
        </w:rPr>
      </w:pPr>
      <w:r w:rsidRPr="00EE6DBF">
        <w:rPr>
          <w:noProof/>
        </w:rPr>
        <w:t xml:space="preserve">Guimerà, R., Stouffer, D. B., Sales-Pardo, M., Leicht, E. A., Newman, M. E. J., &amp; Amaral, L. A. N. (2010). Origin of compartmentalization in food webs. </w:t>
      </w:r>
      <w:r w:rsidRPr="00EE6DBF">
        <w:rPr>
          <w:i/>
          <w:iCs/>
          <w:noProof/>
        </w:rPr>
        <w:t>Ecology</w:t>
      </w:r>
      <w:r w:rsidRPr="00EE6DBF">
        <w:rPr>
          <w:noProof/>
        </w:rPr>
        <w:t xml:space="preserve">, </w:t>
      </w:r>
      <w:r w:rsidRPr="00EE6DBF">
        <w:rPr>
          <w:i/>
          <w:iCs/>
          <w:noProof/>
        </w:rPr>
        <w:t>91</w:t>
      </w:r>
      <w:r w:rsidRPr="00EE6DBF">
        <w:rPr>
          <w:noProof/>
        </w:rPr>
        <w:t>(10), 2941–2951. https://doi.org/10.1890/09-1175.1</w:t>
      </w:r>
    </w:p>
    <w:p w14:paraId="2336306A" w14:textId="77777777" w:rsidR="00EE6DBF" w:rsidRPr="00EE6DBF" w:rsidRDefault="00EE6DBF" w:rsidP="00EE6DBF">
      <w:pPr>
        <w:widowControl w:val="0"/>
        <w:autoSpaceDE w:val="0"/>
        <w:autoSpaceDN w:val="0"/>
        <w:adjustRightInd w:val="0"/>
        <w:spacing w:line="480" w:lineRule="auto"/>
        <w:ind w:left="480" w:hanging="480"/>
        <w:rPr>
          <w:noProof/>
        </w:rPr>
      </w:pPr>
      <w:r w:rsidRPr="00EE6DBF">
        <w:rPr>
          <w:noProof/>
        </w:rPr>
        <w:t xml:space="preserve">Guimerà, Roger, Sales-Pardo, M., &amp; Amaral, L. A. N. (2007). Module identification in bipartite and directed networks. </w:t>
      </w:r>
      <w:r w:rsidRPr="00EE6DBF">
        <w:rPr>
          <w:i/>
          <w:iCs/>
          <w:noProof/>
        </w:rPr>
        <w:t xml:space="preserve">Physical Review E - Statistical, Nonlinear, and Soft </w:t>
      </w:r>
      <w:r w:rsidRPr="00EE6DBF">
        <w:rPr>
          <w:i/>
          <w:iCs/>
          <w:noProof/>
        </w:rPr>
        <w:lastRenderedPageBreak/>
        <w:t>Matter Physics</w:t>
      </w:r>
      <w:r w:rsidRPr="00EE6DBF">
        <w:rPr>
          <w:noProof/>
        </w:rPr>
        <w:t xml:space="preserve">, </w:t>
      </w:r>
      <w:r w:rsidRPr="00EE6DBF">
        <w:rPr>
          <w:i/>
          <w:iCs/>
          <w:noProof/>
        </w:rPr>
        <w:t>76</w:t>
      </w:r>
      <w:r w:rsidRPr="00EE6DBF">
        <w:rPr>
          <w:noProof/>
        </w:rPr>
        <w:t>(3), 1–8. https://doi.org/10.1103/PhysRevE.76.036102</w:t>
      </w:r>
    </w:p>
    <w:p w14:paraId="70EC0F59" w14:textId="77777777" w:rsidR="00EE6DBF" w:rsidRPr="00EE6DBF" w:rsidRDefault="00EE6DBF" w:rsidP="00EE6DBF">
      <w:pPr>
        <w:widowControl w:val="0"/>
        <w:autoSpaceDE w:val="0"/>
        <w:autoSpaceDN w:val="0"/>
        <w:adjustRightInd w:val="0"/>
        <w:spacing w:line="480" w:lineRule="auto"/>
        <w:ind w:left="480" w:hanging="480"/>
        <w:rPr>
          <w:noProof/>
        </w:rPr>
      </w:pPr>
      <w:r w:rsidRPr="00EE6DBF">
        <w:rPr>
          <w:noProof/>
        </w:rPr>
        <w:t xml:space="preserve">Hall, S. J., &amp; Raffaelli, D. (1991). Food-Web Patterns: Lessons from a Species-Rich Web. </w:t>
      </w:r>
      <w:r w:rsidRPr="00EE6DBF">
        <w:rPr>
          <w:i/>
          <w:iCs/>
          <w:noProof/>
        </w:rPr>
        <w:t>The Journal of Animal Ecology</w:t>
      </w:r>
      <w:r w:rsidRPr="00EE6DBF">
        <w:rPr>
          <w:noProof/>
        </w:rPr>
        <w:t xml:space="preserve">, </w:t>
      </w:r>
      <w:r w:rsidRPr="00EE6DBF">
        <w:rPr>
          <w:i/>
          <w:iCs/>
          <w:noProof/>
        </w:rPr>
        <w:t>60</w:t>
      </w:r>
      <w:r w:rsidRPr="00EE6DBF">
        <w:rPr>
          <w:noProof/>
        </w:rPr>
        <w:t>(3), 823–841. https://doi.org/10.2307/5416</w:t>
      </w:r>
    </w:p>
    <w:p w14:paraId="2B15B60E" w14:textId="77777777" w:rsidR="00EE6DBF" w:rsidRPr="00EE6DBF" w:rsidRDefault="00EE6DBF" w:rsidP="00EE6DBF">
      <w:pPr>
        <w:widowControl w:val="0"/>
        <w:autoSpaceDE w:val="0"/>
        <w:autoSpaceDN w:val="0"/>
        <w:adjustRightInd w:val="0"/>
        <w:spacing w:line="480" w:lineRule="auto"/>
        <w:ind w:left="480" w:hanging="480"/>
        <w:rPr>
          <w:noProof/>
        </w:rPr>
      </w:pPr>
      <w:r w:rsidRPr="00EE6DBF">
        <w:rPr>
          <w:noProof/>
        </w:rPr>
        <w:t xml:space="preserve">Hall, S. J., &amp; Raffaelli, D. G. (1993). Food Webs: Theory and Reality. In </w:t>
      </w:r>
      <w:r w:rsidRPr="00EE6DBF">
        <w:rPr>
          <w:i/>
          <w:iCs/>
          <w:noProof/>
        </w:rPr>
        <w:t>Advances in Ecological Research</w:t>
      </w:r>
      <w:r w:rsidRPr="00EE6DBF">
        <w:rPr>
          <w:noProof/>
        </w:rPr>
        <w:t xml:space="preserve"> (Vol. 24). https://doi.org/10.1016/S0065-2504(08)60043-4</w:t>
      </w:r>
    </w:p>
    <w:p w14:paraId="7AF60023" w14:textId="77777777" w:rsidR="00EE6DBF" w:rsidRPr="00EE6DBF" w:rsidRDefault="00EE6DBF" w:rsidP="00EE6DBF">
      <w:pPr>
        <w:widowControl w:val="0"/>
        <w:autoSpaceDE w:val="0"/>
        <w:autoSpaceDN w:val="0"/>
        <w:adjustRightInd w:val="0"/>
        <w:spacing w:line="480" w:lineRule="auto"/>
        <w:ind w:left="480" w:hanging="480"/>
        <w:rPr>
          <w:noProof/>
        </w:rPr>
      </w:pPr>
      <w:r w:rsidRPr="00EE6DBF">
        <w:rPr>
          <w:noProof/>
        </w:rPr>
        <w:t xml:space="preserve">Harary, F. (1961). Who eats whom? </w:t>
      </w:r>
      <w:r w:rsidRPr="00EE6DBF">
        <w:rPr>
          <w:i/>
          <w:iCs/>
          <w:noProof/>
        </w:rPr>
        <w:t>General Systems</w:t>
      </w:r>
      <w:r w:rsidRPr="00EE6DBF">
        <w:rPr>
          <w:noProof/>
        </w:rPr>
        <w:t xml:space="preserve">, </w:t>
      </w:r>
      <w:r w:rsidRPr="00EE6DBF">
        <w:rPr>
          <w:i/>
          <w:iCs/>
          <w:noProof/>
        </w:rPr>
        <w:t>6</w:t>
      </w:r>
      <w:r w:rsidRPr="00EE6DBF">
        <w:rPr>
          <w:noProof/>
        </w:rPr>
        <w:t>, 41–44.</w:t>
      </w:r>
    </w:p>
    <w:p w14:paraId="4A7042BD" w14:textId="77777777" w:rsidR="00EE6DBF" w:rsidRPr="001269B6" w:rsidRDefault="00EE6DBF" w:rsidP="00EE6DBF">
      <w:pPr>
        <w:widowControl w:val="0"/>
        <w:autoSpaceDE w:val="0"/>
        <w:autoSpaceDN w:val="0"/>
        <w:adjustRightInd w:val="0"/>
        <w:spacing w:line="480" w:lineRule="auto"/>
        <w:ind w:left="480" w:hanging="480"/>
        <w:rPr>
          <w:noProof/>
          <w:lang w:val="it-IT"/>
        </w:rPr>
      </w:pPr>
      <w:r w:rsidRPr="00EE6DBF">
        <w:rPr>
          <w:noProof/>
        </w:rPr>
        <w:t xml:space="preserve">Harary, Frank. (1959). Status and Contrastatus. </w:t>
      </w:r>
      <w:r w:rsidRPr="001269B6">
        <w:rPr>
          <w:i/>
          <w:iCs/>
          <w:noProof/>
          <w:lang w:val="it-IT"/>
        </w:rPr>
        <w:t>Sociometry</w:t>
      </w:r>
      <w:r w:rsidRPr="001269B6">
        <w:rPr>
          <w:noProof/>
          <w:lang w:val="it-IT"/>
        </w:rPr>
        <w:t xml:space="preserve">, </w:t>
      </w:r>
      <w:r w:rsidRPr="001269B6">
        <w:rPr>
          <w:i/>
          <w:iCs/>
          <w:noProof/>
          <w:lang w:val="it-IT"/>
        </w:rPr>
        <w:t>22</w:t>
      </w:r>
      <w:r w:rsidRPr="001269B6">
        <w:rPr>
          <w:noProof/>
          <w:lang w:val="it-IT"/>
        </w:rPr>
        <w:t>(1), 23. https://doi.org/10.2307/2785610</w:t>
      </w:r>
    </w:p>
    <w:p w14:paraId="4FBD2899" w14:textId="77777777" w:rsidR="00EE6DBF" w:rsidRPr="00EE6DBF" w:rsidRDefault="00EE6DBF" w:rsidP="00EE6DBF">
      <w:pPr>
        <w:widowControl w:val="0"/>
        <w:autoSpaceDE w:val="0"/>
        <w:autoSpaceDN w:val="0"/>
        <w:adjustRightInd w:val="0"/>
        <w:spacing w:line="480" w:lineRule="auto"/>
        <w:ind w:left="480" w:hanging="480"/>
        <w:rPr>
          <w:noProof/>
        </w:rPr>
      </w:pPr>
      <w:r w:rsidRPr="001269B6">
        <w:rPr>
          <w:noProof/>
          <w:lang w:val="it-IT"/>
        </w:rPr>
        <w:t xml:space="preserve">Jaccard P. (1912). </w:t>
      </w:r>
      <w:r w:rsidRPr="00EE6DBF">
        <w:rPr>
          <w:noProof/>
        </w:rPr>
        <w:t xml:space="preserve">The distribution of the flora in the alpine zone. </w:t>
      </w:r>
      <w:r w:rsidRPr="00EE6DBF">
        <w:rPr>
          <w:i/>
          <w:iCs/>
          <w:noProof/>
        </w:rPr>
        <w:t>New Phytologist</w:t>
      </w:r>
      <w:r w:rsidRPr="00EE6DBF">
        <w:rPr>
          <w:noProof/>
        </w:rPr>
        <w:t xml:space="preserve">, </w:t>
      </w:r>
      <w:r w:rsidRPr="00EE6DBF">
        <w:rPr>
          <w:i/>
          <w:iCs/>
          <w:noProof/>
        </w:rPr>
        <w:t>11</w:t>
      </w:r>
      <w:r w:rsidRPr="00EE6DBF">
        <w:rPr>
          <w:noProof/>
        </w:rPr>
        <w:t>(2), 37–50.</w:t>
      </w:r>
    </w:p>
    <w:p w14:paraId="26CB4A8D" w14:textId="77777777" w:rsidR="00EE6DBF" w:rsidRPr="00EE6DBF" w:rsidRDefault="00EE6DBF" w:rsidP="00EE6DBF">
      <w:pPr>
        <w:widowControl w:val="0"/>
        <w:autoSpaceDE w:val="0"/>
        <w:autoSpaceDN w:val="0"/>
        <w:adjustRightInd w:val="0"/>
        <w:spacing w:line="480" w:lineRule="auto"/>
        <w:ind w:left="480" w:hanging="480"/>
        <w:rPr>
          <w:noProof/>
        </w:rPr>
      </w:pPr>
      <w:r w:rsidRPr="00EE6DBF">
        <w:rPr>
          <w:noProof/>
        </w:rPr>
        <w:t xml:space="preserve">Jordán, F., Liu, W. C., &amp; van Veen, F. J. F. (2003). Quantifying the importance of species and their interactions in a host-parasitoid community. </w:t>
      </w:r>
      <w:r w:rsidRPr="00EE6DBF">
        <w:rPr>
          <w:i/>
          <w:iCs/>
          <w:noProof/>
        </w:rPr>
        <w:t>Community Ecology</w:t>
      </w:r>
      <w:r w:rsidRPr="00EE6DBF">
        <w:rPr>
          <w:noProof/>
        </w:rPr>
        <w:t xml:space="preserve">, </w:t>
      </w:r>
      <w:r w:rsidRPr="00EE6DBF">
        <w:rPr>
          <w:i/>
          <w:iCs/>
          <w:noProof/>
        </w:rPr>
        <w:t>4</w:t>
      </w:r>
      <w:r w:rsidRPr="00EE6DBF">
        <w:rPr>
          <w:noProof/>
        </w:rPr>
        <w:t>(1), 79–88. https://doi.org/10.1556/ComEc.4.2003.1.12</w:t>
      </w:r>
    </w:p>
    <w:p w14:paraId="5FF7DC50" w14:textId="77777777" w:rsidR="00EE6DBF" w:rsidRPr="00EE6DBF" w:rsidRDefault="00EE6DBF" w:rsidP="00EE6DBF">
      <w:pPr>
        <w:widowControl w:val="0"/>
        <w:autoSpaceDE w:val="0"/>
        <w:autoSpaceDN w:val="0"/>
        <w:adjustRightInd w:val="0"/>
        <w:spacing w:line="480" w:lineRule="auto"/>
        <w:ind w:left="480" w:hanging="480"/>
        <w:rPr>
          <w:noProof/>
        </w:rPr>
      </w:pPr>
      <w:r w:rsidRPr="00EE6DBF">
        <w:rPr>
          <w:noProof/>
        </w:rPr>
        <w:t xml:space="preserve">Jordán, Ferenc, Liu, W.-C., &amp; Davis, A. J. (2006). Topological keystone species: measures of positional importance in food webs. </w:t>
      </w:r>
      <w:r w:rsidRPr="00EE6DBF">
        <w:rPr>
          <w:i/>
          <w:iCs/>
          <w:noProof/>
        </w:rPr>
        <w:t>Oikos</w:t>
      </w:r>
      <w:r w:rsidRPr="00EE6DBF">
        <w:rPr>
          <w:noProof/>
        </w:rPr>
        <w:t xml:space="preserve">, </w:t>
      </w:r>
      <w:r w:rsidRPr="00EE6DBF">
        <w:rPr>
          <w:i/>
          <w:iCs/>
          <w:noProof/>
        </w:rPr>
        <w:t>112</w:t>
      </w:r>
      <w:r w:rsidRPr="00EE6DBF">
        <w:rPr>
          <w:noProof/>
        </w:rPr>
        <w:t>(3), 535–546.</w:t>
      </w:r>
    </w:p>
    <w:p w14:paraId="42CBC1C7" w14:textId="77777777" w:rsidR="00EE6DBF" w:rsidRPr="00EE6DBF" w:rsidRDefault="00EE6DBF" w:rsidP="00EE6DBF">
      <w:pPr>
        <w:widowControl w:val="0"/>
        <w:autoSpaceDE w:val="0"/>
        <w:autoSpaceDN w:val="0"/>
        <w:adjustRightInd w:val="0"/>
        <w:spacing w:line="480" w:lineRule="auto"/>
        <w:ind w:left="480" w:hanging="480"/>
        <w:rPr>
          <w:noProof/>
        </w:rPr>
      </w:pPr>
      <w:r w:rsidRPr="00EE6DBF">
        <w:rPr>
          <w:noProof/>
        </w:rPr>
        <w:t xml:space="preserve">Jordán, Ferenc, Liu, W. C., &amp; Mike, Á. (2009). Trophic field overlap: A new approach to quantify keystone species. </w:t>
      </w:r>
      <w:r w:rsidRPr="00EE6DBF">
        <w:rPr>
          <w:i/>
          <w:iCs/>
          <w:noProof/>
        </w:rPr>
        <w:t>Ecological Modelling</w:t>
      </w:r>
      <w:r w:rsidRPr="00EE6DBF">
        <w:rPr>
          <w:noProof/>
        </w:rPr>
        <w:t xml:space="preserve">, </w:t>
      </w:r>
      <w:r w:rsidRPr="00EE6DBF">
        <w:rPr>
          <w:i/>
          <w:iCs/>
          <w:noProof/>
        </w:rPr>
        <w:t>220</w:t>
      </w:r>
      <w:r w:rsidRPr="00EE6DBF">
        <w:rPr>
          <w:noProof/>
        </w:rPr>
        <w:t>(21), 2899–2907. https://doi.org/10.1016/j.ecolmodel.2008.12.003</w:t>
      </w:r>
    </w:p>
    <w:p w14:paraId="1DD5CB88" w14:textId="77777777" w:rsidR="00EE6DBF" w:rsidRPr="001269B6" w:rsidRDefault="00EE6DBF" w:rsidP="00EE6DBF">
      <w:pPr>
        <w:widowControl w:val="0"/>
        <w:autoSpaceDE w:val="0"/>
        <w:autoSpaceDN w:val="0"/>
        <w:adjustRightInd w:val="0"/>
        <w:spacing w:line="480" w:lineRule="auto"/>
        <w:ind w:left="480" w:hanging="480"/>
        <w:rPr>
          <w:noProof/>
          <w:lang w:val="it-IT"/>
        </w:rPr>
      </w:pPr>
      <w:r w:rsidRPr="00EE6DBF">
        <w:rPr>
          <w:noProof/>
        </w:rPr>
        <w:t xml:space="preserve">Jordán, Ferenc, Takács-Sánta, A., &amp; Molnár, I. (1999). A Reliability Theoretical Quest for Keystones. </w:t>
      </w:r>
      <w:r w:rsidRPr="001269B6">
        <w:rPr>
          <w:i/>
          <w:iCs/>
          <w:noProof/>
          <w:lang w:val="it-IT"/>
        </w:rPr>
        <w:t>Oikos</w:t>
      </w:r>
      <w:r w:rsidRPr="001269B6">
        <w:rPr>
          <w:noProof/>
          <w:lang w:val="it-IT"/>
        </w:rPr>
        <w:t xml:space="preserve">, </w:t>
      </w:r>
      <w:r w:rsidRPr="001269B6">
        <w:rPr>
          <w:i/>
          <w:iCs/>
          <w:noProof/>
          <w:lang w:val="it-IT"/>
        </w:rPr>
        <w:t>86</w:t>
      </w:r>
      <w:r w:rsidRPr="001269B6">
        <w:rPr>
          <w:noProof/>
          <w:lang w:val="it-IT"/>
        </w:rPr>
        <w:t>(3), 453. https://doi.org/10.2307/3546650</w:t>
      </w:r>
    </w:p>
    <w:p w14:paraId="2DEDEAE3" w14:textId="77777777" w:rsidR="00EE6DBF" w:rsidRPr="00EE6DBF" w:rsidRDefault="00EE6DBF" w:rsidP="00EE6DBF">
      <w:pPr>
        <w:widowControl w:val="0"/>
        <w:autoSpaceDE w:val="0"/>
        <w:autoSpaceDN w:val="0"/>
        <w:adjustRightInd w:val="0"/>
        <w:spacing w:line="480" w:lineRule="auto"/>
        <w:ind w:left="480" w:hanging="480"/>
        <w:rPr>
          <w:noProof/>
        </w:rPr>
      </w:pPr>
      <w:r w:rsidRPr="001269B6">
        <w:rPr>
          <w:noProof/>
          <w:lang w:val="it-IT"/>
        </w:rPr>
        <w:t xml:space="preserve">Kirkpatrick, S., Gelatt, C. D., &amp; Vecchi, M. P. (1983). </w:t>
      </w:r>
      <w:r w:rsidRPr="00EE6DBF">
        <w:rPr>
          <w:noProof/>
        </w:rPr>
        <w:t xml:space="preserve">Optimization by simulated annealing. </w:t>
      </w:r>
      <w:r w:rsidRPr="00EE6DBF">
        <w:rPr>
          <w:i/>
          <w:iCs/>
          <w:noProof/>
        </w:rPr>
        <w:t>Science</w:t>
      </w:r>
      <w:r w:rsidRPr="00EE6DBF">
        <w:rPr>
          <w:noProof/>
        </w:rPr>
        <w:t xml:space="preserve">, </w:t>
      </w:r>
      <w:r w:rsidRPr="00EE6DBF">
        <w:rPr>
          <w:i/>
          <w:iCs/>
          <w:noProof/>
        </w:rPr>
        <w:t>220</w:t>
      </w:r>
      <w:r w:rsidRPr="00EE6DBF">
        <w:rPr>
          <w:noProof/>
        </w:rPr>
        <w:t>(4598), 671–680. https://doi.org/10.1126/science.220.4598.671</w:t>
      </w:r>
    </w:p>
    <w:p w14:paraId="1B58CF13" w14:textId="77777777" w:rsidR="00EE6DBF" w:rsidRPr="00EE6DBF" w:rsidRDefault="00EE6DBF" w:rsidP="00EE6DBF">
      <w:pPr>
        <w:widowControl w:val="0"/>
        <w:autoSpaceDE w:val="0"/>
        <w:autoSpaceDN w:val="0"/>
        <w:adjustRightInd w:val="0"/>
        <w:spacing w:line="480" w:lineRule="auto"/>
        <w:ind w:left="480" w:hanging="480"/>
        <w:rPr>
          <w:noProof/>
        </w:rPr>
      </w:pPr>
      <w:r w:rsidRPr="00EE6DBF">
        <w:rPr>
          <w:noProof/>
        </w:rPr>
        <w:t xml:space="preserve">Kozen, D., &amp; Timme, M. (2007). Indefinite summation and the Kronecker delta. </w:t>
      </w:r>
      <w:r w:rsidRPr="00EE6DBF">
        <w:rPr>
          <w:i/>
          <w:iCs/>
          <w:noProof/>
        </w:rPr>
        <w:t>Ecommons.Cornell.Edu</w:t>
      </w:r>
      <w:r w:rsidRPr="00EE6DBF">
        <w:rPr>
          <w:noProof/>
        </w:rPr>
        <w:t>.</w:t>
      </w:r>
    </w:p>
    <w:p w14:paraId="390CBFC1" w14:textId="77777777" w:rsidR="00EE6DBF" w:rsidRPr="00EE6DBF" w:rsidRDefault="00EE6DBF" w:rsidP="00EE6DBF">
      <w:pPr>
        <w:widowControl w:val="0"/>
        <w:autoSpaceDE w:val="0"/>
        <w:autoSpaceDN w:val="0"/>
        <w:adjustRightInd w:val="0"/>
        <w:spacing w:line="480" w:lineRule="auto"/>
        <w:ind w:left="480" w:hanging="480"/>
        <w:rPr>
          <w:noProof/>
        </w:rPr>
      </w:pPr>
      <w:r w:rsidRPr="00EE6DBF">
        <w:rPr>
          <w:noProof/>
        </w:rPr>
        <w:t xml:space="preserve">Lai, S. M., Liu, W. C., &amp; Jordán, F. (2015). A trophic overlap-based measure for species </w:t>
      </w:r>
      <w:r w:rsidRPr="00EE6DBF">
        <w:rPr>
          <w:noProof/>
        </w:rPr>
        <w:lastRenderedPageBreak/>
        <w:t xml:space="preserve">uniqueness in ecological networks. </w:t>
      </w:r>
      <w:r w:rsidRPr="00EE6DBF">
        <w:rPr>
          <w:i/>
          <w:iCs/>
          <w:noProof/>
        </w:rPr>
        <w:t>Ecological Modelling</w:t>
      </w:r>
      <w:r w:rsidRPr="00EE6DBF">
        <w:rPr>
          <w:noProof/>
        </w:rPr>
        <w:t xml:space="preserve">, </w:t>
      </w:r>
      <w:r w:rsidRPr="00EE6DBF">
        <w:rPr>
          <w:i/>
          <w:iCs/>
          <w:noProof/>
        </w:rPr>
        <w:t>299</w:t>
      </w:r>
      <w:r w:rsidRPr="00EE6DBF">
        <w:rPr>
          <w:noProof/>
        </w:rPr>
        <w:t>, 95–101. https://doi.org/10.1016/j.ecolmodel.2014.12.014</w:t>
      </w:r>
    </w:p>
    <w:p w14:paraId="39251D44" w14:textId="77777777" w:rsidR="00EE6DBF" w:rsidRPr="00EE6DBF" w:rsidRDefault="00EE6DBF" w:rsidP="00EE6DBF">
      <w:pPr>
        <w:widowControl w:val="0"/>
        <w:autoSpaceDE w:val="0"/>
        <w:autoSpaceDN w:val="0"/>
        <w:adjustRightInd w:val="0"/>
        <w:spacing w:line="480" w:lineRule="auto"/>
        <w:ind w:left="480" w:hanging="480"/>
        <w:rPr>
          <w:noProof/>
        </w:rPr>
      </w:pPr>
      <w:r w:rsidRPr="00EE6DBF">
        <w:rPr>
          <w:noProof/>
        </w:rPr>
        <w:t xml:space="preserve">Libralato, S., Christensen, V., &amp; Pauly, D. (2006). A method for identifying keystone species in food web models. </w:t>
      </w:r>
      <w:r w:rsidRPr="00EE6DBF">
        <w:rPr>
          <w:i/>
          <w:iCs/>
          <w:noProof/>
        </w:rPr>
        <w:t>Ecological Modelling</w:t>
      </w:r>
      <w:r w:rsidRPr="00EE6DBF">
        <w:rPr>
          <w:noProof/>
        </w:rPr>
        <w:t xml:space="preserve">, </w:t>
      </w:r>
      <w:r w:rsidRPr="00EE6DBF">
        <w:rPr>
          <w:i/>
          <w:iCs/>
          <w:noProof/>
        </w:rPr>
        <w:t>195</w:t>
      </w:r>
      <w:r w:rsidRPr="00EE6DBF">
        <w:rPr>
          <w:noProof/>
        </w:rPr>
        <w:t>(3–4), 153–171. https://doi.org/10.1016/j.ecolmodel.2005.11.029</w:t>
      </w:r>
    </w:p>
    <w:p w14:paraId="5FE07E7C" w14:textId="77777777" w:rsidR="00EE6DBF" w:rsidRPr="00EE6DBF" w:rsidRDefault="00EE6DBF" w:rsidP="00EE6DBF">
      <w:pPr>
        <w:widowControl w:val="0"/>
        <w:autoSpaceDE w:val="0"/>
        <w:autoSpaceDN w:val="0"/>
        <w:adjustRightInd w:val="0"/>
        <w:spacing w:line="480" w:lineRule="auto"/>
        <w:ind w:left="480" w:hanging="480"/>
        <w:rPr>
          <w:noProof/>
        </w:rPr>
      </w:pPr>
      <w:r w:rsidRPr="00EE6DBF">
        <w:rPr>
          <w:noProof/>
        </w:rPr>
        <w:t xml:space="preserve">Luczkovich, J. J., Borgatti, S. P., Johnson, J. C., &amp; Everett, M. G. (2003). Defining and measuring trophic role similarity in food webs using regular equivalence. </w:t>
      </w:r>
      <w:r w:rsidRPr="00EE6DBF">
        <w:rPr>
          <w:i/>
          <w:iCs/>
          <w:noProof/>
        </w:rPr>
        <w:t>Journal of Theoretical Biology</w:t>
      </w:r>
      <w:r w:rsidRPr="00EE6DBF">
        <w:rPr>
          <w:noProof/>
        </w:rPr>
        <w:t xml:space="preserve">, </w:t>
      </w:r>
      <w:r w:rsidRPr="00EE6DBF">
        <w:rPr>
          <w:i/>
          <w:iCs/>
          <w:noProof/>
        </w:rPr>
        <w:t>220</w:t>
      </w:r>
      <w:r w:rsidRPr="00EE6DBF">
        <w:rPr>
          <w:noProof/>
        </w:rPr>
        <w:t>(3), 303–321. https://doi.org/10.1006/jtbi.2003.3147</w:t>
      </w:r>
    </w:p>
    <w:p w14:paraId="42615182" w14:textId="77777777" w:rsidR="00EE6DBF" w:rsidRPr="00EE6DBF" w:rsidRDefault="00EE6DBF" w:rsidP="00EE6DBF">
      <w:pPr>
        <w:widowControl w:val="0"/>
        <w:autoSpaceDE w:val="0"/>
        <w:autoSpaceDN w:val="0"/>
        <w:adjustRightInd w:val="0"/>
        <w:spacing w:line="480" w:lineRule="auto"/>
        <w:ind w:left="480" w:hanging="480"/>
        <w:rPr>
          <w:noProof/>
        </w:rPr>
      </w:pPr>
      <w:r w:rsidRPr="00EE6DBF">
        <w:rPr>
          <w:noProof/>
        </w:rPr>
        <w:t xml:space="preserve">Martinez, N. D. (1991). Artifacts or Attributes ? Effects of Resolution on the Little Rock Lake Food Web. </w:t>
      </w:r>
      <w:r w:rsidRPr="00EE6DBF">
        <w:rPr>
          <w:i/>
          <w:iCs/>
          <w:noProof/>
        </w:rPr>
        <w:t>Ecological Monographs</w:t>
      </w:r>
      <w:r w:rsidRPr="00EE6DBF">
        <w:rPr>
          <w:noProof/>
        </w:rPr>
        <w:t xml:space="preserve">, </w:t>
      </w:r>
      <w:r w:rsidRPr="00EE6DBF">
        <w:rPr>
          <w:i/>
          <w:iCs/>
          <w:noProof/>
        </w:rPr>
        <w:t>61</w:t>
      </w:r>
      <w:r w:rsidRPr="00EE6DBF">
        <w:rPr>
          <w:noProof/>
        </w:rPr>
        <w:t>(4), 367–392.</w:t>
      </w:r>
    </w:p>
    <w:p w14:paraId="2A80C8BC" w14:textId="77777777" w:rsidR="00EE6DBF" w:rsidRPr="00EE6DBF" w:rsidRDefault="00EE6DBF" w:rsidP="00EE6DBF">
      <w:pPr>
        <w:widowControl w:val="0"/>
        <w:autoSpaceDE w:val="0"/>
        <w:autoSpaceDN w:val="0"/>
        <w:adjustRightInd w:val="0"/>
        <w:spacing w:line="480" w:lineRule="auto"/>
        <w:ind w:left="480" w:hanging="480"/>
        <w:rPr>
          <w:noProof/>
        </w:rPr>
      </w:pPr>
      <w:r w:rsidRPr="00EE6DBF">
        <w:rPr>
          <w:noProof/>
        </w:rPr>
        <w:t xml:space="preserve">Martinez, N. D. (1993). Effects of Resolution on Food Web Structure. </w:t>
      </w:r>
      <w:r w:rsidRPr="00EE6DBF">
        <w:rPr>
          <w:i/>
          <w:iCs/>
          <w:noProof/>
        </w:rPr>
        <w:t>Oikos</w:t>
      </w:r>
      <w:r w:rsidRPr="00EE6DBF">
        <w:rPr>
          <w:noProof/>
        </w:rPr>
        <w:t xml:space="preserve">, </w:t>
      </w:r>
      <w:r w:rsidRPr="00EE6DBF">
        <w:rPr>
          <w:i/>
          <w:iCs/>
          <w:noProof/>
        </w:rPr>
        <w:t>66</w:t>
      </w:r>
      <w:r w:rsidRPr="00EE6DBF">
        <w:rPr>
          <w:noProof/>
        </w:rPr>
        <w:t>(3), 403–412.</w:t>
      </w:r>
    </w:p>
    <w:p w14:paraId="29A1AC57" w14:textId="77777777" w:rsidR="00EE6DBF" w:rsidRPr="00EE6DBF" w:rsidRDefault="00EE6DBF" w:rsidP="00EE6DBF">
      <w:pPr>
        <w:widowControl w:val="0"/>
        <w:autoSpaceDE w:val="0"/>
        <w:autoSpaceDN w:val="0"/>
        <w:adjustRightInd w:val="0"/>
        <w:spacing w:line="480" w:lineRule="auto"/>
        <w:ind w:left="480" w:hanging="480"/>
        <w:rPr>
          <w:noProof/>
        </w:rPr>
      </w:pPr>
      <w:r w:rsidRPr="00EE6DBF">
        <w:rPr>
          <w:noProof/>
        </w:rPr>
        <w:t>Mathworks Inc. (2019). Matlab Statistics and Machine Learning Toolbox. Retrieved from 2015 website: https://www.mathworks.com/products/statistics.html</w:t>
      </w:r>
    </w:p>
    <w:p w14:paraId="3A5D497E" w14:textId="77777777" w:rsidR="00EE6DBF" w:rsidRPr="00EE6DBF" w:rsidRDefault="00EE6DBF" w:rsidP="00EE6DBF">
      <w:pPr>
        <w:widowControl w:val="0"/>
        <w:autoSpaceDE w:val="0"/>
        <w:autoSpaceDN w:val="0"/>
        <w:adjustRightInd w:val="0"/>
        <w:spacing w:line="480" w:lineRule="auto"/>
        <w:ind w:left="480" w:hanging="480"/>
        <w:rPr>
          <w:noProof/>
        </w:rPr>
      </w:pPr>
      <w:r w:rsidRPr="00EE6DBF">
        <w:rPr>
          <w:noProof/>
        </w:rPr>
        <w:t xml:space="preserve">Mills, L. S., Doak, M. E., &amp; Soulé, D. F. (1993). The keystone-species concept in ecology and conservation. </w:t>
      </w:r>
      <w:r w:rsidRPr="00EE6DBF">
        <w:rPr>
          <w:i/>
          <w:iCs/>
          <w:noProof/>
        </w:rPr>
        <w:t>BioScience</w:t>
      </w:r>
      <w:r w:rsidRPr="00EE6DBF">
        <w:rPr>
          <w:noProof/>
        </w:rPr>
        <w:t xml:space="preserve">, </w:t>
      </w:r>
      <w:r w:rsidRPr="00EE6DBF">
        <w:rPr>
          <w:i/>
          <w:iCs/>
          <w:noProof/>
        </w:rPr>
        <w:t>43</w:t>
      </w:r>
      <w:r w:rsidRPr="00EE6DBF">
        <w:rPr>
          <w:noProof/>
        </w:rPr>
        <w:t>(4), 219–224.</w:t>
      </w:r>
    </w:p>
    <w:p w14:paraId="27D92FFB" w14:textId="77777777" w:rsidR="00EE6DBF" w:rsidRPr="00EE6DBF" w:rsidRDefault="00EE6DBF" w:rsidP="00EE6DBF">
      <w:pPr>
        <w:widowControl w:val="0"/>
        <w:autoSpaceDE w:val="0"/>
        <w:autoSpaceDN w:val="0"/>
        <w:adjustRightInd w:val="0"/>
        <w:spacing w:line="480" w:lineRule="auto"/>
        <w:ind w:left="480" w:hanging="480"/>
        <w:rPr>
          <w:noProof/>
        </w:rPr>
      </w:pPr>
      <w:r w:rsidRPr="00EE6DBF">
        <w:rPr>
          <w:noProof/>
        </w:rPr>
        <w:t xml:space="preserve">Müller, C. B., Adriaanse, I. C. T., Belshaw, R., &amp; Godfray, H. C. J. (1999). The structure of an aphid-parasitoid community. </w:t>
      </w:r>
      <w:r w:rsidRPr="00EE6DBF">
        <w:rPr>
          <w:i/>
          <w:iCs/>
          <w:noProof/>
        </w:rPr>
        <w:t>Journal of Animal Ecology</w:t>
      </w:r>
      <w:r w:rsidRPr="00EE6DBF">
        <w:rPr>
          <w:noProof/>
        </w:rPr>
        <w:t xml:space="preserve">, </w:t>
      </w:r>
      <w:r w:rsidRPr="00EE6DBF">
        <w:rPr>
          <w:i/>
          <w:iCs/>
          <w:noProof/>
        </w:rPr>
        <w:t>68</w:t>
      </w:r>
      <w:r w:rsidRPr="00EE6DBF">
        <w:rPr>
          <w:noProof/>
        </w:rPr>
        <w:t>, 346–370. https://doi.org/10.1046/j.1365-2656.1999.00288.x</w:t>
      </w:r>
    </w:p>
    <w:p w14:paraId="5212756B" w14:textId="77777777" w:rsidR="00EE6DBF" w:rsidRPr="00EE6DBF" w:rsidRDefault="00EE6DBF" w:rsidP="00EE6DBF">
      <w:pPr>
        <w:widowControl w:val="0"/>
        <w:autoSpaceDE w:val="0"/>
        <w:autoSpaceDN w:val="0"/>
        <w:adjustRightInd w:val="0"/>
        <w:spacing w:line="480" w:lineRule="auto"/>
        <w:ind w:left="480" w:hanging="480"/>
        <w:rPr>
          <w:noProof/>
        </w:rPr>
      </w:pPr>
      <w:r w:rsidRPr="00EE6DBF">
        <w:rPr>
          <w:noProof/>
        </w:rPr>
        <w:t xml:space="preserve">Newman, M. E. J. (2004). Fast algorithm for detecting community structure in networks. </w:t>
      </w:r>
      <w:r w:rsidRPr="00EE6DBF">
        <w:rPr>
          <w:i/>
          <w:iCs/>
          <w:noProof/>
        </w:rPr>
        <w:t>Physical Review E - Statistical Physics, Plasmas, Fluids, and Related Interdisciplinary Topics</w:t>
      </w:r>
      <w:r w:rsidRPr="00EE6DBF">
        <w:rPr>
          <w:noProof/>
        </w:rPr>
        <w:t xml:space="preserve">, </w:t>
      </w:r>
      <w:r w:rsidRPr="00EE6DBF">
        <w:rPr>
          <w:i/>
          <w:iCs/>
          <w:noProof/>
        </w:rPr>
        <w:t>69</w:t>
      </w:r>
      <w:r w:rsidRPr="00EE6DBF">
        <w:rPr>
          <w:noProof/>
        </w:rPr>
        <w:t>(6), 5. https://doi.org/10.1103/PhysRevE.69.066133</w:t>
      </w:r>
    </w:p>
    <w:p w14:paraId="292F5D6B" w14:textId="77777777" w:rsidR="00EE6DBF" w:rsidRPr="00EE6DBF" w:rsidRDefault="00EE6DBF" w:rsidP="00EE6DBF">
      <w:pPr>
        <w:widowControl w:val="0"/>
        <w:autoSpaceDE w:val="0"/>
        <w:autoSpaceDN w:val="0"/>
        <w:adjustRightInd w:val="0"/>
        <w:spacing w:line="480" w:lineRule="auto"/>
        <w:ind w:left="480" w:hanging="480"/>
        <w:rPr>
          <w:noProof/>
        </w:rPr>
      </w:pPr>
      <w:r w:rsidRPr="00EE6DBF">
        <w:rPr>
          <w:noProof/>
        </w:rPr>
        <w:t xml:space="preserve">Okey, Thomas A. (2004). </w:t>
      </w:r>
      <w:r w:rsidRPr="00EE6DBF">
        <w:rPr>
          <w:i/>
          <w:iCs/>
          <w:noProof/>
        </w:rPr>
        <w:t>Simulating community effects of sea floor shading by plankton blooms over the West Florida Shelf</w:t>
      </w:r>
      <w:r w:rsidRPr="00EE6DBF">
        <w:rPr>
          <w:noProof/>
        </w:rPr>
        <w:t>.</w:t>
      </w:r>
    </w:p>
    <w:p w14:paraId="191F99A8" w14:textId="77777777" w:rsidR="00EE6DBF" w:rsidRPr="001269B6" w:rsidRDefault="00EE6DBF" w:rsidP="00EE6DBF">
      <w:pPr>
        <w:widowControl w:val="0"/>
        <w:autoSpaceDE w:val="0"/>
        <w:autoSpaceDN w:val="0"/>
        <w:adjustRightInd w:val="0"/>
        <w:spacing w:line="480" w:lineRule="auto"/>
        <w:ind w:left="480" w:hanging="480"/>
        <w:rPr>
          <w:noProof/>
          <w:lang w:val="it-IT"/>
        </w:rPr>
      </w:pPr>
      <w:r w:rsidRPr="00EE6DBF">
        <w:rPr>
          <w:noProof/>
        </w:rPr>
        <w:t xml:space="preserve">Okey, Thomas Anthony. (2004). </w:t>
      </w:r>
      <w:r w:rsidRPr="00EE6DBF">
        <w:rPr>
          <w:i/>
          <w:iCs/>
          <w:noProof/>
        </w:rPr>
        <w:t>Shifted community states in four marine ecosystems: some potential mechanisms</w:t>
      </w:r>
      <w:r w:rsidRPr="00EE6DBF">
        <w:rPr>
          <w:noProof/>
        </w:rPr>
        <w:t xml:space="preserve">. </w:t>
      </w:r>
      <w:r w:rsidRPr="001269B6">
        <w:rPr>
          <w:noProof/>
          <w:lang w:val="it-IT"/>
        </w:rPr>
        <w:t>University of British Columbia, Canada.</w:t>
      </w:r>
    </w:p>
    <w:p w14:paraId="6C5675F4" w14:textId="77777777" w:rsidR="00EE6DBF" w:rsidRPr="00EE6DBF" w:rsidRDefault="00EE6DBF" w:rsidP="00EE6DBF">
      <w:pPr>
        <w:widowControl w:val="0"/>
        <w:autoSpaceDE w:val="0"/>
        <w:autoSpaceDN w:val="0"/>
        <w:adjustRightInd w:val="0"/>
        <w:spacing w:line="480" w:lineRule="auto"/>
        <w:ind w:left="480" w:hanging="480"/>
        <w:rPr>
          <w:noProof/>
        </w:rPr>
      </w:pPr>
      <w:r w:rsidRPr="001269B6">
        <w:rPr>
          <w:noProof/>
          <w:lang w:val="it-IT"/>
        </w:rPr>
        <w:lastRenderedPageBreak/>
        <w:t xml:space="preserve">Olmo Gilabert, R., Navia, A. F., De La Cruz-Agüero, G., Molinero, J. C., Sommer, U., &amp; Scotti, M. (2019). </w:t>
      </w:r>
      <w:r w:rsidRPr="00EE6DBF">
        <w:rPr>
          <w:noProof/>
        </w:rPr>
        <w:t xml:space="preserve">Body size and mobility explain species centralities in the Gulf of California food web. </w:t>
      </w:r>
      <w:r w:rsidRPr="00EE6DBF">
        <w:rPr>
          <w:i/>
          <w:iCs/>
          <w:noProof/>
        </w:rPr>
        <w:t>Community Ecology</w:t>
      </w:r>
      <w:r w:rsidRPr="00EE6DBF">
        <w:rPr>
          <w:noProof/>
        </w:rPr>
        <w:t xml:space="preserve">, </w:t>
      </w:r>
      <w:r w:rsidRPr="00EE6DBF">
        <w:rPr>
          <w:i/>
          <w:iCs/>
          <w:noProof/>
        </w:rPr>
        <w:t>20</w:t>
      </w:r>
      <w:r w:rsidRPr="00EE6DBF">
        <w:rPr>
          <w:noProof/>
        </w:rPr>
        <w:t>(2), 149–160. https://doi.org/10.1556/168.2019.20.2.5</w:t>
      </w:r>
    </w:p>
    <w:p w14:paraId="4BF80D1F" w14:textId="77777777" w:rsidR="00EE6DBF" w:rsidRPr="00EE6DBF" w:rsidRDefault="00EE6DBF" w:rsidP="00EE6DBF">
      <w:pPr>
        <w:widowControl w:val="0"/>
        <w:autoSpaceDE w:val="0"/>
        <w:autoSpaceDN w:val="0"/>
        <w:adjustRightInd w:val="0"/>
        <w:spacing w:line="480" w:lineRule="auto"/>
        <w:ind w:left="480" w:hanging="480"/>
        <w:rPr>
          <w:noProof/>
        </w:rPr>
      </w:pPr>
      <w:r w:rsidRPr="00EE6DBF">
        <w:rPr>
          <w:noProof/>
        </w:rPr>
        <w:t xml:space="preserve">Paine, R. T. (1988). Road Maps of Interactions or Grist for Theoretical Development? </w:t>
      </w:r>
      <w:r w:rsidRPr="00EE6DBF">
        <w:rPr>
          <w:i/>
          <w:iCs/>
          <w:noProof/>
        </w:rPr>
        <w:t>Ecology</w:t>
      </w:r>
      <w:r w:rsidRPr="00EE6DBF">
        <w:rPr>
          <w:noProof/>
        </w:rPr>
        <w:t xml:space="preserve">, </w:t>
      </w:r>
      <w:r w:rsidRPr="00EE6DBF">
        <w:rPr>
          <w:i/>
          <w:iCs/>
          <w:noProof/>
        </w:rPr>
        <w:t>69</w:t>
      </w:r>
      <w:r w:rsidRPr="00EE6DBF">
        <w:rPr>
          <w:noProof/>
        </w:rPr>
        <w:t>(6), 1648–1654. https://doi.org/10.2307/1941141</w:t>
      </w:r>
    </w:p>
    <w:p w14:paraId="061C454B" w14:textId="77777777" w:rsidR="00EE6DBF" w:rsidRPr="00EE6DBF" w:rsidRDefault="00EE6DBF" w:rsidP="00EE6DBF">
      <w:pPr>
        <w:widowControl w:val="0"/>
        <w:autoSpaceDE w:val="0"/>
        <w:autoSpaceDN w:val="0"/>
        <w:adjustRightInd w:val="0"/>
        <w:spacing w:line="480" w:lineRule="auto"/>
        <w:ind w:left="480" w:hanging="480"/>
        <w:rPr>
          <w:noProof/>
        </w:rPr>
      </w:pPr>
      <w:r w:rsidRPr="00EE6DBF">
        <w:rPr>
          <w:noProof/>
        </w:rPr>
        <w:t xml:space="preserve">Pimm, S. L. (1982). Food webs. In </w:t>
      </w:r>
      <w:r w:rsidRPr="00EE6DBF">
        <w:rPr>
          <w:i/>
          <w:iCs/>
          <w:noProof/>
        </w:rPr>
        <w:t>Food webs</w:t>
      </w:r>
      <w:r w:rsidRPr="00EE6DBF">
        <w:rPr>
          <w:noProof/>
        </w:rPr>
        <w:t>. London: Springer.</w:t>
      </w:r>
    </w:p>
    <w:p w14:paraId="059AF85C" w14:textId="77777777" w:rsidR="00EE6DBF" w:rsidRPr="00EE6DBF" w:rsidRDefault="00EE6DBF" w:rsidP="00EE6DBF">
      <w:pPr>
        <w:widowControl w:val="0"/>
        <w:autoSpaceDE w:val="0"/>
        <w:autoSpaceDN w:val="0"/>
        <w:adjustRightInd w:val="0"/>
        <w:spacing w:line="480" w:lineRule="auto"/>
        <w:ind w:left="480" w:hanging="480"/>
        <w:rPr>
          <w:noProof/>
        </w:rPr>
      </w:pPr>
      <w:r w:rsidRPr="00EE6DBF">
        <w:rPr>
          <w:noProof/>
        </w:rPr>
        <w:t xml:space="preserve">Plagányi, É. E., &amp; Essington, T. E. (2014). When the SURFs up, forage fish are key. </w:t>
      </w:r>
      <w:r w:rsidRPr="00EE6DBF">
        <w:rPr>
          <w:i/>
          <w:iCs/>
          <w:noProof/>
        </w:rPr>
        <w:t>Fisheries Research</w:t>
      </w:r>
      <w:r w:rsidRPr="00EE6DBF">
        <w:rPr>
          <w:noProof/>
        </w:rPr>
        <w:t xml:space="preserve">, </w:t>
      </w:r>
      <w:r w:rsidRPr="00EE6DBF">
        <w:rPr>
          <w:i/>
          <w:iCs/>
          <w:noProof/>
        </w:rPr>
        <w:t>159</w:t>
      </w:r>
      <w:r w:rsidRPr="00EE6DBF">
        <w:rPr>
          <w:noProof/>
        </w:rPr>
        <w:t>, 68–74. https://doi.org/10.1016/j.fishres.2014.05.011</w:t>
      </w:r>
    </w:p>
    <w:p w14:paraId="2536980C" w14:textId="77777777" w:rsidR="00EE6DBF" w:rsidRPr="00EE6DBF" w:rsidRDefault="00EE6DBF" w:rsidP="00EE6DBF">
      <w:pPr>
        <w:widowControl w:val="0"/>
        <w:autoSpaceDE w:val="0"/>
        <w:autoSpaceDN w:val="0"/>
        <w:adjustRightInd w:val="0"/>
        <w:spacing w:line="480" w:lineRule="auto"/>
        <w:ind w:left="480" w:hanging="480"/>
        <w:rPr>
          <w:noProof/>
        </w:rPr>
      </w:pPr>
      <w:r w:rsidRPr="00EE6DBF">
        <w:rPr>
          <w:noProof/>
        </w:rPr>
        <w:t xml:space="preserve">R Development Core Team. (2013). </w:t>
      </w:r>
      <w:r w:rsidRPr="00EE6DBF">
        <w:rPr>
          <w:i/>
          <w:iCs/>
          <w:noProof/>
        </w:rPr>
        <w:t>R: A Language and Environment for Statistical Computing</w:t>
      </w:r>
      <w:r w:rsidRPr="00EE6DBF">
        <w:rPr>
          <w:noProof/>
        </w:rPr>
        <w:t>. https://doi.org/10.1007/978-3-540-74686-7</w:t>
      </w:r>
    </w:p>
    <w:p w14:paraId="3A73C7CC" w14:textId="77777777" w:rsidR="00EE6DBF" w:rsidRPr="00EE6DBF" w:rsidRDefault="00EE6DBF" w:rsidP="00EE6DBF">
      <w:pPr>
        <w:widowControl w:val="0"/>
        <w:autoSpaceDE w:val="0"/>
        <w:autoSpaceDN w:val="0"/>
        <w:adjustRightInd w:val="0"/>
        <w:spacing w:line="480" w:lineRule="auto"/>
        <w:ind w:left="480" w:hanging="480"/>
        <w:rPr>
          <w:noProof/>
        </w:rPr>
      </w:pPr>
      <w:r w:rsidRPr="00EE6DBF">
        <w:rPr>
          <w:noProof/>
        </w:rPr>
        <w:t xml:space="preserve">Sander, E. L., Wootton, J. T., &amp; Allesina, S. (2015). What Can Interaction Webs Tell Us About Species Roles? </w:t>
      </w:r>
      <w:r w:rsidRPr="00EE6DBF">
        <w:rPr>
          <w:i/>
          <w:iCs/>
          <w:noProof/>
        </w:rPr>
        <w:t>PLoS Computational Biology</w:t>
      </w:r>
      <w:r w:rsidRPr="00EE6DBF">
        <w:rPr>
          <w:noProof/>
        </w:rPr>
        <w:t xml:space="preserve">, </w:t>
      </w:r>
      <w:r w:rsidRPr="00EE6DBF">
        <w:rPr>
          <w:i/>
          <w:iCs/>
          <w:noProof/>
        </w:rPr>
        <w:t>11</w:t>
      </w:r>
      <w:r w:rsidRPr="00EE6DBF">
        <w:rPr>
          <w:noProof/>
        </w:rPr>
        <w:t>(7), 1–22. https://doi.org/10.1371/journal.pcbi.1004330</w:t>
      </w:r>
    </w:p>
    <w:p w14:paraId="06C4A2DF" w14:textId="77777777" w:rsidR="00EE6DBF" w:rsidRPr="00EE6DBF" w:rsidRDefault="00EE6DBF" w:rsidP="00EE6DBF">
      <w:pPr>
        <w:widowControl w:val="0"/>
        <w:autoSpaceDE w:val="0"/>
        <w:autoSpaceDN w:val="0"/>
        <w:adjustRightInd w:val="0"/>
        <w:spacing w:line="480" w:lineRule="auto"/>
        <w:ind w:left="480" w:hanging="480"/>
        <w:rPr>
          <w:noProof/>
        </w:rPr>
      </w:pPr>
      <w:r w:rsidRPr="00EE6DBF">
        <w:rPr>
          <w:noProof/>
        </w:rPr>
        <w:t xml:space="preserve">Sugihara, G., Bersier, L. F., &amp; Schoenly, K. (1997). Effects of taxonomic and trophic aggregation on food web properties. </w:t>
      </w:r>
      <w:r w:rsidRPr="00EE6DBF">
        <w:rPr>
          <w:i/>
          <w:iCs/>
          <w:noProof/>
        </w:rPr>
        <w:t>Oecologia</w:t>
      </w:r>
      <w:r w:rsidRPr="00EE6DBF">
        <w:rPr>
          <w:noProof/>
        </w:rPr>
        <w:t xml:space="preserve">, </w:t>
      </w:r>
      <w:r w:rsidRPr="00EE6DBF">
        <w:rPr>
          <w:i/>
          <w:iCs/>
          <w:noProof/>
        </w:rPr>
        <w:t>112</w:t>
      </w:r>
      <w:r w:rsidRPr="00EE6DBF">
        <w:rPr>
          <w:noProof/>
        </w:rPr>
        <w:t>(2), 272–284. https://doi.org/10.1007/s004420050310</w:t>
      </w:r>
    </w:p>
    <w:p w14:paraId="40A8FC9C" w14:textId="77777777" w:rsidR="00EE6DBF" w:rsidRPr="00EE6DBF" w:rsidRDefault="00EE6DBF" w:rsidP="00EE6DBF">
      <w:pPr>
        <w:widowControl w:val="0"/>
        <w:autoSpaceDE w:val="0"/>
        <w:autoSpaceDN w:val="0"/>
        <w:adjustRightInd w:val="0"/>
        <w:spacing w:line="480" w:lineRule="auto"/>
        <w:ind w:left="480" w:hanging="480"/>
        <w:rPr>
          <w:noProof/>
        </w:rPr>
      </w:pPr>
      <w:r w:rsidRPr="00EE6DBF">
        <w:rPr>
          <w:noProof/>
        </w:rPr>
        <w:t xml:space="preserve">Sugihara, G., Schoenly, K., &amp; Trombla, A. (1989). Scale invariance in food web properties. </w:t>
      </w:r>
      <w:r w:rsidRPr="00EE6DBF">
        <w:rPr>
          <w:i/>
          <w:iCs/>
          <w:noProof/>
        </w:rPr>
        <w:t>Science</w:t>
      </w:r>
      <w:r w:rsidRPr="00EE6DBF">
        <w:rPr>
          <w:noProof/>
        </w:rPr>
        <w:t xml:space="preserve">, </w:t>
      </w:r>
      <w:r w:rsidRPr="00EE6DBF">
        <w:rPr>
          <w:i/>
          <w:iCs/>
          <w:noProof/>
        </w:rPr>
        <w:t>245</w:t>
      </w:r>
      <w:r w:rsidRPr="00EE6DBF">
        <w:rPr>
          <w:noProof/>
        </w:rPr>
        <w:t>(4913), 48–52. https://doi.org/10.1126/science.2740915</w:t>
      </w:r>
    </w:p>
    <w:p w14:paraId="2DEFBDF8" w14:textId="77777777" w:rsidR="00EE6DBF" w:rsidRPr="00EE6DBF" w:rsidRDefault="00EE6DBF" w:rsidP="00EE6DBF">
      <w:pPr>
        <w:widowControl w:val="0"/>
        <w:autoSpaceDE w:val="0"/>
        <w:autoSpaceDN w:val="0"/>
        <w:adjustRightInd w:val="0"/>
        <w:spacing w:line="480" w:lineRule="auto"/>
        <w:ind w:left="480" w:hanging="480"/>
        <w:rPr>
          <w:noProof/>
        </w:rPr>
      </w:pPr>
      <w:r w:rsidRPr="00EE6DBF">
        <w:rPr>
          <w:noProof/>
        </w:rPr>
        <w:t xml:space="preserve">Traag, V. A., Waltman, L., &amp; van Eck, N. J. (2019). From Louvain to Leiden: guaranteeing well-connected communities. </w:t>
      </w:r>
      <w:r w:rsidRPr="00EE6DBF">
        <w:rPr>
          <w:i/>
          <w:iCs/>
          <w:noProof/>
        </w:rPr>
        <w:t>Scientific Reports</w:t>
      </w:r>
      <w:r w:rsidRPr="00EE6DBF">
        <w:rPr>
          <w:noProof/>
        </w:rPr>
        <w:t xml:space="preserve">, </w:t>
      </w:r>
      <w:r w:rsidRPr="00EE6DBF">
        <w:rPr>
          <w:i/>
          <w:iCs/>
          <w:noProof/>
        </w:rPr>
        <w:t>9</w:t>
      </w:r>
      <w:r w:rsidRPr="00EE6DBF">
        <w:rPr>
          <w:noProof/>
        </w:rPr>
        <w:t>(1), 1–12. https://doi.org/10.1038/s41598-019-41695-z</w:t>
      </w:r>
    </w:p>
    <w:p w14:paraId="6157B001" w14:textId="77777777" w:rsidR="00EE6DBF" w:rsidRPr="00EE6DBF" w:rsidRDefault="00EE6DBF" w:rsidP="00EE6DBF">
      <w:pPr>
        <w:widowControl w:val="0"/>
        <w:autoSpaceDE w:val="0"/>
        <w:autoSpaceDN w:val="0"/>
        <w:adjustRightInd w:val="0"/>
        <w:spacing w:line="480" w:lineRule="auto"/>
        <w:ind w:left="480" w:hanging="480"/>
        <w:rPr>
          <w:noProof/>
        </w:rPr>
      </w:pPr>
      <w:r w:rsidRPr="00EE6DBF">
        <w:rPr>
          <w:noProof/>
        </w:rPr>
        <w:t xml:space="preserve">Wasserman, S., &amp; Faust, K. (1994). </w:t>
      </w:r>
      <w:r w:rsidRPr="00EE6DBF">
        <w:rPr>
          <w:i/>
          <w:iCs/>
          <w:noProof/>
        </w:rPr>
        <w:t>Social network analysis : methods and applications</w:t>
      </w:r>
      <w:r w:rsidRPr="00EE6DBF">
        <w:rPr>
          <w:noProof/>
        </w:rPr>
        <w:t>. Cambridge University Press.</w:t>
      </w:r>
    </w:p>
    <w:p w14:paraId="7C07F931" w14:textId="77777777" w:rsidR="00EE6DBF" w:rsidRPr="00EE6DBF" w:rsidRDefault="00EE6DBF" w:rsidP="00EE6DBF">
      <w:pPr>
        <w:widowControl w:val="0"/>
        <w:autoSpaceDE w:val="0"/>
        <w:autoSpaceDN w:val="0"/>
        <w:adjustRightInd w:val="0"/>
        <w:spacing w:line="480" w:lineRule="auto"/>
        <w:ind w:left="480" w:hanging="480"/>
        <w:rPr>
          <w:noProof/>
        </w:rPr>
      </w:pPr>
      <w:r w:rsidRPr="00EE6DBF">
        <w:rPr>
          <w:noProof/>
        </w:rPr>
        <w:t xml:space="preserve">Yildirim, I. (2012). Bayesian Inference: Gibbs Sampling. </w:t>
      </w:r>
      <w:r w:rsidRPr="00EE6DBF">
        <w:rPr>
          <w:i/>
          <w:iCs/>
          <w:noProof/>
        </w:rPr>
        <w:t xml:space="preserve">Technical Note, University of </w:t>
      </w:r>
      <w:r w:rsidRPr="00EE6DBF">
        <w:rPr>
          <w:i/>
          <w:iCs/>
          <w:noProof/>
        </w:rPr>
        <w:lastRenderedPageBreak/>
        <w:t>Rochester</w:t>
      </w:r>
      <w:r w:rsidRPr="00EE6DBF">
        <w:rPr>
          <w:noProof/>
        </w:rPr>
        <w:t>. Retrieved from http://www.mit.edu/~ilkery/papers/GibbsSampling.pdf</w:t>
      </w:r>
    </w:p>
    <w:p w14:paraId="58EFBD0B" w14:textId="77777777" w:rsidR="00EE6DBF" w:rsidRPr="00EE6DBF" w:rsidRDefault="00EE6DBF" w:rsidP="00EE6DBF">
      <w:pPr>
        <w:widowControl w:val="0"/>
        <w:autoSpaceDE w:val="0"/>
        <w:autoSpaceDN w:val="0"/>
        <w:adjustRightInd w:val="0"/>
        <w:spacing w:line="480" w:lineRule="auto"/>
        <w:ind w:left="480" w:hanging="480"/>
        <w:rPr>
          <w:noProof/>
        </w:rPr>
      </w:pPr>
      <w:r w:rsidRPr="00EE6DBF">
        <w:rPr>
          <w:noProof/>
        </w:rPr>
        <w:t xml:space="preserve">Yodzis, P. (1998). Local trophodynamics and the interaction of marine mammals and fisheries in the Benguela ecosystem. </w:t>
      </w:r>
      <w:r w:rsidRPr="00EE6DBF">
        <w:rPr>
          <w:i/>
          <w:iCs/>
          <w:noProof/>
        </w:rPr>
        <w:t>Journal of Animal Ecology</w:t>
      </w:r>
      <w:r w:rsidRPr="00EE6DBF">
        <w:rPr>
          <w:noProof/>
        </w:rPr>
        <w:t xml:space="preserve">, </w:t>
      </w:r>
      <w:r w:rsidRPr="00EE6DBF">
        <w:rPr>
          <w:i/>
          <w:iCs/>
          <w:noProof/>
        </w:rPr>
        <w:t>67</w:t>
      </w:r>
      <w:r w:rsidRPr="00EE6DBF">
        <w:rPr>
          <w:noProof/>
        </w:rPr>
        <w:t>(4), 635–658. https://doi.org/10.1046/j.1365-2656.1998.00224.x</w:t>
      </w:r>
    </w:p>
    <w:p w14:paraId="00342CBC" w14:textId="77777777" w:rsidR="00EE6DBF" w:rsidRPr="00EE6DBF" w:rsidRDefault="00EE6DBF" w:rsidP="00EE6DBF">
      <w:pPr>
        <w:widowControl w:val="0"/>
        <w:autoSpaceDE w:val="0"/>
        <w:autoSpaceDN w:val="0"/>
        <w:adjustRightInd w:val="0"/>
        <w:spacing w:line="480" w:lineRule="auto"/>
        <w:ind w:left="480" w:hanging="480"/>
        <w:rPr>
          <w:noProof/>
        </w:rPr>
      </w:pPr>
      <w:r w:rsidRPr="00EE6DBF">
        <w:rPr>
          <w:noProof/>
        </w:rPr>
        <w:t xml:space="preserve">Yodzis, P., &amp; Winemiller, K. O. (1999). In Search of Operational Trophospecies in a Tropical Aquatic Food Web. </w:t>
      </w:r>
      <w:r w:rsidRPr="00EE6DBF">
        <w:rPr>
          <w:i/>
          <w:iCs/>
          <w:noProof/>
        </w:rPr>
        <w:t>Oikos</w:t>
      </w:r>
      <w:r w:rsidRPr="00EE6DBF">
        <w:rPr>
          <w:noProof/>
        </w:rPr>
        <w:t xml:space="preserve">, </w:t>
      </w:r>
      <w:r w:rsidRPr="00EE6DBF">
        <w:rPr>
          <w:i/>
          <w:iCs/>
          <w:noProof/>
        </w:rPr>
        <w:t>87</w:t>
      </w:r>
      <w:r w:rsidRPr="00EE6DBF">
        <w:rPr>
          <w:noProof/>
        </w:rPr>
        <w:t>(2), 327–340.</w:t>
      </w:r>
    </w:p>
    <w:p w14:paraId="0491516C" w14:textId="6CA4E4B0" w:rsidR="002F2096" w:rsidRDefault="00862118" w:rsidP="00EE6DBF">
      <w:pPr>
        <w:widowControl w:val="0"/>
        <w:autoSpaceDE w:val="0"/>
        <w:autoSpaceDN w:val="0"/>
        <w:adjustRightInd w:val="0"/>
        <w:spacing w:line="480" w:lineRule="auto"/>
        <w:ind w:left="480" w:hanging="480"/>
        <w:rPr>
          <w:b/>
          <w:bCs/>
        </w:rPr>
      </w:pPr>
      <w:r>
        <w:fldChar w:fldCharType="end"/>
      </w:r>
      <w:r w:rsidR="00302C5D">
        <w:rPr>
          <w:b/>
          <w:bCs/>
        </w:rPr>
        <w:t>Figures &amp; table</w:t>
      </w:r>
    </w:p>
    <w:p w14:paraId="66D307A9" w14:textId="77777777" w:rsidR="0092698C" w:rsidRDefault="0092698C" w:rsidP="0092698C"/>
    <w:p w14:paraId="16F5D9B6" w14:textId="2CF53326" w:rsidR="009F47DC" w:rsidRDefault="0092698C" w:rsidP="0092698C">
      <w:r>
        <w:rPr>
          <w:noProof/>
          <w:lang w:val="hu-HU" w:eastAsia="hu-HU"/>
        </w:rPr>
        <w:drawing>
          <wp:inline distT="0" distB="0" distL="0" distR="0" wp14:anchorId="4B248E90" wp14:editId="5176E9A2">
            <wp:extent cx="5731510" cy="3071495"/>
            <wp:effectExtent l="0" t="0" r="0" b="1905"/>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071495"/>
                    </a:xfrm>
                    <a:prstGeom prst="rect">
                      <a:avLst/>
                    </a:prstGeom>
                  </pic:spPr>
                </pic:pic>
              </a:graphicData>
            </a:graphic>
          </wp:inline>
        </w:drawing>
      </w:r>
    </w:p>
    <w:p w14:paraId="55B7F9B1" w14:textId="668DF0DD" w:rsidR="0092698C" w:rsidRDefault="0092698C" w:rsidP="0092698C">
      <w:r>
        <w:t xml:space="preserve">Figure 1. </w:t>
      </w:r>
      <w:r w:rsidR="00DA78C4" w:rsidRPr="00DA78C4">
        <w:t>Size of the food webs we used in our study.</w:t>
      </w:r>
    </w:p>
    <w:p w14:paraId="6E5E44AB" w14:textId="7CFEE24C" w:rsidR="00EF2FF8" w:rsidRDefault="00EF2FF8" w:rsidP="0092698C"/>
    <w:p w14:paraId="593C7E2F" w14:textId="3AAC5AD4" w:rsidR="00EF2FF8" w:rsidRDefault="00412EA2" w:rsidP="0092698C">
      <w:r>
        <w:rPr>
          <w:noProof/>
          <w:lang w:val="hu-HU" w:eastAsia="hu-HU"/>
        </w:rPr>
        <w:lastRenderedPageBreak/>
        <w:drawing>
          <wp:inline distT="0" distB="0" distL="0" distR="0" wp14:anchorId="5146F485" wp14:editId="74D3CB75">
            <wp:extent cx="5731510" cy="3071495"/>
            <wp:effectExtent l="0" t="0" r="0" b="1905"/>
            <wp:docPr id="3" name="Picture 3" descr="Graphical user interfac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chart, histo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071495"/>
                    </a:xfrm>
                    <a:prstGeom prst="rect">
                      <a:avLst/>
                    </a:prstGeom>
                  </pic:spPr>
                </pic:pic>
              </a:graphicData>
            </a:graphic>
          </wp:inline>
        </w:drawing>
      </w:r>
    </w:p>
    <w:p w14:paraId="012550B5" w14:textId="07442662" w:rsidR="00412EA2" w:rsidRDefault="00412EA2" w:rsidP="0092698C">
      <w:r>
        <w:t xml:space="preserve">Figure 2. </w:t>
      </w:r>
      <w:r w:rsidRPr="00412EA2">
        <w:t>Size of the clusters produced by the different clustering methods. (a) = hierarchical clustering with Jaccard index, (b) = hierarchical clustering with REGE index, (c) = maximisation of density-based modularity, (d) = maximisation of prey-based modularity, (e) = maximisation of predator-based modularity, (f) = group model.</w:t>
      </w:r>
    </w:p>
    <w:p w14:paraId="5C812E3B" w14:textId="312C7428" w:rsidR="00412EA2" w:rsidRDefault="00412EA2" w:rsidP="0092698C"/>
    <w:p w14:paraId="1170E5E5" w14:textId="4E1D55D9" w:rsidR="00412EA2" w:rsidRDefault="00A412F6" w:rsidP="0092698C">
      <w:r>
        <w:rPr>
          <w:noProof/>
          <w:lang w:val="hu-HU" w:eastAsia="hu-HU"/>
        </w:rPr>
        <w:drawing>
          <wp:inline distT="0" distB="0" distL="0" distR="0" wp14:anchorId="56733268" wp14:editId="695495E1">
            <wp:extent cx="5731510" cy="3512820"/>
            <wp:effectExtent l="0" t="0" r="0" b="5080"/>
            <wp:docPr id="13" name="Picture 1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512820"/>
                    </a:xfrm>
                    <a:prstGeom prst="rect">
                      <a:avLst/>
                    </a:prstGeom>
                  </pic:spPr>
                </pic:pic>
              </a:graphicData>
            </a:graphic>
          </wp:inline>
        </w:drawing>
      </w:r>
    </w:p>
    <w:p w14:paraId="68398EBD" w14:textId="5B1E42DA" w:rsidR="00376CE3" w:rsidRDefault="00376CE3" w:rsidP="0092698C">
      <w:r>
        <w:t xml:space="preserve">Figure 3. </w:t>
      </w:r>
      <w:r w:rsidR="00E77958" w:rsidRPr="003C69A8">
        <w:t>Kendall’s</w:t>
      </w:r>
      <w:r w:rsidR="003C69A8" w:rsidRPr="003C69A8">
        <w:t xml:space="preserve"> rank correlation (τ) between the ranking of the nodes in the original food web and in the aggregated food web. </w:t>
      </w:r>
      <w:r w:rsidR="0040283E">
        <w:t xml:space="preserve">The x-axis describes the </w:t>
      </w:r>
      <w:r w:rsidR="003C69A8" w:rsidRPr="003C69A8">
        <w:t xml:space="preserve">aggregation </w:t>
      </w:r>
      <w:r w:rsidR="00E77958" w:rsidRPr="003C69A8">
        <w:t xml:space="preserve">method, </w:t>
      </w:r>
      <w:r w:rsidR="0040283E">
        <w:t xml:space="preserve">which is composed of </w:t>
      </w:r>
      <w:r w:rsidR="003C69A8" w:rsidRPr="003C69A8">
        <w:t>three components</w:t>
      </w:r>
      <w:r w:rsidR="00802957">
        <w:t>: (i)</w:t>
      </w:r>
      <w:r w:rsidR="003C69A8" w:rsidRPr="003C69A8">
        <w:t xml:space="preserve"> clustering algorithm</w:t>
      </w:r>
      <w:r w:rsidR="00802957">
        <w:t>; (ii)</w:t>
      </w:r>
      <w:r w:rsidR="003C69A8" w:rsidRPr="003C69A8">
        <w:t xml:space="preserve"> linkage method</w:t>
      </w:r>
      <w:r w:rsidR="00802957">
        <w:t>; and (iii) and</w:t>
      </w:r>
      <w:r w:rsidR="003C69A8" w:rsidRPr="003C69A8">
        <w:t xml:space="preserve"> interaction strength</w:t>
      </w:r>
      <w:r w:rsidR="00EB19A1">
        <w:t xml:space="preserve"> method</w:t>
      </w:r>
      <w:r w:rsidR="003C69A8" w:rsidRPr="003C69A8">
        <w:t xml:space="preserve">. </w:t>
      </w:r>
      <w:r w:rsidR="00E77958" w:rsidRPr="003C69A8">
        <w:t>Jaccard</w:t>
      </w:r>
      <w:r w:rsidR="003C69A8" w:rsidRPr="003C69A8">
        <w:t xml:space="preserve"> = </w:t>
      </w:r>
      <w:r w:rsidR="00E77958">
        <w:t>h</w:t>
      </w:r>
      <w:r w:rsidR="00E77958" w:rsidRPr="003C69A8">
        <w:t>ierarchical</w:t>
      </w:r>
      <w:r w:rsidR="003C69A8" w:rsidRPr="003C69A8">
        <w:t xml:space="preserve"> clustering using Jaccard </w:t>
      </w:r>
      <w:r w:rsidR="00DF1283" w:rsidRPr="003C69A8">
        <w:t>index, REGE</w:t>
      </w:r>
      <w:r w:rsidR="003C69A8" w:rsidRPr="003C69A8">
        <w:t xml:space="preserve"> = Hierarchical clustering using REGE </w:t>
      </w:r>
      <w:r w:rsidR="00DF1283" w:rsidRPr="003C69A8">
        <w:t>index, density</w:t>
      </w:r>
      <w:r w:rsidR="003C69A8" w:rsidRPr="003C69A8">
        <w:t xml:space="preserve"> = clustering of density-based </w:t>
      </w:r>
      <w:r w:rsidR="00DF1283" w:rsidRPr="003C69A8">
        <w:t>modules, prey</w:t>
      </w:r>
      <w:r w:rsidR="003C69A8" w:rsidRPr="003C69A8">
        <w:t xml:space="preserve"> = clustering of prey-based </w:t>
      </w:r>
      <w:r w:rsidR="00DF1283" w:rsidRPr="003C69A8">
        <w:t>modules, predator</w:t>
      </w:r>
      <w:r w:rsidR="003C69A8" w:rsidRPr="003C69A8">
        <w:t xml:space="preserve"> = clustering of predator-based </w:t>
      </w:r>
      <w:r w:rsidR="00DF1283" w:rsidRPr="003C69A8">
        <w:t>modules, groups</w:t>
      </w:r>
      <w:r w:rsidR="003C69A8" w:rsidRPr="003C69A8">
        <w:t xml:space="preserve"> = clustering of groups.</w:t>
      </w:r>
      <w:r w:rsidR="00E77958">
        <w:t xml:space="preserve"> </w:t>
      </w:r>
      <w:r w:rsidR="003C69A8" w:rsidRPr="003C69A8">
        <w:t xml:space="preserve">NMAX = maximum </w:t>
      </w:r>
      <w:r w:rsidR="00E77958" w:rsidRPr="003C69A8">
        <w:t>linkage</w:t>
      </w:r>
      <w:r w:rsidR="00A32EF8">
        <w:t xml:space="preserve"> method</w:t>
      </w:r>
      <w:r w:rsidR="00E77958" w:rsidRPr="003C69A8">
        <w:t>, 25</w:t>
      </w:r>
      <w:r w:rsidR="003C69A8" w:rsidRPr="003C69A8">
        <w:t xml:space="preserve">% = at least 25% of </w:t>
      </w:r>
      <w:r w:rsidR="003C69A8" w:rsidRPr="003C69A8">
        <w:lastRenderedPageBreak/>
        <w:t xml:space="preserve">links realised to consider a </w:t>
      </w:r>
      <w:r w:rsidR="00E77958" w:rsidRPr="003C69A8">
        <w:t>connection, 50</w:t>
      </w:r>
      <w:r w:rsidR="003C69A8" w:rsidRPr="003C69A8">
        <w:t xml:space="preserve">% = at least 25% of links realised to consider a </w:t>
      </w:r>
      <w:r w:rsidR="00DF1283" w:rsidRPr="003C69A8">
        <w:t>connection, 75</w:t>
      </w:r>
      <w:r w:rsidR="003C69A8" w:rsidRPr="003C69A8">
        <w:t xml:space="preserve">% = at least 75% of links realised to consider a </w:t>
      </w:r>
      <w:r w:rsidR="00DF1283" w:rsidRPr="003C69A8">
        <w:t>connection, NMIN</w:t>
      </w:r>
      <w:r w:rsidR="003C69A8" w:rsidRPr="003C69A8">
        <w:t xml:space="preserve"> = </w:t>
      </w:r>
      <w:r w:rsidR="00900316">
        <w:t>minimum linkage method</w:t>
      </w:r>
      <w:r w:rsidR="003C69A8" w:rsidRPr="003C69A8">
        <w:t>.</w:t>
      </w:r>
      <w:r w:rsidR="00E77958">
        <w:t xml:space="preserve"> </w:t>
      </w:r>
      <w:r w:rsidR="003C69A8" w:rsidRPr="003C69A8">
        <w:t xml:space="preserve">min = minimum interaction </w:t>
      </w:r>
      <w:r w:rsidR="001A3BEE" w:rsidRPr="003C69A8">
        <w:t>strength, max</w:t>
      </w:r>
      <w:r w:rsidR="003C69A8" w:rsidRPr="003C69A8">
        <w:t xml:space="preserve"> = maximum interaction </w:t>
      </w:r>
      <w:r w:rsidR="00DF1283" w:rsidRPr="003C69A8">
        <w:t>strength, sum</w:t>
      </w:r>
      <w:r w:rsidR="003C69A8" w:rsidRPr="003C69A8">
        <w:t xml:space="preserve"> = sum of interaction </w:t>
      </w:r>
      <w:r w:rsidR="00DF1283" w:rsidRPr="003C69A8">
        <w:t>strength</w:t>
      </w:r>
      <w:r w:rsidR="004828ED">
        <w:t>s</w:t>
      </w:r>
      <w:r w:rsidR="00DF1283" w:rsidRPr="003C69A8">
        <w:t>, mean</w:t>
      </w:r>
      <w:r w:rsidR="003C69A8" w:rsidRPr="003C69A8">
        <w:t xml:space="preserve"> = mean interaction </w:t>
      </w:r>
      <w:r w:rsidR="00E77958" w:rsidRPr="003C69A8">
        <w:t xml:space="preserve">strength. </w:t>
      </w:r>
      <w:r w:rsidR="007578D9">
        <w:t xml:space="preserve">The </w:t>
      </w:r>
      <w:r w:rsidR="007578D9" w:rsidRPr="003C69A8">
        <w:t>y</w:t>
      </w:r>
      <w:r w:rsidR="007578D9">
        <w:t>-</w:t>
      </w:r>
      <w:r w:rsidR="007578D9" w:rsidRPr="003C69A8">
        <w:t>axis</w:t>
      </w:r>
      <w:r w:rsidR="007578D9">
        <w:t xml:space="preserve"> describes the importance </w:t>
      </w:r>
      <w:r w:rsidR="007578D9" w:rsidRPr="003C69A8">
        <w:t xml:space="preserve">indices. </w:t>
      </w:r>
      <m:oMath>
        <m:r>
          <w:rPr>
            <w:rFonts w:ascii="Cambria Math" w:hAnsi="Cambria Math"/>
          </w:rPr>
          <m:t>DC</m:t>
        </m:r>
      </m:oMath>
      <w:r w:rsidR="003C69A8" w:rsidRPr="003C69A8">
        <w:t xml:space="preserve"> = degree centrality,  </w:t>
      </w:r>
      <m:oMath>
        <m:r>
          <w:rPr>
            <w:rFonts w:ascii="Cambria Math" w:hAnsi="Cambria Math"/>
          </w:rPr>
          <m:t>wDC</m:t>
        </m:r>
      </m:oMath>
      <w:r w:rsidR="003C69A8" w:rsidRPr="003C69A8">
        <w:t xml:space="preserve"> = weighted degree centrality,  </w:t>
      </w:r>
      <m:oMath>
        <m:r>
          <w:rPr>
            <w:rFonts w:ascii="Cambria Math" w:hAnsi="Cambria Math"/>
          </w:rPr>
          <m:t>CC</m:t>
        </m:r>
      </m:oMath>
      <w:r w:rsidR="003C69A8" w:rsidRPr="003C69A8">
        <w:t xml:space="preserve"> = closeness centrality,  </w:t>
      </w:r>
      <m:oMath>
        <m:r>
          <w:rPr>
            <w:rFonts w:ascii="Cambria Math" w:hAnsi="Cambria Math"/>
          </w:rPr>
          <m:t>BC</m:t>
        </m:r>
      </m:oMath>
      <w:r w:rsidR="003C69A8" w:rsidRPr="003C69A8">
        <w:t xml:space="preserve"> = betweenness centrality,  </w:t>
      </w:r>
      <m:oMath>
        <m:r>
          <w:rPr>
            <w:rFonts w:ascii="Cambria Math" w:hAnsi="Cambria Math"/>
          </w:rPr>
          <m:t>s</m:t>
        </m:r>
      </m:oMath>
      <w:r w:rsidR="003C69A8" w:rsidRPr="003C69A8">
        <w:t xml:space="preserve"> = status index,  </w:t>
      </w:r>
      <m:oMath>
        <m:r>
          <w:rPr>
            <w:rFonts w:ascii="Cambria Math" w:hAnsi="Cambria Math"/>
          </w:rPr>
          <m:t>s’</m:t>
        </m:r>
      </m:oMath>
      <w:r w:rsidR="003C69A8" w:rsidRPr="003C69A8">
        <w:t xml:space="preserve"> = </w:t>
      </w:r>
      <w:r w:rsidR="00E77958">
        <w:t xml:space="preserve">contrastatus </w:t>
      </w:r>
      <w:r w:rsidR="003C69A8" w:rsidRPr="003C69A8">
        <w:t xml:space="preserve">index,  </w:t>
      </w:r>
      <m:oMath>
        <m:r>
          <m:rPr>
            <m:sty m:val="p"/>
          </m:rPr>
          <w:rPr>
            <w:rFonts w:ascii="Cambria Math" w:hAnsi="Cambria Math"/>
          </w:rPr>
          <m:t>Δ</m:t>
        </m:r>
        <m:r>
          <w:rPr>
            <w:rFonts w:ascii="Cambria Math" w:hAnsi="Cambria Math"/>
          </w:rPr>
          <m:t>s</m:t>
        </m:r>
      </m:oMath>
      <w:r w:rsidR="003C69A8" w:rsidRPr="003C69A8">
        <w:t xml:space="preserve"> = net status index,  </w:t>
      </w:r>
      <m:oMath>
        <m:r>
          <w:rPr>
            <w:rFonts w:ascii="Cambria Math" w:hAnsi="Cambria Math"/>
          </w:rPr>
          <m:t>k</m:t>
        </m:r>
      </m:oMath>
      <w:r w:rsidR="003C69A8" w:rsidRPr="003C69A8">
        <w:t xml:space="preserve"> = keystone index,  </w:t>
      </w:r>
      <m:oMath>
        <m:sSub>
          <m:sSubPr>
            <m:ctrlPr>
              <w:rPr>
                <w:rFonts w:ascii="Cambria Math" w:hAnsi="Cambria Math"/>
                <w:i/>
              </w:rPr>
            </m:ctrlPr>
          </m:sSubPr>
          <m:e>
            <m:r>
              <w:rPr>
                <w:rFonts w:ascii="Cambria Math" w:hAnsi="Cambria Math"/>
              </w:rPr>
              <m:t>k</m:t>
            </m:r>
          </m:e>
          <m:sub>
            <m:r>
              <w:rPr>
                <w:rFonts w:ascii="Cambria Math" w:hAnsi="Cambria Math"/>
              </w:rPr>
              <m:t>bu</m:t>
            </m:r>
          </m:sub>
        </m:sSub>
      </m:oMath>
      <w:r w:rsidR="003C69A8" w:rsidRPr="003C69A8">
        <w:t xml:space="preserve"> = bottom-up keystone index,  </w:t>
      </w:r>
      <m:oMath>
        <m:sSub>
          <m:sSubPr>
            <m:ctrlPr>
              <w:rPr>
                <w:rFonts w:ascii="Cambria Math" w:hAnsi="Cambria Math"/>
                <w:i/>
              </w:rPr>
            </m:ctrlPr>
          </m:sSubPr>
          <m:e>
            <m:r>
              <w:rPr>
                <w:rFonts w:ascii="Cambria Math" w:hAnsi="Cambria Math"/>
              </w:rPr>
              <m:t>k</m:t>
            </m:r>
          </m:e>
          <m:sub>
            <m:r>
              <w:rPr>
                <w:rFonts w:ascii="Cambria Math" w:hAnsi="Cambria Math"/>
              </w:rPr>
              <m:t>td</m:t>
            </m:r>
          </m:sub>
        </m:sSub>
      </m:oMath>
      <w:r w:rsidR="003C69A8" w:rsidRPr="003C69A8">
        <w:t xml:space="preserve"> = top-down keystone index,  </w:t>
      </w:r>
      <m:oMath>
        <m:sSub>
          <m:sSubPr>
            <m:ctrlPr>
              <w:rPr>
                <w:rFonts w:ascii="Cambria Math" w:hAnsi="Cambria Math"/>
                <w:i/>
              </w:rPr>
            </m:ctrlPr>
          </m:sSubPr>
          <m:e>
            <m:r>
              <w:rPr>
                <w:rFonts w:ascii="Cambria Math" w:hAnsi="Cambria Math"/>
              </w:rPr>
              <m:t>k</m:t>
            </m:r>
          </m:e>
          <m:sub>
            <m:r>
              <w:rPr>
                <w:rFonts w:ascii="Cambria Math" w:hAnsi="Cambria Math"/>
              </w:rPr>
              <m:t>dir</m:t>
            </m:r>
          </m:sub>
        </m:sSub>
      </m:oMath>
      <w:r w:rsidR="003C69A8" w:rsidRPr="003C69A8">
        <w:t xml:space="preserve"> = directed keystone index,  </w:t>
      </w:r>
      <m:oMath>
        <m:sSub>
          <m:sSubPr>
            <m:ctrlPr>
              <w:rPr>
                <w:rFonts w:ascii="Cambria Math" w:hAnsi="Cambria Math"/>
                <w:i/>
              </w:rPr>
            </m:ctrlPr>
          </m:sSubPr>
          <m:e>
            <m:r>
              <w:rPr>
                <w:rFonts w:ascii="Cambria Math" w:hAnsi="Cambria Math"/>
              </w:rPr>
              <m:t>k</m:t>
            </m:r>
          </m:e>
          <m:sub>
            <m:r>
              <w:rPr>
                <w:rFonts w:ascii="Cambria Math" w:hAnsi="Cambria Math"/>
              </w:rPr>
              <m:t>indir</m:t>
            </m:r>
          </m:sub>
        </m:sSub>
      </m:oMath>
      <w:r w:rsidR="003C69A8" w:rsidRPr="003C69A8">
        <w:t xml:space="preserve"> = indirected keystone index,  </w:t>
      </w:r>
      <m:oMath>
        <m:r>
          <w:rPr>
            <w:rFonts w:ascii="Cambria Math" w:hAnsi="Cambria Math"/>
          </w:rPr>
          <m:t>T</m:t>
        </m:r>
        <m:sSup>
          <m:sSupPr>
            <m:ctrlPr>
              <w:rPr>
                <w:rFonts w:ascii="Cambria Math" w:hAnsi="Cambria Math"/>
                <w:i/>
              </w:rPr>
            </m:ctrlPr>
          </m:sSupPr>
          <m:e>
            <m:r>
              <w:rPr>
                <w:rFonts w:ascii="Cambria Math" w:hAnsi="Cambria Math"/>
              </w:rPr>
              <m:t>I</m:t>
            </m:r>
          </m:e>
          <m:sup>
            <m:r>
              <w:rPr>
                <w:rFonts w:ascii="Cambria Math" w:hAnsi="Cambria Math"/>
              </w:rPr>
              <m:t>1</m:t>
            </m:r>
          </m:sup>
        </m:sSup>
      </m:oMath>
      <w:r w:rsidR="003C69A8" w:rsidRPr="003C69A8">
        <w:t xml:space="preserve"> = 1-step topological </w:t>
      </w:r>
      <w:r w:rsidR="00294607" w:rsidRPr="003C69A8">
        <w:t>importance</w:t>
      </w:r>
      <w:r w:rsidR="003C69A8" w:rsidRPr="003C69A8">
        <w:t xml:space="preserve">,  </w:t>
      </w:r>
      <m:oMath>
        <m:r>
          <w:rPr>
            <w:rFonts w:ascii="Cambria Math" w:hAnsi="Cambria Math"/>
          </w:rPr>
          <m:t>T</m:t>
        </m:r>
        <m:sSup>
          <m:sSupPr>
            <m:ctrlPr>
              <w:rPr>
                <w:rFonts w:ascii="Cambria Math" w:hAnsi="Cambria Math"/>
                <w:i/>
              </w:rPr>
            </m:ctrlPr>
          </m:sSupPr>
          <m:e>
            <m:r>
              <w:rPr>
                <w:rFonts w:ascii="Cambria Math" w:hAnsi="Cambria Math"/>
              </w:rPr>
              <m:t>I</m:t>
            </m:r>
          </m:e>
          <m:sup>
            <m:r>
              <w:rPr>
                <w:rFonts w:ascii="Cambria Math" w:hAnsi="Cambria Math"/>
              </w:rPr>
              <m:t>3</m:t>
            </m:r>
          </m:sup>
        </m:sSup>
      </m:oMath>
      <w:r w:rsidR="003C69A8" w:rsidRPr="003C69A8">
        <w:t xml:space="preserve"> = 3-step topological importance,  </w:t>
      </w:r>
      <m:oMath>
        <m:r>
          <w:rPr>
            <w:rFonts w:ascii="Cambria Math" w:hAnsi="Cambria Math"/>
          </w:rPr>
          <m:t>T</m:t>
        </m:r>
        <m:sSup>
          <m:sSupPr>
            <m:ctrlPr>
              <w:rPr>
                <w:rFonts w:ascii="Cambria Math" w:hAnsi="Cambria Math"/>
                <w:i/>
              </w:rPr>
            </m:ctrlPr>
          </m:sSupPr>
          <m:e>
            <m:r>
              <w:rPr>
                <w:rFonts w:ascii="Cambria Math" w:hAnsi="Cambria Math"/>
              </w:rPr>
              <m:t>I</m:t>
            </m:r>
          </m:e>
          <m:sup>
            <m:r>
              <w:rPr>
                <w:rFonts w:ascii="Cambria Math" w:hAnsi="Cambria Math"/>
              </w:rPr>
              <m:t>5</m:t>
            </m:r>
          </m:sup>
        </m:sSup>
      </m:oMath>
      <w:r w:rsidR="003C69A8" w:rsidRPr="003C69A8">
        <w:t xml:space="preserve"> = 5-step topological importance,  </w:t>
      </w:r>
      <m:oMath>
        <m:r>
          <w:rPr>
            <w:rFonts w:ascii="Cambria Math" w:hAnsi="Cambria Math"/>
          </w:rPr>
          <m:t>W</m:t>
        </m:r>
        <m:sSup>
          <m:sSupPr>
            <m:ctrlPr>
              <w:rPr>
                <w:rFonts w:ascii="Cambria Math" w:hAnsi="Cambria Math"/>
                <w:i/>
              </w:rPr>
            </m:ctrlPr>
          </m:sSupPr>
          <m:e>
            <m:r>
              <w:rPr>
                <w:rFonts w:ascii="Cambria Math" w:hAnsi="Cambria Math"/>
              </w:rPr>
              <m:t>I</m:t>
            </m:r>
          </m:e>
          <m:sup>
            <m:r>
              <w:rPr>
                <w:rFonts w:ascii="Cambria Math" w:hAnsi="Cambria Math"/>
              </w:rPr>
              <m:t>1</m:t>
            </m:r>
          </m:sup>
        </m:sSup>
      </m:oMath>
      <w:r w:rsidR="003C69A8" w:rsidRPr="003C69A8">
        <w:t xml:space="preserve"> = 1-step weighted topological importance,  </w:t>
      </w:r>
      <m:oMath>
        <m:r>
          <w:rPr>
            <w:rFonts w:ascii="Cambria Math" w:hAnsi="Cambria Math"/>
          </w:rPr>
          <m:t>W</m:t>
        </m:r>
        <m:sSup>
          <m:sSupPr>
            <m:ctrlPr>
              <w:rPr>
                <w:rFonts w:ascii="Cambria Math" w:hAnsi="Cambria Math"/>
                <w:i/>
              </w:rPr>
            </m:ctrlPr>
          </m:sSupPr>
          <m:e>
            <m:r>
              <w:rPr>
                <w:rFonts w:ascii="Cambria Math" w:hAnsi="Cambria Math"/>
              </w:rPr>
              <m:t>I</m:t>
            </m:r>
          </m:e>
          <m:sup>
            <m:r>
              <w:rPr>
                <w:rFonts w:ascii="Cambria Math" w:hAnsi="Cambria Math"/>
              </w:rPr>
              <m:t>3</m:t>
            </m:r>
          </m:sup>
        </m:sSup>
      </m:oMath>
      <w:r w:rsidR="003C69A8" w:rsidRPr="003C69A8">
        <w:t xml:space="preserve"> = 3-step weighted topological importance,  </w:t>
      </w:r>
      <m:oMath>
        <m:r>
          <w:rPr>
            <w:rFonts w:ascii="Cambria Math" w:hAnsi="Cambria Math"/>
          </w:rPr>
          <m:t>W</m:t>
        </m:r>
        <m:sSup>
          <m:sSupPr>
            <m:ctrlPr>
              <w:rPr>
                <w:rFonts w:ascii="Cambria Math" w:hAnsi="Cambria Math"/>
                <w:i/>
              </w:rPr>
            </m:ctrlPr>
          </m:sSupPr>
          <m:e>
            <m:r>
              <w:rPr>
                <w:rFonts w:ascii="Cambria Math" w:hAnsi="Cambria Math"/>
              </w:rPr>
              <m:t>I</m:t>
            </m:r>
          </m:e>
          <m:sup>
            <m:r>
              <w:rPr>
                <w:rFonts w:ascii="Cambria Math" w:hAnsi="Cambria Math"/>
              </w:rPr>
              <m:t>5</m:t>
            </m:r>
          </m:sup>
        </m:sSup>
      </m:oMath>
      <w:r w:rsidR="003C69A8" w:rsidRPr="003C69A8">
        <w:t xml:space="preserve"> = 5-step weighted topological importance,  </w:t>
      </w:r>
      <m:oMath>
        <m:r>
          <w:rPr>
            <w:rFonts w:ascii="Cambria Math" w:hAnsi="Cambria Math"/>
          </w:rPr>
          <m:t>ST</m:t>
        </m:r>
        <m:sSup>
          <m:sSupPr>
            <m:ctrlPr>
              <w:rPr>
                <w:rFonts w:ascii="Cambria Math" w:hAnsi="Cambria Math"/>
                <w:i/>
              </w:rPr>
            </m:ctrlPr>
          </m:sSupPr>
          <m:e>
            <m:r>
              <w:rPr>
                <w:rFonts w:ascii="Cambria Math" w:hAnsi="Cambria Math"/>
              </w:rPr>
              <m:t>O</m:t>
            </m:r>
          </m:e>
          <m:sup>
            <m:r>
              <w:rPr>
                <w:rFonts w:ascii="Cambria Math" w:hAnsi="Cambria Math"/>
              </w:rPr>
              <m:t>1</m:t>
            </m:r>
          </m:sup>
        </m:sSup>
      </m:oMath>
      <w:r w:rsidR="003C69A8" w:rsidRPr="003C69A8">
        <w:t xml:space="preserve"> = 1-step species uniqueness,  </w:t>
      </w:r>
      <m:oMath>
        <m:r>
          <w:rPr>
            <w:rFonts w:ascii="Cambria Math" w:hAnsi="Cambria Math"/>
          </w:rPr>
          <m:t>ST</m:t>
        </m:r>
        <m:sSup>
          <m:sSupPr>
            <m:ctrlPr>
              <w:rPr>
                <w:rFonts w:ascii="Cambria Math" w:hAnsi="Cambria Math"/>
                <w:i/>
              </w:rPr>
            </m:ctrlPr>
          </m:sSupPr>
          <m:e>
            <m:r>
              <w:rPr>
                <w:rFonts w:ascii="Cambria Math" w:hAnsi="Cambria Math"/>
              </w:rPr>
              <m:t>O</m:t>
            </m:r>
          </m:e>
          <m:sup>
            <m:r>
              <w:rPr>
                <w:rFonts w:ascii="Cambria Math" w:hAnsi="Cambria Math"/>
              </w:rPr>
              <m:t>3</m:t>
            </m:r>
          </m:sup>
        </m:sSup>
      </m:oMath>
      <w:r w:rsidR="003C69A8" w:rsidRPr="003C69A8">
        <w:t xml:space="preserve"> = 3-step species uniqueness,  </w:t>
      </w:r>
      <m:oMath>
        <m:r>
          <w:rPr>
            <w:rFonts w:ascii="Cambria Math" w:hAnsi="Cambria Math"/>
          </w:rPr>
          <m:t>ST</m:t>
        </m:r>
        <m:sSup>
          <m:sSupPr>
            <m:ctrlPr>
              <w:rPr>
                <w:rFonts w:ascii="Cambria Math" w:hAnsi="Cambria Math"/>
                <w:i/>
              </w:rPr>
            </m:ctrlPr>
          </m:sSupPr>
          <m:e>
            <m:r>
              <w:rPr>
                <w:rFonts w:ascii="Cambria Math" w:hAnsi="Cambria Math"/>
              </w:rPr>
              <m:t>O</m:t>
            </m:r>
          </m:e>
          <m:sup>
            <m:r>
              <w:rPr>
                <w:rFonts w:ascii="Cambria Math" w:hAnsi="Cambria Math"/>
              </w:rPr>
              <m:t>5</m:t>
            </m:r>
          </m:sup>
        </m:sSup>
      </m:oMath>
      <w:r w:rsidR="003C69A8" w:rsidRPr="003C69A8">
        <w:t xml:space="preserve"> = 5-step species uniqueness,  </w:t>
      </w:r>
      <m:oMath>
        <m:r>
          <w:rPr>
            <w:rFonts w:ascii="Cambria Math" w:hAnsi="Cambria Math"/>
          </w:rPr>
          <m:t>wST</m:t>
        </m:r>
        <m:sSup>
          <m:sSupPr>
            <m:ctrlPr>
              <w:rPr>
                <w:rFonts w:ascii="Cambria Math" w:hAnsi="Cambria Math"/>
                <w:i/>
              </w:rPr>
            </m:ctrlPr>
          </m:sSupPr>
          <m:e>
            <m:r>
              <w:rPr>
                <w:rFonts w:ascii="Cambria Math" w:hAnsi="Cambria Math"/>
              </w:rPr>
              <m:t>O</m:t>
            </m:r>
          </m:e>
          <m:sup>
            <m:r>
              <w:rPr>
                <w:rFonts w:ascii="Cambria Math" w:hAnsi="Cambria Math"/>
              </w:rPr>
              <m:t>1</m:t>
            </m:r>
          </m:sup>
        </m:sSup>
      </m:oMath>
      <w:r w:rsidR="003C69A8" w:rsidRPr="003C69A8">
        <w:t xml:space="preserve"> = 1-step weighted species uniqueness,  </w:t>
      </w:r>
      <m:oMath>
        <m:r>
          <w:rPr>
            <w:rFonts w:ascii="Cambria Math" w:hAnsi="Cambria Math"/>
          </w:rPr>
          <m:t>wST</m:t>
        </m:r>
        <m:sSup>
          <m:sSupPr>
            <m:ctrlPr>
              <w:rPr>
                <w:rFonts w:ascii="Cambria Math" w:hAnsi="Cambria Math"/>
                <w:i/>
              </w:rPr>
            </m:ctrlPr>
          </m:sSupPr>
          <m:e>
            <m:r>
              <w:rPr>
                <w:rFonts w:ascii="Cambria Math" w:hAnsi="Cambria Math"/>
              </w:rPr>
              <m:t>O</m:t>
            </m:r>
          </m:e>
          <m:sup>
            <m:r>
              <w:rPr>
                <w:rFonts w:ascii="Cambria Math" w:hAnsi="Cambria Math"/>
              </w:rPr>
              <m:t>3</m:t>
            </m:r>
          </m:sup>
        </m:sSup>
      </m:oMath>
      <w:r w:rsidR="003C69A8" w:rsidRPr="003C69A8">
        <w:t xml:space="preserve"> = 3-step weighted species uniqueness,  </w:t>
      </w:r>
      <m:oMath>
        <m:r>
          <w:rPr>
            <w:rFonts w:ascii="Cambria Math" w:hAnsi="Cambria Math"/>
          </w:rPr>
          <m:t>wST</m:t>
        </m:r>
        <m:sSup>
          <m:sSupPr>
            <m:ctrlPr>
              <w:rPr>
                <w:rFonts w:ascii="Cambria Math" w:hAnsi="Cambria Math"/>
                <w:i/>
              </w:rPr>
            </m:ctrlPr>
          </m:sSupPr>
          <m:e>
            <m:r>
              <w:rPr>
                <w:rFonts w:ascii="Cambria Math" w:hAnsi="Cambria Math"/>
              </w:rPr>
              <m:t>O</m:t>
            </m:r>
          </m:e>
          <m:sup>
            <m:r>
              <w:rPr>
                <w:rFonts w:ascii="Cambria Math" w:hAnsi="Cambria Math"/>
              </w:rPr>
              <m:t>5</m:t>
            </m:r>
          </m:sup>
        </m:sSup>
      </m:oMath>
      <w:r w:rsidR="003C69A8" w:rsidRPr="003C69A8">
        <w:t xml:space="preserve"> = 5-step weighted species uniqueness</w:t>
      </w:r>
      <w:r w:rsidR="00294607">
        <w:t>.</w:t>
      </w:r>
    </w:p>
    <w:p w14:paraId="2361FC01" w14:textId="2099599A" w:rsidR="003C69A8" w:rsidRDefault="003C69A8" w:rsidP="0092698C"/>
    <w:p w14:paraId="360F3872" w14:textId="6545C960" w:rsidR="003C69A8" w:rsidRDefault="00881F60" w:rsidP="00E77958">
      <w:pPr>
        <w:jc w:val="center"/>
      </w:pPr>
      <w:r>
        <w:rPr>
          <w:noProof/>
          <w:lang w:val="hu-HU" w:eastAsia="hu-HU"/>
        </w:rPr>
        <w:drawing>
          <wp:inline distT="0" distB="0" distL="0" distR="0" wp14:anchorId="414B65FB" wp14:editId="78ACC4B1">
            <wp:extent cx="5731510" cy="3071495"/>
            <wp:effectExtent l="0" t="0" r="0" b="1905"/>
            <wp:docPr id="10" name="Picture 10"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071495"/>
                    </a:xfrm>
                    <a:prstGeom prst="rect">
                      <a:avLst/>
                    </a:prstGeom>
                  </pic:spPr>
                </pic:pic>
              </a:graphicData>
            </a:graphic>
          </wp:inline>
        </w:drawing>
      </w:r>
    </w:p>
    <w:p w14:paraId="51226D52" w14:textId="733FFDFF" w:rsidR="0014551F" w:rsidRDefault="008E7670" w:rsidP="0092698C">
      <w:r>
        <w:t xml:space="preserve">Figure 4. </w:t>
      </w:r>
      <w:r w:rsidRPr="008E7670">
        <w:t>Heat map of the best Kendall's rank correlation coefficient for each combination of clustering methods and centrality indices. The best correlation is selected across linkage methods and methods of determining interaction strength.</w:t>
      </w:r>
      <w:r w:rsidR="00312617">
        <w:t xml:space="preserve"> </w:t>
      </w:r>
      <w:r w:rsidR="009B1132" w:rsidRPr="003C69A8">
        <w:t xml:space="preserve">Jaccard = </w:t>
      </w:r>
      <w:r w:rsidR="009B1132">
        <w:t>h</w:t>
      </w:r>
      <w:r w:rsidR="009B1132" w:rsidRPr="003C69A8">
        <w:t>ierarchical clustering using Jaccard index, REGE = Hierarchical clustering using REGE index, density = clustering of density-based modules, prey = clustering of prey-based modules, predator = clustering of predator-based modules, groups = clustering of groups.</w:t>
      </w:r>
      <w:r w:rsidR="00381AB4">
        <w:t xml:space="preserve"> </w:t>
      </w:r>
      <w:r w:rsidR="00165EE5">
        <w:t xml:space="preserve">For the confidence intervals </w:t>
      </w:r>
      <w:r w:rsidR="009A1AB6">
        <w:t xml:space="preserve">associated with these values </w:t>
      </w:r>
      <w:r w:rsidR="00165EE5">
        <w:t xml:space="preserve">and </w:t>
      </w:r>
      <w:r w:rsidR="009A1AB6">
        <w:t xml:space="preserve">for </w:t>
      </w:r>
      <w:r w:rsidR="00165EE5">
        <w:t>the linkage method &amp; interaction strength method used</w:t>
      </w:r>
      <w:r w:rsidR="009A1AB6">
        <w:t>, see supporting information.</w:t>
      </w:r>
    </w:p>
    <w:p w14:paraId="65FC6883" w14:textId="1A5CF4B8" w:rsidR="001658C2" w:rsidRDefault="006B6DCD" w:rsidP="0092698C">
      <w:r>
        <w:rPr>
          <w:noProof/>
          <w:lang w:val="hu-HU" w:eastAsia="hu-HU"/>
        </w:rPr>
        <w:lastRenderedPageBreak/>
        <w:drawing>
          <wp:inline distT="0" distB="0" distL="0" distR="0" wp14:anchorId="00AAA19D" wp14:editId="5BFC9AB5">
            <wp:extent cx="5731510" cy="57315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2DC7A12A" w14:textId="408FB42F" w:rsidR="00E11F72" w:rsidRDefault="006B6DCD" w:rsidP="0092698C">
      <w:r>
        <w:t xml:space="preserve">Figure 5. </w:t>
      </w:r>
      <w:r w:rsidR="009E6973" w:rsidRPr="009E6973">
        <w:t xml:space="preserve">Effect of aggregation on most the most important nodes in a food web. Red: central before and central after. Orange: central before and not central after. Purple: not central before and central after. Blue: not central before and not central after. The self-loops are not included in the figure for clarity. (a) = </w:t>
      </w:r>
      <w:r w:rsidR="00E11F72">
        <w:t xml:space="preserve">hierarchical clustering using </w:t>
      </w:r>
      <w:r w:rsidR="00002CDB" w:rsidRPr="009E6973">
        <w:t>Jaccard</w:t>
      </w:r>
      <w:r w:rsidR="00E11F72">
        <w:t xml:space="preserve"> index</w:t>
      </w:r>
      <w:r w:rsidR="009E6973" w:rsidRPr="009E6973">
        <w:t xml:space="preserve">, (b) = </w:t>
      </w:r>
      <w:r w:rsidR="00E11F72">
        <w:t xml:space="preserve">hierarchical clustering using </w:t>
      </w:r>
      <w:r w:rsidR="00002CDB">
        <w:t>REGE</w:t>
      </w:r>
      <w:r w:rsidR="00E11F72">
        <w:t xml:space="preserve"> index</w:t>
      </w:r>
      <w:r w:rsidR="009E6973" w:rsidRPr="009E6973">
        <w:t xml:space="preserve">, (c) = </w:t>
      </w:r>
      <w:r w:rsidR="00F946C8">
        <w:t xml:space="preserve">clustering of </w:t>
      </w:r>
      <w:r w:rsidR="009E6973" w:rsidRPr="009E6973">
        <w:t xml:space="preserve">density-based modules, (d) = </w:t>
      </w:r>
      <w:r w:rsidR="00F946C8">
        <w:t xml:space="preserve">clustering of </w:t>
      </w:r>
      <w:r w:rsidR="009E6973" w:rsidRPr="009E6973">
        <w:t xml:space="preserve">prey-based modules, (e) = </w:t>
      </w:r>
      <w:r w:rsidR="00F946C8">
        <w:t xml:space="preserve">clustering of </w:t>
      </w:r>
      <w:r w:rsidR="009E6973" w:rsidRPr="009E6973">
        <w:t xml:space="preserve">predator-based modules, (f) = </w:t>
      </w:r>
      <w:r w:rsidR="00F946C8">
        <w:t xml:space="preserve">clustering of </w:t>
      </w:r>
      <w:r w:rsidR="009E6973" w:rsidRPr="009E6973">
        <w:t xml:space="preserve">groups. The food web </w:t>
      </w:r>
      <w:r w:rsidR="00FA17E9">
        <w:t xml:space="preserve">here depicted is the </w:t>
      </w:r>
      <w:r w:rsidR="009E6973" w:rsidRPr="009E6973">
        <w:t xml:space="preserve">one of the West Florida Shelf </w:t>
      </w:r>
      <w:r w:rsidR="00EE6DBF">
        <w:fldChar w:fldCharType="begin" w:fldLock="1"/>
      </w:r>
      <w:r w:rsidR="00EE6DBF">
        <w:instrText>ADDIN CSL_CITATION {"citationItems":[{"id":"ITEM-1","itemData":{"author":[{"dropping-particle":"","family":"Okey","given":"Thomas A.","non-dropping-particle":"","parse-names":false,"suffix":""}],"id":"ITEM-1","issued":{"date-parts":[["2004"]]},"title":"Simulating community effects of sea floor shading by plankton blooms over the West Florida Shelf","type":"article-journal"},"uris":["http://www.mendeley.com/documents/?uuid=72853244-8998-46b4-a33a-1dc61bda1201"]}],"mendeley":{"formattedCitation":"(Thomas A. Okey, 2004)","plainTextFormattedCitation":"(Thomas A. Okey, 2004)"},"properties":{"noteIndex":0},"schema":"https://github.com/citation-style-language/schema/raw/master/csl-citation.json"}</w:instrText>
      </w:r>
      <w:r w:rsidR="00EE6DBF">
        <w:fldChar w:fldCharType="separate"/>
      </w:r>
      <w:r w:rsidR="00EE6DBF" w:rsidRPr="00EE6DBF">
        <w:rPr>
          <w:noProof/>
        </w:rPr>
        <w:t>(Thomas A. Okey, 2004)</w:t>
      </w:r>
      <w:r w:rsidR="00EE6DBF">
        <w:fldChar w:fldCharType="end"/>
      </w:r>
      <w:r w:rsidR="00FB4971">
        <w:t xml:space="preserve">. It is </w:t>
      </w:r>
      <w:r w:rsidR="009E6973" w:rsidRPr="009E6973">
        <w:t xml:space="preserve">largest network used </w:t>
      </w:r>
      <w:r w:rsidR="00FB4971">
        <w:t xml:space="preserve">in this study </w:t>
      </w:r>
      <w:r w:rsidR="009E6973" w:rsidRPr="009E6973">
        <w:t>(55 nodes).</w:t>
      </w:r>
      <w:r w:rsidR="0004456A">
        <w:t xml:space="preserve"> </w:t>
      </w:r>
      <w:r w:rsidR="00774C58">
        <w:t xml:space="preserve">To make the figure clearer, we did not include the </w:t>
      </w:r>
      <w:r w:rsidR="0004456A" w:rsidRPr="00FF13A7">
        <w:t>self-loops</w:t>
      </w:r>
      <w:r w:rsidR="00774C58">
        <w:t>.</w:t>
      </w:r>
    </w:p>
    <w:p w14:paraId="4E56E331" w14:textId="42CDBC14" w:rsidR="003243CD" w:rsidRDefault="003243CD" w:rsidP="0092698C">
      <w:r>
        <w:rPr>
          <w:noProof/>
          <w:lang w:val="hu-HU" w:eastAsia="hu-HU"/>
        </w:rPr>
        <w:lastRenderedPageBreak/>
        <w:drawing>
          <wp:inline distT="0" distB="0" distL="0" distR="0" wp14:anchorId="6AED8C2F" wp14:editId="5C13609A">
            <wp:extent cx="5731510" cy="57315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415FCB5C" w14:textId="32DA44D5" w:rsidR="009F7CFC" w:rsidRDefault="003243CD" w:rsidP="0092698C">
      <w:r>
        <w:t>Figure 6.</w:t>
      </w:r>
      <w:r w:rsidR="00FF13A7">
        <w:t xml:space="preserve"> </w:t>
      </w:r>
      <w:r w:rsidR="00FF13A7" w:rsidRPr="00FF13A7">
        <w:t xml:space="preserve">Aggregation of the food web of Figure 5 according to different clustering </w:t>
      </w:r>
      <w:r w:rsidR="00A25E2E" w:rsidRPr="00FF13A7">
        <w:t>algorithms</w:t>
      </w:r>
      <w:r w:rsidR="00FF13A7" w:rsidRPr="00FF13A7">
        <w:t>.</w:t>
      </w:r>
      <w:r w:rsidR="008D2F40">
        <w:t xml:space="preserve"> </w:t>
      </w:r>
      <w:r w:rsidR="008D2F40" w:rsidRPr="009E6973">
        <w:t xml:space="preserve">(a) = </w:t>
      </w:r>
      <w:r w:rsidR="008D2F40">
        <w:t xml:space="preserve">hierarchical clustering using </w:t>
      </w:r>
      <w:r w:rsidR="008D2F40" w:rsidRPr="009E6973">
        <w:t>Jaccard</w:t>
      </w:r>
      <w:r w:rsidR="008D2F40">
        <w:t xml:space="preserve"> index</w:t>
      </w:r>
      <w:r w:rsidR="008D2F40" w:rsidRPr="009E6973">
        <w:t xml:space="preserve">, (b) = </w:t>
      </w:r>
      <w:r w:rsidR="008D2F40">
        <w:t>hierarchical clustering using REGE index</w:t>
      </w:r>
      <w:r w:rsidR="008D2F40" w:rsidRPr="009E6973">
        <w:t xml:space="preserve">, (c) = </w:t>
      </w:r>
      <w:r w:rsidR="008D2F40">
        <w:t xml:space="preserve">clustering of </w:t>
      </w:r>
      <w:r w:rsidR="008D2F40" w:rsidRPr="009E6973">
        <w:t xml:space="preserve">density-based modules, (d) = </w:t>
      </w:r>
      <w:r w:rsidR="008D2F40">
        <w:t xml:space="preserve">clustering of </w:t>
      </w:r>
      <w:r w:rsidR="008D2F40" w:rsidRPr="009E6973">
        <w:t xml:space="preserve">prey-based modules, (e) = </w:t>
      </w:r>
      <w:r w:rsidR="008D2F40">
        <w:t xml:space="preserve">clustering of </w:t>
      </w:r>
      <w:r w:rsidR="008D2F40" w:rsidRPr="009E6973">
        <w:t xml:space="preserve">predator-based modules, (f) = </w:t>
      </w:r>
      <w:r w:rsidR="008D2F40">
        <w:t xml:space="preserve">clustering of </w:t>
      </w:r>
      <w:r w:rsidR="008D2F40" w:rsidRPr="009E6973">
        <w:t>groups.</w:t>
      </w:r>
      <w:r w:rsidR="00FF13A7" w:rsidRPr="00FF13A7">
        <w:t xml:space="preserve"> </w:t>
      </w:r>
      <w:r w:rsidR="00697311">
        <w:t xml:space="preserve">The linkage method and the interaction strength method used </w:t>
      </w:r>
      <w:r w:rsidR="009A28F3">
        <w:t xml:space="preserve">for each clustering </w:t>
      </w:r>
      <w:r w:rsidR="00697311">
        <w:t xml:space="preserve">were the ones that produced the highest </w:t>
      </w:r>
      <w:r w:rsidR="003B5913">
        <w:t xml:space="preserve">Kendall’s rank </w:t>
      </w:r>
      <w:r w:rsidR="00697311">
        <w:t xml:space="preserve">correlation between the ranking before and after the aggregation. </w:t>
      </w:r>
      <w:r w:rsidR="002228AB" w:rsidRPr="00FF13A7">
        <w:t xml:space="preserve">The size of the nodes is </w:t>
      </w:r>
      <w:r w:rsidR="002228AB">
        <w:t>proportional</w:t>
      </w:r>
      <w:r w:rsidR="002228AB" w:rsidRPr="00FF13A7">
        <w:t xml:space="preserve"> to the number of nodes that have been aggregated into them.</w:t>
      </w:r>
      <w:r w:rsidR="002228AB">
        <w:t xml:space="preserve"> </w:t>
      </w:r>
      <w:r w:rsidR="002A79DC">
        <w:t xml:space="preserve">Also in this case, we did not include </w:t>
      </w:r>
      <w:r w:rsidR="008A5B97">
        <w:t>self-loops</w:t>
      </w:r>
      <w:r w:rsidR="002A79DC">
        <w:t>.</w:t>
      </w:r>
    </w:p>
    <w:p w14:paraId="65117131" w14:textId="233ECAAE" w:rsidR="00CB5BFA" w:rsidRDefault="00CF12A6" w:rsidP="00CF12A6">
      <w:pPr>
        <w:jc w:val="center"/>
      </w:pPr>
      <w:r>
        <w:rPr>
          <w:noProof/>
          <w:lang w:val="hu-HU" w:eastAsia="hu-HU"/>
        </w:rPr>
        <w:lastRenderedPageBreak/>
        <w:drawing>
          <wp:inline distT="0" distB="0" distL="0" distR="0" wp14:anchorId="3AF23803" wp14:editId="2C136FBF">
            <wp:extent cx="3257431" cy="6398426"/>
            <wp:effectExtent l="0" t="0" r="0" b="2540"/>
            <wp:docPr id="9" name="Picture 9" descr="Table, 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 calendar&#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3266192" cy="6415636"/>
                    </a:xfrm>
                    <a:prstGeom prst="rect">
                      <a:avLst/>
                    </a:prstGeom>
                  </pic:spPr>
                </pic:pic>
              </a:graphicData>
            </a:graphic>
          </wp:inline>
        </w:drawing>
      </w:r>
    </w:p>
    <w:p w14:paraId="5F7EDA1E" w14:textId="1819419A" w:rsidR="009F7CFC" w:rsidRPr="00A41C4F" w:rsidRDefault="009F7CFC" w:rsidP="0092698C">
      <w:r>
        <w:t>Table 1. B</w:t>
      </w:r>
      <w:r w:rsidRPr="009F7CFC">
        <w:t>est Kendall’s correlation coefficients</w:t>
      </w:r>
      <w:r w:rsidR="001B5C33">
        <w:t xml:space="preserve">, as in Figure 4. </w:t>
      </w:r>
      <w:r w:rsidR="00CC6627">
        <w:t>This time, t</w:t>
      </w:r>
      <w:r w:rsidRPr="009F7CFC">
        <w:t xml:space="preserve">hey are ranked from the clustering that produced the best correlation, to the clustering that produced the worst correlation. </w:t>
      </w:r>
      <w:r w:rsidRPr="00AC1B37">
        <w:rPr>
          <w:color w:val="00B050"/>
        </w:rPr>
        <w:t>Green = hierarchical clustering with Jaccard index</w:t>
      </w:r>
      <w:r w:rsidRPr="009F7CFC">
        <w:t xml:space="preserve">, </w:t>
      </w:r>
      <w:r w:rsidRPr="00CF12A6">
        <w:rPr>
          <w:color w:val="FF0000"/>
        </w:rPr>
        <w:t>red = hierarchical clustering with REGE index</w:t>
      </w:r>
      <w:r w:rsidRPr="009F7CFC">
        <w:t xml:space="preserve">, </w:t>
      </w:r>
      <w:r w:rsidRPr="00CF12A6">
        <w:rPr>
          <w:color w:val="808080" w:themeColor="background1" w:themeShade="80"/>
        </w:rPr>
        <w:t>grey = density-based modules</w:t>
      </w:r>
      <w:r w:rsidRPr="009F7CFC">
        <w:t>,</w:t>
      </w:r>
      <w:r w:rsidRPr="00CF12A6">
        <w:rPr>
          <w:color w:val="4472C4" w:themeColor="accent1"/>
        </w:rPr>
        <w:t xml:space="preserve"> blue = predator-based modules</w:t>
      </w:r>
      <w:r w:rsidRPr="009F7CFC">
        <w:t xml:space="preserve">, </w:t>
      </w:r>
      <w:r w:rsidRPr="00CF12A6">
        <w:rPr>
          <w:color w:val="7030A0"/>
        </w:rPr>
        <w:t>purple = groups produced by the group model</w:t>
      </w:r>
      <w:r w:rsidRPr="009F7CFC">
        <w:t>. C1 = Best clustering, C2 = second best clustering, C3 = third best clustering, C4 = fourth best clustering, C5 = fifth best clustering, C6 = sixth best clustering.</w:t>
      </w:r>
    </w:p>
    <w:sectPr w:rsidR="009F7CFC" w:rsidRPr="00A41C4F" w:rsidSect="00802006">
      <w:footerReference w:type="even" r:id="rId17"/>
      <w:footerReference w:type="default" r:id="rId18"/>
      <w:pgSz w:w="11906" w:h="16838"/>
      <w:pgMar w:top="1440" w:right="1440" w:bottom="1440" w:left="1440" w:header="708" w:footer="708" w:gutter="0"/>
      <w:lnNumType w:countBy="1" w:restart="continuou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D46A3E5" w14:textId="77777777" w:rsidR="00060248" w:rsidRDefault="00060248" w:rsidP="006E65F2">
      <w:r>
        <w:separator/>
      </w:r>
    </w:p>
  </w:endnote>
  <w:endnote w:type="continuationSeparator" w:id="0">
    <w:p w14:paraId="468016B5" w14:textId="77777777" w:rsidR="00060248" w:rsidRDefault="00060248" w:rsidP="006E65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604020202020204"/>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570725572"/>
      <w:docPartObj>
        <w:docPartGallery w:val="Page Numbers (Bottom of Page)"/>
        <w:docPartUnique/>
      </w:docPartObj>
    </w:sdtPr>
    <w:sdtEndPr>
      <w:rPr>
        <w:rStyle w:val="PageNumber"/>
      </w:rPr>
    </w:sdtEndPr>
    <w:sdtContent>
      <w:p w14:paraId="4E234A4F" w14:textId="3B512124" w:rsidR="006E65F2" w:rsidRDefault="006E65F2" w:rsidP="00C238F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1DEDF25" w14:textId="77777777" w:rsidR="006E65F2" w:rsidRDefault="006E65F2" w:rsidP="006E65F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80032475"/>
      <w:docPartObj>
        <w:docPartGallery w:val="Page Numbers (Bottom of Page)"/>
        <w:docPartUnique/>
      </w:docPartObj>
    </w:sdtPr>
    <w:sdtEndPr>
      <w:rPr>
        <w:rStyle w:val="PageNumber"/>
      </w:rPr>
    </w:sdtEndPr>
    <w:sdtContent>
      <w:p w14:paraId="366F0070" w14:textId="553D5D0C" w:rsidR="006E65F2" w:rsidRDefault="006E65F2" w:rsidP="00C238F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913E80">
          <w:rPr>
            <w:rStyle w:val="PageNumber"/>
            <w:noProof/>
          </w:rPr>
          <w:t>29</w:t>
        </w:r>
        <w:r>
          <w:rPr>
            <w:rStyle w:val="PageNumber"/>
          </w:rPr>
          <w:fldChar w:fldCharType="end"/>
        </w:r>
      </w:p>
    </w:sdtContent>
  </w:sdt>
  <w:p w14:paraId="34798EFB" w14:textId="77777777" w:rsidR="006E65F2" w:rsidRDefault="006E65F2" w:rsidP="006E65F2">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4A31500" w14:textId="77777777" w:rsidR="00060248" w:rsidRDefault="00060248" w:rsidP="006E65F2">
      <w:r>
        <w:separator/>
      </w:r>
    </w:p>
  </w:footnote>
  <w:footnote w:type="continuationSeparator" w:id="0">
    <w:p w14:paraId="27285181" w14:textId="77777777" w:rsidR="00060248" w:rsidRDefault="00060248" w:rsidP="006E65F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F806DA"/>
    <w:multiLevelType w:val="hybridMultilevel"/>
    <w:tmpl w:val="FFFFFFFF"/>
    <w:lvl w:ilvl="0" w:tplc="F09AEF24">
      <w:start w:val="1"/>
      <w:numFmt w:val="decimal"/>
      <w:lvlText w:val="%1."/>
      <w:lvlJc w:val="left"/>
      <w:pPr>
        <w:ind w:left="720" w:hanging="360"/>
      </w:pPr>
    </w:lvl>
    <w:lvl w:ilvl="1" w:tplc="BC78E7E0">
      <w:start w:val="1"/>
      <w:numFmt w:val="bullet"/>
      <w:lvlText w:val=""/>
      <w:lvlJc w:val="left"/>
      <w:pPr>
        <w:ind w:left="1440" w:hanging="360"/>
      </w:pPr>
      <w:rPr>
        <w:rFonts w:ascii="Symbol" w:hAnsi="Symbol" w:hint="default"/>
      </w:rPr>
    </w:lvl>
    <w:lvl w:ilvl="2" w:tplc="14541CD6">
      <w:start w:val="1"/>
      <w:numFmt w:val="lowerRoman"/>
      <w:lvlText w:val="%3."/>
      <w:lvlJc w:val="right"/>
      <w:pPr>
        <w:ind w:left="2160" w:hanging="180"/>
      </w:pPr>
    </w:lvl>
    <w:lvl w:ilvl="3" w:tplc="A386FB42">
      <w:start w:val="1"/>
      <w:numFmt w:val="decimal"/>
      <w:lvlText w:val="%4."/>
      <w:lvlJc w:val="left"/>
      <w:pPr>
        <w:ind w:left="2880" w:hanging="360"/>
      </w:pPr>
    </w:lvl>
    <w:lvl w:ilvl="4" w:tplc="A9688C88">
      <w:start w:val="1"/>
      <w:numFmt w:val="lowerLetter"/>
      <w:lvlText w:val="%5."/>
      <w:lvlJc w:val="left"/>
      <w:pPr>
        <w:ind w:left="3600" w:hanging="360"/>
      </w:pPr>
    </w:lvl>
    <w:lvl w:ilvl="5" w:tplc="B8D8D81E">
      <w:start w:val="1"/>
      <w:numFmt w:val="lowerRoman"/>
      <w:lvlText w:val="%6."/>
      <w:lvlJc w:val="right"/>
      <w:pPr>
        <w:ind w:left="4320" w:hanging="180"/>
      </w:pPr>
    </w:lvl>
    <w:lvl w:ilvl="6" w:tplc="A8822EEC">
      <w:start w:val="1"/>
      <w:numFmt w:val="decimal"/>
      <w:lvlText w:val="%7."/>
      <w:lvlJc w:val="left"/>
      <w:pPr>
        <w:ind w:left="5040" w:hanging="360"/>
      </w:pPr>
    </w:lvl>
    <w:lvl w:ilvl="7" w:tplc="9CE0EB66">
      <w:start w:val="1"/>
      <w:numFmt w:val="lowerLetter"/>
      <w:lvlText w:val="%8."/>
      <w:lvlJc w:val="left"/>
      <w:pPr>
        <w:ind w:left="5760" w:hanging="360"/>
      </w:pPr>
    </w:lvl>
    <w:lvl w:ilvl="8" w:tplc="4C50EA86">
      <w:start w:val="1"/>
      <w:numFmt w:val="lowerRoman"/>
      <w:lvlText w:val="%9."/>
      <w:lvlJc w:val="right"/>
      <w:pPr>
        <w:ind w:left="6480" w:hanging="180"/>
      </w:pPr>
    </w:lvl>
  </w:abstractNum>
  <w:abstractNum w:abstractNumId="1" w15:restartNumberingAfterBreak="0">
    <w:nsid w:val="0B172798"/>
    <w:multiLevelType w:val="hybridMultilevel"/>
    <w:tmpl w:val="FFFFFFFF"/>
    <w:lvl w:ilvl="0" w:tplc="3326C5BA">
      <w:start w:val="1"/>
      <w:numFmt w:val="decimal"/>
      <w:lvlText w:val="%1."/>
      <w:lvlJc w:val="left"/>
      <w:pPr>
        <w:ind w:left="720" w:hanging="360"/>
      </w:pPr>
    </w:lvl>
    <w:lvl w:ilvl="1" w:tplc="12083CCA">
      <w:start w:val="1"/>
      <w:numFmt w:val="lowerLetter"/>
      <w:lvlText w:val="%2."/>
      <w:lvlJc w:val="left"/>
      <w:pPr>
        <w:ind w:left="1440" w:hanging="360"/>
      </w:pPr>
    </w:lvl>
    <w:lvl w:ilvl="2" w:tplc="7D3831CE">
      <w:start w:val="1"/>
      <w:numFmt w:val="lowerRoman"/>
      <w:lvlText w:val="%3."/>
      <w:lvlJc w:val="right"/>
      <w:pPr>
        <w:ind w:left="2160" w:hanging="180"/>
      </w:pPr>
    </w:lvl>
    <w:lvl w:ilvl="3" w:tplc="F8E28F32">
      <w:start w:val="1"/>
      <w:numFmt w:val="decimal"/>
      <w:lvlText w:val="%4."/>
      <w:lvlJc w:val="left"/>
      <w:pPr>
        <w:ind w:left="2880" w:hanging="360"/>
      </w:pPr>
    </w:lvl>
    <w:lvl w:ilvl="4" w:tplc="F4F2A67C">
      <w:start w:val="1"/>
      <w:numFmt w:val="lowerLetter"/>
      <w:lvlText w:val="%5."/>
      <w:lvlJc w:val="left"/>
      <w:pPr>
        <w:ind w:left="3600" w:hanging="360"/>
      </w:pPr>
    </w:lvl>
    <w:lvl w:ilvl="5" w:tplc="8A06B25A">
      <w:start w:val="1"/>
      <w:numFmt w:val="lowerRoman"/>
      <w:lvlText w:val="%6."/>
      <w:lvlJc w:val="right"/>
      <w:pPr>
        <w:ind w:left="4320" w:hanging="180"/>
      </w:pPr>
    </w:lvl>
    <w:lvl w:ilvl="6" w:tplc="9BD0E6F6">
      <w:start w:val="1"/>
      <w:numFmt w:val="decimal"/>
      <w:lvlText w:val="%7."/>
      <w:lvlJc w:val="left"/>
      <w:pPr>
        <w:ind w:left="5040" w:hanging="360"/>
      </w:pPr>
    </w:lvl>
    <w:lvl w:ilvl="7" w:tplc="02605DC0">
      <w:start w:val="1"/>
      <w:numFmt w:val="lowerLetter"/>
      <w:lvlText w:val="%8."/>
      <w:lvlJc w:val="left"/>
      <w:pPr>
        <w:ind w:left="5760" w:hanging="360"/>
      </w:pPr>
    </w:lvl>
    <w:lvl w:ilvl="8" w:tplc="F4C83D2A">
      <w:start w:val="1"/>
      <w:numFmt w:val="lowerRoman"/>
      <w:lvlText w:val="%9."/>
      <w:lvlJc w:val="right"/>
      <w:pPr>
        <w:ind w:left="6480" w:hanging="180"/>
      </w:pPr>
    </w:lvl>
  </w:abstractNum>
  <w:abstractNum w:abstractNumId="2" w15:restartNumberingAfterBreak="0">
    <w:nsid w:val="1CCE4ABD"/>
    <w:multiLevelType w:val="hybridMultilevel"/>
    <w:tmpl w:val="FFFFFFFF"/>
    <w:lvl w:ilvl="0" w:tplc="FC40AE7C">
      <w:start w:val="1"/>
      <w:numFmt w:val="decimal"/>
      <w:lvlText w:val="%1."/>
      <w:lvlJc w:val="left"/>
      <w:pPr>
        <w:ind w:left="720" w:hanging="360"/>
      </w:pPr>
    </w:lvl>
    <w:lvl w:ilvl="1" w:tplc="5B02CED8">
      <w:start w:val="1"/>
      <w:numFmt w:val="lowerLetter"/>
      <w:lvlText w:val="%2."/>
      <w:lvlJc w:val="left"/>
      <w:pPr>
        <w:ind w:left="1440" w:hanging="360"/>
      </w:pPr>
    </w:lvl>
    <w:lvl w:ilvl="2" w:tplc="D186A30E">
      <w:start w:val="1"/>
      <w:numFmt w:val="lowerRoman"/>
      <w:lvlText w:val="%3."/>
      <w:lvlJc w:val="right"/>
      <w:pPr>
        <w:ind w:left="2160" w:hanging="180"/>
      </w:pPr>
    </w:lvl>
    <w:lvl w:ilvl="3" w:tplc="E8A2421E">
      <w:start w:val="1"/>
      <w:numFmt w:val="decimal"/>
      <w:lvlText w:val="%4."/>
      <w:lvlJc w:val="left"/>
      <w:pPr>
        <w:ind w:left="2880" w:hanging="360"/>
      </w:pPr>
    </w:lvl>
    <w:lvl w:ilvl="4" w:tplc="D7AC7000">
      <w:start w:val="1"/>
      <w:numFmt w:val="lowerLetter"/>
      <w:lvlText w:val="%5."/>
      <w:lvlJc w:val="left"/>
      <w:pPr>
        <w:ind w:left="3600" w:hanging="360"/>
      </w:pPr>
    </w:lvl>
    <w:lvl w:ilvl="5" w:tplc="138AFB5A">
      <w:start w:val="1"/>
      <w:numFmt w:val="lowerRoman"/>
      <w:lvlText w:val="%6."/>
      <w:lvlJc w:val="right"/>
      <w:pPr>
        <w:ind w:left="4320" w:hanging="180"/>
      </w:pPr>
    </w:lvl>
    <w:lvl w:ilvl="6" w:tplc="39609024">
      <w:start w:val="1"/>
      <w:numFmt w:val="decimal"/>
      <w:lvlText w:val="%7."/>
      <w:lvlJc w:val="left"/>
      <w:pPr>
        <w:ind w:left="5040" w:hanging="360"/>
      </w:pPr>
    </w:lvl>
    <w:lvl w:ilvl="7" w:tplc="5BBCB4A2">
      <w:start w:val="1"/>
      <w:numFmt w:val="lowerLetter"/>
      <w:lvlText w:val="%8."/>
      <w:lvlJc w:val="left"/>
      <w:pPr>
        <w:ind w:left="5760" w:hanging="360"/>
      </w:pPr>
    </w:lvl>
    <w:lvl w:ilvl="8" w:tplc="58B0DB08">
      <w:start w:val="1"/>
      <w:numFmt w:val="lowerRoman"/>
      <w:lvlText w:val="%9."/>
      <w:lvlJc w:val="right"/>
      <w:pPr>
        <w:ind w:left="6480" w:hanging="180"/>
      </w:pPr>
    </w:lvl>
  </w:abstractNum>
  <w:abstractNum w:abstractNumId="3" w15:restartNumberingAfterBreak="0">
    <w:nsid w:val="1E96269F"/>
    <w:multiLevelType w:val="hybridMultilevel"/>
    <w:tmpl w:val="FFFFFFFF"/>
    <w:lvl w:ilvl="0" w:tplc="B8007C0E">
      <w:start w:val="1"/>
      <w:numFmt w:val="decimal"/>
      <w:lvlText w:val="%1."/>
      <w:lvlJc w:val="left"/>
      <w:pPr>
        <w:ind w:left="720" w:hanging="360"/>
      </w:pPr>
    </w:lvl>
    <w:lvl w:ilvl="1" w:tplc="A196A9F4">
      <w:start w:val="1"/>
      <w:numFmt w:val="lowerLetter"/>
      <w:lvlText w:val="%2."/>
      <w:lvlJc w:val="left"/>
      <w:pPr>
        <w:ind w:left="1440" w:hanging="360"/>
      </w:pPr>
    </w:lvl>
    <w:lvl w:ilvl="2" w:tplc="65027B42">
      <w:start w:val="1"/>
      <w:numFmt w:val="lowerRoman"/>
      <w:lvlText w:val="%3."/>
      <w:lvlJc w:val="right"/>
      <w:pPr>
        <w:ind w:left="2160" w:hanging="180"/>
      </w:pPr>
    </w:lvl>
    <w:lvl w:ilvl="3" w:tplc="1C567C2C">
      <w:start w:val="1"/>
      <w:numFmt w:val="decimal"/>
      <w:lvlText w:val="%4."/>
      <w:lvlJc w:val="left"/>
      <w:pPr>
        <w:ind w:left="2880" w:hanging="360"/>
      </w:pPr>
    </w:lvl>
    <w:lvl w:ilvl="4" w:tplc="192C159C">
      <w:start w:val="1"/>
      <w:numFmt w:val="lowerLetter"/>
      <w:lvlText w:val="%5."/>
      <w:lvlJc w:val="left"/>
      <w:pPr>
        <w:ind w:left="3600" w:hanging="360"/>
      </w:pPr>
    </w:lvl>
    <w:lvl w:ilvl="5" w:tplc="46489682">
      <w:start w:val="1"/>
      <w:numFmt w:val="lowerRoman"/>
      <w:lvlText w:val="%6."/>
      <w:lvlJc w:val="right"/>
      <w:pPr>
        <w:ind w:left="4320" w:hanging="180"/>
      </w:pPr>
    </w:lvl>
    <w:lvl w:ilvl="6" w:tplc="9B6CF5CA">
      <w:start w:val="1"/>
      <w:numFmt w:val="decimal"/>
      <w:lvlText w:val="%7."/>
      <w:lvlJc w:val="left"/>
      <w:pPr>
        <w:ind w:left="5040" w:hanging="360"/>
      </w:pPr>
    </w:lvl>
    <w:lvl w:ilvl="7" w:tplc="0DCCB74E">
      <w:start w:val="1"/>
      <w:numFmt w:val="lowerLetter"/>
      <w:lvlText w:val="%8."/>
      <w:lvlJc w:val="left"/>
      <w:pPr>
        <w:ind w:left="5760" w:hanging="360"/>
      </w:pPr>
    </w:lvl>
    <w:lvl w:ilvl="8" w:tplc="C1F2EF40">
      <w:start w:val="1"/>
      <w:numFmt w:val="lowerRoman"/>
      <w:lvlText w:val="%9."/>
      <w:lvlJc w:val="right"/>
      <w:pPr>
        <w:ind w:left="6480" w:hanging="180"/>
      </w:pPr>
    </w:lvl>
  </w:abstractNum>
  <w:abstractNum w:abstractNumId="4" w15:restartNumberingAfterBreak="0">
    <w:nsid w:val="20DA0E70"/>
    <w:multiLevelType w:val="hybridMultilevel"/>
    <w:tmpl w:val="21BA3D5E"/>
    <w:lvl w:ilvl="0" w:tplc="CC5215D8">
      <w:start w:val="1"/>
      <w:numFmt w:val="decimal"/>
      <w:lvlText w:val="%1."/>
      <w:lvlJc w:val="left"/>
      <w:pPr>
        <w:ind w:left="720" w:hanging="360"/>
      </w:pPr>
    </w:lvl>
    <w:lvl w:ilvl="1" w:tplc="71262D58">
      <w:start w:val="1"/>
      <w:numFmt w:val="lowerLetter"/>
      <w:lvlText w:val="%2."/>
      <w:lvlJc w:val="left"/>
      <w:pPr>
        <w:ind w:left="1440" w:hanging="360"/>
      </w:pPr>
    </w:lvl>
    <w:lvl w:ilvl="2" w:tplc="FABE0208">
      <w:start w:val="1"/>
      <w:numFmt w:val="lowerRoman"/>
      <w:lvlText w:val="%3."/>
      <w:lvlJc w:val="right"/>
      <w:pPr>
        <w:ind w:left="2160" w:hanging="180"/>
      </w:pPr>
    </w:lvl>
    <w:lvl w:ilvl="3" w:tplc="31423CFC">
      <w:start w:val="1"/>
      <w:numFmt w:val="decimal"/>
      <w:lvlText w:val="%4."/>
      <w:lvlJc w:val="left"/>
      <w:pPr>
        <w:ind w:left="2880" w:hanging="360"/>
      </w:pPr>
    </w:lvl>
    <w:lvl w:ilvl="4" w:tplc="FC7CB766">
      <w:start w:val="1"/>
      <w:numFmt w:val="lowerLetter"/>
      <w:lvlText w:val="%5."/>
      <w:lvlJc w:val="left"/>
      <w:pPr>
        <w:ind w:left="3600" w:hanging="360"/>
      </w:pPr>
    </w:lvl>
    <w:lvl w:ilvl="5" w:tplc="46CC4E4E">
      <w:start w:val="1"/>
      <w:numFmt w:val="lowerRoman"/>
      <w:lvlText w:val="%6."/>
      <w:lvlJc w:val="right"/>
      <w:pPr>
        <w:ind w:left="4320" w:hanging="180"/>
      </w:pPr>
    </w:lvl>
    <w:lvl w:ilvl="6" w:tplc="8D800C6E">
      <w:start w:val="1"/>
      <w:numFmt w:val="decimal"/>
      <w:lvlText w:val="%7."/>
      <w:lvlJc w:val="left"/>
      <w:pPr>
        <w:ind w:left="5040" w:hanging="360"/>
      </w:pPr>
    </w:lvl>
    <w:lvl w:ilvl="7" w:tplc="565A0EE0">
      <w:start w:val="1"/>
      <w:numFmt w:val="lowerLetter"/>
      <w:lvlText w:val="%8."/>
      <w:lvlJc w:val="left"/>
      <w:pPr>
        <w:ind w:left="5760" w:hanging="360"/>
      </w:pPr>
    </w:lvl>
    <w:lvl w:ilvl="8" w:tplc="1AF8E71A">
      <w:start w:val="1"/>
      <w:numFmt w:val="lowerRoman"/>
      <w:lvlText w:val="%9."/>
      <w:lvlJc w:val="right"/>
      <w:pPr>
        <w:ind w:left="6480" w:hanging="180"/>
      </w:pPr>
    </w:lvl>
  </w:abstractNum>
  <w:abstractNum w:abstractNumId="5" w15:restartNumberingAfterBreak="0">
    <w:nsid w:val="252C3364"/>
    <w:multiLevelType w:val="multilevel"/>
    <w:tmpl w:val="64D4A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8A172D3"/>
    <w:multiLevelType w:val="hybridMultilevel"/>
    <w:tmpl w:val="F86C1132"/>
    <w:lvl w:ilvl="0" w:tplc="5A106C52">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CD47CDA"/>
    <w:multiLevelType w:val="hybridMultilevel"/>
    <w:tmpl w:val="F1329650"/>
    <w:lvl w:ilvl="0" w:tplc="FE1E7D2E">
      <w:start w:val="1"/>
      <w:numFmt w:val="decimal"/>
      <w:lvlText w:val="%1."/>
      <w:lvlJc w:val="left"/>
      <w:pPr>
        <w:ind w:left="720" w:hanging="360"/>
      </w:pPr>
    </w:lvl>
    <w:lvl w:ilvl="1" w:tplc="DA883EB4">
      <w:start w:val="1"/>
      <w:numFmt w:val="lowerLetter"/>
      <w:lvlText w:val="%2."/>
      <w:lvlJc w:val="left"/>
      <w:pPr>
        <w:ind w:left="1440" w:hanging="360"/>
      </w:pPr>
    </w:lvl>
    <w:lvl w:ilvl="2" w:tplc="D65CFE36">
      <w:start w:val="1"/>
      <w:numFmt w:val="lowerRoman"/>
      <w:lvlText w:val="%3."/>
      <w:lvlJc w:val="right"/>
      <w:pPr>
        <w:ind w:left="2160" w:hanging="180"/>
      </w:pPr>
    </w:lvl>
    <w:lvl w:ilvl="3" w:tplc="FEC2E222">
      <w:start w:val="1"/>
      <w:numFmt w:val="decimal"/>
      <w:lvlText w:val="%4."/>
      <w:lvlJc w:val="left"/>
      <w:pPr>
        <w:ind w:left="2880" w:hanging="360"/>
      </w:pPr>
    </w:lvl>
    <w:lvl w:ilvl="4" w:tplc="F808E998">
      <w:start w:val="1"/>
      <w:numFmt w:val="lowerLetter"/>
      <w:lvlText w:val="%5."/>
      <w:lvlJc w:val="left"/>
      <w:pPr>
        <w:ind w:left="3600" w:hanging="360"/>
      </w:pPr>
    </w:lvl>
    <w:lvl w:ilvl="5" w:tplc="E8C6A6FE">
      <w:start w:val="1"/>
      <w:numFmt w:val="lowerRoman"/>
      <w:lvlText w:val="%6."/>
      <w:lvlJc w:val="right"/>
      <w:pPr>
        <w:ind w:left="4320" w:hanging="180"/>
      </w:pPr>
    </w:lvl>
    <w:lvl w:ilvl="6" w:tplc="CFEC3842">
      <w:start w:val="1"/>
      <w:numFmt w:val="decimal"/>
      <w:lvlText w:val="%7."/>
      <w:lvlJc w:val="left"/>
      <w:pPr>
        <w:ind w:left="5040" w:hanging="360"/>
      </w:pPr>
    </w:lvl>
    <w:lvl w:ilvl="7" w:tplc="9A5A0AF8">
      <w:start w:val="1"/>
      <w:numFmt w:val="lowerLetter"/>
      <w:lvlText w:val="%8."/>
      <w:lvlJc w:val="left"/>
      <w:pPr>
        <w:ind w:left="5760" w:hanging="360"/>
      </w:pPr>
    </w:lvl>
    <w:lvl w:ilvl="8" w:tplc="2D0C7E86">
      <w:start w:val="1"/>
      <w:numFmt w:val="lowerRoman"/>
      <w:lvlText w:val="%9."/>
      <w:lvlJc w:val="right"/>
      <w:pPr>
        <w:ind w:left="6480" w:hanging="180"/>
      </w:pPr>
    </w:lvl>
  </w:abstractNum>
  <w:abstractNum w:abstractNumId="8" w15:restartNumberingAfterBreak="0">
    <w:nsid w:val="37F166AC"/>
    <w:multiLevelType w:val="hybridMultilevel"/>
    <w:tmpl w:val="2DA2271A"/>
    <w:lvl w:ilvl="0" w:tplc="543C05E2">
      <w:start w:val="1"/>
      <w:numFmt w:val="decimal"/>
      <w:lvlText w:val="%1."/>
      <w:lvlJc w:val="left"/>
      <w:pPr>
        <w:ind w:left="720" w:hanging="360"/>
      </w:pPr>
    </w:lvl>
    <w:lvl w:ilvl="1" w:tplc="1832B590">
      <w:start w:val="1"/>
      <w:numFmt w:val="lowerLetter"/>
      <w:lvlText w:val="%2."/>
      <w:lvlJc w:val="left"/>
      <w:pPr>
        <w:ind w:left="1440" w:hanging="360"/>
      </w:pPr>
    </w:lvl>
    <w:lvl w:ilvl="2" w:tplc="CFE293DE">
      <w:start w:val="1"/>
      <w:numFmt w:val="lowerRoman"/>
      <w:lvlText w:val="%3."/>
      <w:lvlJc w:val="right"/>
      <w:pPr>
        <w:ind w:left="2160" w:hanging="180"/>
      </w:pPr>
    </w:lvl>
    <w:lvl w:ilvl="3" w:tplc="1DA6CB62">
      <w:start w:val="1"/>
      <w:numFmt w:val="decimal"/>
      <w:lvlText w:val="%4."/>
      <w:lvlJc w:val="left"/>
      <w:pPr>
        <w:ind w:left="2880" w:hanging="360"/>
      </w:pPr>
    </w:lvl>
    <w:lvl w:ilvl="4" w:tplc="1B0863FE">
      <w:start w:val="1"/>
      <w:numFmt w:val="lowerLetter"/>
      <w:lvlText w:val="%5."/>
      <w:lvlJc w:val="left"/>
      <w:pPr>
        <w:ind w:left="3600" w:hanging="360"/>
      </w:pPr>
    </w:lvl>
    <w:lvl w:ilvl="5" w:tplc="695A3938">
      <w:start w:val="1"/>
      <w:numFmt w:val="lowerRoman"/>
      <w:lvlText w:val="%6."/>
      <w:lvlJc w:val="right"/>
      <w:pPr>
        <w:ind w:left="4320" w:hanging="180"/>
      </w:pPr>
    </w:lvl>
    <w:lvl w:ilvl="6" w:tplc="6F904224">
      <w:start w:val="1"/>
      <w:numFmt w:val="decimal"/>
      <w:lvlText w:val="%7."/>
      <w:lvlJc w:val="left"/>
      <w:pPr>
        <w:ind w:left="5040" w:hanging="360"/>
      </w:pPr>
    </w:lvl>
    <w:lvl w:ilvl="7" w:tplc="C2D0365C">
      <w:start w:val="1"/>
      <w:numFmt w:val="lowerLetter"/>
      <w:lvlText w:val="%8."/>
      <w:lvlJc w:val="left"/>
      <w:pPr>
        <w:ind w:left="5760" w:hanging="360"/>
      </w:pPr>
    </w:lvl>
    <w:lvl w:ilvl="8" w:tplc="F66C4C26">
      <w:start w:val="1"/>
      <w:numFmt w:val="lowerRoman"/>
      <w:lvlText w:val="%9."/>
      <w:lvlJc w:val="right"/>
      <w:pPr>
        <w:ind w:left="6480" w:hanging="180"/>
      </w:pPr>
    </w:lvl>
  </w:abstractNum>
  <w:abstractNum w:abstractNumId="9" w15:restartNumberingAfterBreak="0">
    <w:nsid w:val="4DD243ED"/>
    <w:multiLevelType w:val="hybridMultilevel"/>
    <w:tmpl w:val="3BF0EB86"/>
    <w:lvl w:ilvl="0" w:tplc="0C4C0724">
      <w:start w:val="1"/>
      <w:numFmt w:val="decimal"/>
      <w:lvlText w:val="%1."/>
      <w:lvlJc w:val="left"/>
      <w:pPr>
        <w:ind w:left="720" w:hanging="360"/>
      </w:pPr>
    </w:lvl>
    <w:lvl w:ilvl="1" w:tplc="46686EFE">
      <w:start w:val="1"/>
      <w:numFmt w:val="bullet"/>
      <w:lvlText w:val=""/>
      <w:lvlJc w:val="left"/>
      <w:pPr>
        <w:ind w:left="1440" w:hanging="360"/>
      </w:pPr>
      <w:rPr>
        <w:rFonts w:ascii="Symbol" w:hAnsi="Symbol" w:hint="default"/>
      </w:rPr>
    </w:lvl>
    <w:lvl w:ilvl="2" w:tplc="7AB28C94">
      <w:start w:val="1"/>
      <w:numFmt w:val="lowerRoman"/>
      <w:lvlText w:val="%3."/>
      <w:lvlJc w:val="right"/>
      <w:pPr>
        <w:ind w:left="2160" w:hanging="180"/>
      </w:pPr>
    </w:lvl>
    <w:lvl w:ilvl="3" w:tplc="9F96D530">
      <w:start w:val="1"/>
      <w:numFmt w:val="decimal"/>
      <w:lvlText w:val="%4."/>
      <w:lvlJc w:val="left"/>
      <w:pPr>
        <w:ind w:left="2880" w:hanging="360"/>
      </w:pPr>
    </w:lvl>
    <w:lvl w:ilvl="4" w:tplc="2098B062">
      <w:start w:val="1"/>
      <w:numFmt w:val="lowerLetter"/>
      <w:lvlText w:val="%5."/>
      <w:lvlJc w:val="left"/>
      <w:pPr>
        <w:ind w:left="3600" w:hanging="360"/>
      </w:pPr>
    </w:lvl>
    <w:lvl w:ilvl="5" w:tplc="1820C84E">
      <w:start w:val="1"/>
      <w:numFmt w:val="lowerRoman"/>
      <w:lvlText w:val="%6."/>
      <w:lvlJc w:val="right"/>
      <w:pPr>
        <w:ind w:left="4320" w:hanging="180"/>
      </w:pPr>
    </w:lvl>
    <w:lvl w:ilvl="6" w:tplc="DAF80034">
      <w:start w:val="1"/>
      <w:numFmt w:val="decimal"/>
      <w:lvlText w:val="%7."/>
      <w:lvlJc w:val="left"/>
      <w:pPr>
        <w:ind w:left="5040" w:hanging="360"/>
      </w:pPr>
    </w:lvl>
    <w:lvl w:ilvl="7" w:tplc="0D804AFE">
      <w:start w:val="1"/>
      <w:numFmt w:val="lowerLetter"/>
      <w:lvlText w:val="%8."/>
      <w:lvlJc w:val="left"/>
      <w:pPr>
        <w:ind w:left="5760" w:hanging="360"/>
      </w:pPr>
    </w:lvl>
    <w:lvl w:ilvl="8" w:tplc="63B2FA80">
      <w:start w:val="1"/>
      <w:numFmt w:val="lowerRoman"/>
      <w:lvlText w:val="%9."/>
      <w:lvlJc w:val="right"/>
      <w:pPr>
        <w:ind w:left="6480" w:hanging="180"/>
      </w:pPr>
    </w:lvl>
  </w:abstractNum>
  <w:abstractNum w:abstractNumId="10" w15:restartNumberingAfterBreak="0">
    <w:nsid w:val="701D5524"/>
    <w:multiLevelType w:val="hybridMultilevel"/>
    <w:tmpl w:val="F76C8A7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70BA6C6D"/>
    <w:multiLevelType w:val="hybridMultilevel"/>
    <w:tmpl w:val="8BBAC17E"/>
    <w:lvl w:ilvl="0" w:tplc="46D489B6">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50D4433"/>
    <w:multiLevelType w:val="hybridMultilevel"/>
    <w:tmpl w:val="116E203C"/>
    <w:lvl w:ilvl="0" w:tplc="E9D8859C">
      <w:start w:val="1"/>
      <w:numFmt w:val="decimal"/>
      <w:lvlText w:val="%1."/>
      <w:lvlJc w:val="left"/>
      <w:pPr>
        <w:ind w:left="720" w:hanging="360"/>
      </w:pPr>
    </w:lvl>
    <w:lvl w:ilvl="1" w:tplc="278EF0D8">
      <w:start w:val="1"/>
      <w:numFmt w:val="lowerLetter"/>
      <w:lvlText w:val="%2."/>
      <w:lvlJc w:val="left"/>
      <w:pPr>
        <w:ind w:left="1440" w:hanging="360"/>
      </w:pPr>
    </w:lvl>
    <w:lvl w:ilvl="2" w:tplc="0E8429AA">
      <w:start w:val="1"/>
      <w:numFmt w:val="lowerRoman"/>
      <w:lvlText w:val="%3."/>
      <w:lvlJc w:val="right"/>
      <w:pPr>
        <w:ind w:left="2160" w:hanging="180"/>
      </w:pPr>
    </w:lvl>
    <w:lvl w:ilvl="3" w:tplc="AE4644AC">
      <w:start w:val="1"/>
      <w:numFmt w:val="decimal"/>
      <w:lvlText w:val="%4."/>
      <w:lvlJc w:val="left"/>
      <w:pPr>
        <w:ind w:left="2880" w:hanging="360"/>
      </w:pPr>
    </w:lvl>
    <w:lvl w:ilvl="4" w:tplc="EC0416C2">
      <w:start w:val="1"/>
      <w:numFmt w:val="lowerLetter"/>
      <w:lvlText w:val="%5."/>
      <w:lvlJc w:val="left"/>
      <w:pPr>
        <w:ind w:left="3600" w:hanging="360"/>
      </w:pPr>
    </w:lvl>
    <w:lvl w:ilvl="5" w:tplc="69DEDBF2">
      <w:start w:val="1"/>
      <w:numFmt w:val="lowerRoman"/>
      <w:lvlText w:val="%6."/>
      <w:lvlJc w:val="right"/>
      <w:pPr>
        <w:ind w:left="4320" w:hanging="180"/>
      </w:pPr>
    </w:lvl>
    <w:lvl w:ilvl="6" w:tplc="64242096">
      <w:start w:val="1"/>
      <w:numFmt w:val="decimal"/>
      <w:lvlText w:val="%7."/>
      <w:lvlJc w:val="left"/>
      <w:pPr>
        <w:ind w:left="5040" w:hanging="360"/>
      </w:pPr>
    </w:lvl>
    <w:lvl w:ilvl="7" w:tplc="765C2F86">
      <w:start w:val="1"/>
      <w:numFmt w:val="lowerLetter"/>
      <w:lvlText w:val="%8."/>
      <w:lvlJc w:val="left"/>
      <w:pPr>
        <w:ind w:left="5760" w:hanging="360"/>
      </w:pPr>
    </w:lvl>
    <w:lvl w:ilvl="8" w:tplc="7EE81288">
      <w:start w:val="1"/>
      <w:numFmt w:val="lowerRoman"/>
      <w:lvlText w:val="%9."/>
      <w:lvlJc w:val="right"/>
      <w:pPr>
        <w:ind w:left="6480" w:hanging="180"/>
      </w:pPr>
    </w:lvl>
  </w:abstractNum>
  <w:abstractNum w:abstractNumId="13" w15:restartNumberingAfterBreak="0">
    <w:nsid w:val="78005B70"/>
    <w:multiLevelType w:val="hybridMultilevel"/>
    <w:tmpl w:val="FFFFFFFF"/>
    <w:lvl w:ilvl="0" w:tplc="33FE260E">
      <w:start w:val="1"/>
      <w:numFmt w:val="decimal"/>
      <w:lvlText w:val="%1."/>
      <w:lvlJc w:val="left"/>
      <w:pPr>
        <w:ind w:left="720" w:hanging="360"/>
      </w:pPr>
    </w:lvl>
    <w:lvl w:ilvl="1" w:tplc="5F8CD82E">
      <w:start w:val="1"/>
      <w:numFmt w:val="lowerLetter"/>
      <w:lvlText w:val="%2."/>
      <w:lvlJc w:val="left"/>
      <w:pPr>
        <w:ind w:left="1440" w:hanging="360"/>
      </w:pPr>
    </w:lvl>
    <w:lvl w:ilvl="2" w:tplc="0194D67C">
      <w:start w:val="1"/>
      <w:numFmt w:val="lowerRoman"/>
      <w:lvlText w:val="%3."/>
      <w:lvlJc w:val="right"/>
      <w:pPr>
        <w:ind w:left="2160" w:hanging="180"/>
      </w:pPr>
    </w:lvl>
    <w:lvl w:ilvl="3" w:tplc="D3308AAE">
      <w:start w:val="1"/>
      <w:numFmt w:val="decimal"/>
      <w:lvlText w:val="%4."/>
      <w:lvlJc w:val="left"/>
      <w:pPr>
        <w:ind w:left="2880" w:hanging="360"/>
      </w:pPr>
    </w:lvl>
    <w:lvl w:ilvl="4" w:tplc="A3849778">
      <w:start w:val="1"/>
      <w:numFmt w:val="lowerLetter"/>
      <w:lvlText w:val="%5."/>
      <w:lvlJc w:val="left"/>
      <w:pPr>
        <w:ind w:left="3600" w:hanging="360"/>
      </w:pPr>
    </w:lvl>
    <w:lvl w:ilvl="5" w:tplc="69CC32AC">
      <w:start w:val="1"/>
      <w:numFmt w:val="lowerRoman"/>
      <w:lvlText w:val="%6."/>
      <w:lvlJc w:val="right"/>
      <w:pPr>
        <w:ind w:left="4320" w:hanging="180"/>
      </w:pPr>
    </w:lvl>
    <w:lvl w:ilvl="6" w:tplc="5F48D0F8">
      <w:start w:val="1"/>
      <w:numFmt w:val="decimal"/>
      <w:lvlText w:val="%7."/>
      <w:lvlJc w:val="left"/>
      <w:pPr>
        <w:ind w:left="5040" w:hanging="360"/>
      </w:pPr>
    </w:lvl>
    <w:lvl w:ilvl="7" w:tplc="5ECAE67C">
      <w:start w:val="1"/>
      <w:numFmt w:val="lowerLetter"/>
      <w:lvlText w:val="%8."/>
      <w:lvlJc w:val="left"/>
      <w:pPr>
        <w:ind w:left="5760" w:hanging="360"/>
      </w:pPr>
    </w:lvl>
    <w:lvl w:ilvl="8" w:tplc="DF14B3D4">
      <w:start w:val="1"/>
      <w:numFmt w:val="lowerRoman"/>
      <w:lvlText w:val="%9."/>
      <w:lvlJc w:val="right"/>
      <w:pPr>
        <w:ind w:left="6480" w:hanging="180"/>
      </w:pPr>
    </w:lvl>
  </w:abstractNum>
  <w:num w:numId="1">
    <w:abstractNumId w:val="12"/>
  </w:num>
  <w:num w:numId="2">
    <w:abstractNumId w:val="4"/>
  </w:num>
  <w:num w:numId="3">
    <w:abstractNumId w:val="7"/>
  </w:num>
  <w:num w:numId="4">
    <w:abstractNumId w:val="8"/>
  </w:num>
  <w:num w:numId="5">
    <w:abstractNumId w:val="9"/>
  </w:num>
  <w:num w:numId="6">
    <w:abstractNumId w:val="1"/>
  </w:num>
  <w:num w:numId="7">
    <w:abstractNumId w:val="13"/>
  </w:num>
  <w:num w:numId="8">
    <w:abstractNumId w:val="2"/>
  </w:num>
  <w:num w:numId="9">
    <w:abstractNumId w:val="3"/>
  </w:num>
  <w:num w:numId="10">
    <w:abstractNumId w:val="0"/>
  </w:num>
  <w:num w:numId="11">
    <w:abstractNumId w:val="10"/>
  </w:num>
  <w:num w:numId="12">
    <w:abstractNumId w:val="5"/>
  </w:num>
  <w:num w:numId="13">
    <w:abstractNumId w:val="6"/>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4"/>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47A8"/>
    <w:rsid w:val="00002CDB"/>
    <w:rsid w:val="00015DA8"/>
    <w:rsid w:val="000324F6"/>
    <w:rsid w:val="00033CD5"/>
    <w:rsid w:val="00037793"/>
    <w:rsid w:val="0004456A"/>
    <w:rsid w:val="00060248"/>
    <w:rsid w:val="0007493E"/>
    <w:rsid w:val="00082647"/>
    <w:rsid w:val="000A4D85"/>
    <w:rsid w:val="000C5C22"/>
    <w:rsid w:val="000E390F"/>
    <w:rsid w:val="000F0F42"/>
    <w:rsid w:val="000F4C41"/>
    <w:rsid w:val="001269B6"/>
    <w:rsid w:val="00136A32"/>
    <w:rsid w:val="00144A04"/>
    <w:rsid w:val="0014551F"/>
    <w:rsid w:val="001658C2"/>
    <w:rsid w:val="00165EE5"/>
    <w:rsid w:val="00173AB2"/>
    <w:rsid w:val="00175E76"/>
    <w:rsid w:val="001768C3"/>
    <w:rsid w:val="00187AC7"/>
    <w:rsid w:val="0019624F"/>
    <w:rsid w:val="001A3BEE"/>
    <w:rsid w:val="001B5C33"/>
    <w:rsid w:val="001C5073"/>
    <w:rsid w:val="001E0D3F"/>
    <w:rsid w:val="001E2A35"/>
    <w:rsid w:val="001E2F59"/>
    <w:rsid w:val="002210A8"/>
    <w:rsid w:val="002228AB"/>
    <w:rsid w:val="00225D52"/>
    <w:rsid w:val="0025059F"/>
    <w:rsid w:val="00256151"/>
    <w:rsid w:val="002609C9"/>
    <w:rsid w:val="0028742E"/>
    <w:rsid w:val="002928BD"/>
    <w:rsid w:val="00294607"/>
    <w:rsid w:val="002A49B3"/>
    <w:rsid w:val="002A79DC"/>
    <w:rsid w:val="002D1FFD"/>
    <w:rsid w:val="002E3BD0"/>
    <w:rsid w:val="002F2096"/>
    <w:rsid w:val="00302C5D"/>
    <w:rsid w:val="00312617"/>
    <w:rsid w:val="003167A2"/>
    <w:rsid w:val="003243CD"/>
    <w:rsid w:val="00341C65"/>
    <w:rsid w:val="00352907"/>
    <w:rsid w:val="003561E3"/>
    <w:rsid w:val="003651D7"/>
    <w:rsid w:val="003712EC"/>
    <w:rsid w:val="00373132"/>
    <w:rsid w:val="00376CE3"/>
    <w:rsid w:val="00381AB4"/>
    <w:rsid w:val="003947A8"/>
    <w:rsid w:val="003B5913"/>
    <w:rsid w:val="003C69A8"/>
    <w:rsid w:val="003D74DE"/>
    <w:rsid w:val="003E7CD3"/>
    <w:rsid w:val="003F360B"/>
    <w:rsid w:val="0040283E"/>
    <w:rsid w:val="00412EA2"/>
    <w:rsid w:val="004233D4"/>
    <w:rsid w:val="00431ED1"/>
    <w:rsid w:val="00433E57"/>
    <w:rsid w:val="00443DEE"/>
    <w:rsid w:val="004828ED"/>
    <w:rsid w:val="004840E3"/>
    <w:rsid w:val="004B2767"/>
    <w:rsid w:val="004C22F7"/>
    <w:rsid w:val="004C4ADF"/>
    <w:rsid w:val="004D4774"/>
    <w:rsid w:val="004E5B96"/>
    <w:rsid w:val="005048EB"/>
    <w:rsid w:val="00511765"/>
    <w:rsid w:val="005123AD"/>
    <w:rsid w:val="005326AE"/>
    <w:rsid w:val="00541176"/>
    <w:rsid w:val="005910F8"/>
    <w:rsid w:val="00597EFB"/>
    <w:rsid w:val="006113B1"/>
    <w:rsid w:val="0061507A"/>
    <w:rsid w:val="00653741"/>
    <w:rsid w:val="006641DF"/>
    <w:rsid w:val="006741E3"/>
    <w:rsid w:val="00697311"/>
    <w:rsid w:val="006B6DCD"/>
    <w:rsid w:val="006D2DEE"/>
    <w:rsid w:val="006E2CFD"/>
    <w:rsid w:val="006E3D56"/>
    <w:rsid w:val="006E65F2"/>
    <w:rsid w:val="00706873"/>
    <w:rsid w:val="00726A17"/>
    <w:rsid w:val="007374DF"/>
    <w:rsid w:val="007376D0"/>
    <w:rsid w:val="007578D9"/>
    <w:rsid w:val="0076253B"/>
    <w:rsid w:val="00774C58"/>
    <w:rsid w:val="00774D33"/>
    <w:rsid w:val="00787E43"/>
    <w:rsid w:val="0079248C"/>
    <w:rsid w:val="0079336A"/>
    <w:rsid w:val="00794BAD"/>
    <w:rsid w:val="007B15C4"/>
    <w:rsid w:val="007C18C6"/>
    <w:rsid w:val="007D3BCC"/>
    <w:rsid w:val="007D5971"/>
    <w:rsid w:val="007F753F"/>
    <w:rsid w:val="00802006"/>
    <w:rsid w:val="00802957"/>
    <w:rsid w:val="00823317"/>
    <w:rsid w:val="008371FD"/>
    <w:rsid w:val="008579E7"/>
    <w:rsid w:val="00862118"/>
    <w:rsid w:val="00866BFC"/>
    <w:rsid w:val="00877DE7"/>
    <w:rsid w:val="008816C6"/>
    <w:rsid w:val="00881AA2"/>
    <w:rsid w:val="00881F60"/>
    <w:rsid w:val="0088326C"/>
    <w:rsid w:val="008863D6"/>
    <w:rsid w:val="008A1F25"/>
    <w:rsid w:val="008A5B97"/>
    <w:rsid w:val="008B2F48"/>
    <w:rsid w:val="008C4A46"/>
    <w:rsid w:val="008C688B"/>
    <w:rsid w:val="008D1E2D"/>
    <w:rsid w:val="008D2F40"/>
    <w:rsid w:val="008E186B"/>
    <w:rsid w:val="008E295F"/>
    <w:rsid w:val="008E7670"/>
    <w:rsid w:val="00900316"/>
    <w:rsid w:val="00900CF1"/>
    <w:rsid w:val="0090371F"/>
    <w:rsid w:val="0091113A"/>
    <w:rsid w:val="00912491"/>
    <w:rsid w:val="00913E80"/>
    <w:rsid w:val="0092229B"/>
    <w:rsid w:val="0092698C"/>
    <w:rsid w:val="00926AB9"/>
    <w:rsid w:val="0093131F"/>
    <w:rsid w:val="0093493F"/>
    <w:rsid w:val="009426F3"/>
    <w:rsid w:val="009470AE"/>
    <w:rsid w:val="009A1AB6"/>
    <w:rsid w:val="009A28F3"/>
    <w:rsid w:val="009B1132"/>
    <w:rsid w:val="009B56B4"/>
    <w:rsid w:val="009E6973"/>
    <w:rsid w:val="009F47DC"/>
    <w:rsid w:val="009F7CFC"/>
    <w:rsid w:val="00A028AF"/>
    <w:rsid w:val="00A033DB"/>
    <w:rsid w:val="00A05D89"/>
    <w:rsid w:val="00A06951"/>
    <w:rsid w:val="00A25E2E"/>
    <w:rsid w:val="00A27ABA"/>
    <w:rsid w:val="00A301B2"/>
    <w:rsid w:val="00A32EF8"/>
    <w:rsid w:val="00A40678"/>
    <w:rsid w:val="00A412F6"/>
    <w:rsid w:val="00A41C4F"/>
    <w:rsid w:val="00A531F9"/>
    <w:rsid w:val="00A82AA8"/>
    <w:rsid w:val="00AA318F"/>
    <w:rsid w:val="00AA6015"/>
    <w:rsid w:val="00AC1B37"/>
    <w:rsid w:val="00AC3BD0"/>
    <w:rsid w:val="00AD09F9"/>
    <w:rsid w:val="00AD50A4"/>
    <w:rsid w:val="00AE575F"/>
    <w:rsid w:val="00AF146C"/>
    <w:rsid w:val="00B1208C"/>
    <w:rsid w:val="00B136A1"/>
    <w:rsid w:val="00B25D74"/>
    <w:rsid w:val="00B302FE"/>
    <w:rsid w:val="00BA0DC8"/>
    <w:rsid w:val="00BB6812"/>
    <w:rsid w:val="00BC1D1E"/>
    <w:rsid w:val="00BD3904"/>
    <w:rsid w:val="00BE2473"/>
    <w:rsid w:val="00BF0A8A"/>
    <w:rsid w:val="00BF29E3"/>
    <w:rsid w:val="00C04A82"/>
    <w:rsid w:val="00C067E3"/>
    <w:rsid w:val="00C1038E"/>
    <w:rsid w:val="00C45C89"/>
    <w:rsid w:val="00C555B2"/>
    <w:rsid w:val="00C81703"/>
    <w:rsid w:val="00CA4FB1"/>
    <w:rsid w:val="00CB5BFA"/>
    <w:rsid w:val="00CB6CEF"/>
    <w:rsid w:val="00CC12BD"/>
    <w:rsid w:val="00CC2BBB"/>
    <w:rsid w:val="00CC6627"/>
    <w:rsid w:val="00CD1C75"/>
    <w:rsid w:val="00CD7D5B"/>
    <w:rsid w:val="00CE2D0A"/>
    <w:rsid w:val="00CF12A6"/>
    <w:rsid w:val="00D07C02"/>
    <w:rsid w:val="00D118F7"/>
    <w:rsid w:val="00D14CC1"/>
    <w:rsid w:val="00D21BF2"/>
    <w:rsid w:val="00D303E9"/>
    <w:rsid w:val="00D553F7"/>
    <w:rsid w:val="00D71BF8"/>
    <w:rsid w:val="00D87913"/>
    <w:rsid w:val="00D9500E"/>
    <w:rsid w:val="00DA748A"/>
    <w:rsid w:val="00DA78C4"/>
    <w:rsid w:val="00DC03FD"/>
    <w:rsid w:val="00DC150C"/>
    <w:rsid w:val="00DE72C8"/>
    <w:rsid w:val="00DF1283"/>
    <w:rsid w:val="00E11F72"/>
    <w:rsid w:val="00E163ED"/>
    <w:rsid w:val="00E36834"/>
    <w:rsid w:val="00E508DA"/>
    <w:rsid w:val="00E52E61"/>
    <w:rsid w:val="00E668FD"/>
    <w:rsid w:val="00E749B6"/>
    <w:rsid w:val="00E77958"/>
    <w:rsid w:val="00E86A07"/>
    <w:rsid w:val="00EA76D6"/>
    <w:rsid w:val="00EB19A1"/>
    <w:rsid w:val="00EC5133"/>
    <w:rsid w:val="00EE6DBF"/>
    <w:rsid w:val="00EF2FF8"/>
    <w:rsid w:val="00F01A74"/>
    <w:rsid w:val="00F024BA"/>
    <w:rsid w:val="00F31A67"/>
    <w:rsid w:val="00F367B4"/>
    <w:rsid w:val="00F749E9"/>
    <w:rsid w:val="00F946C8"/>
    <w:rsid w:val="00F95949"/>
    <w:rsid w:val="00FA0567"/>
    <w:rsid w:val="00FA17E9"/>
    <w:rsid w:val="00FB16F2"/>
    <w:rsid w:val="00FB4971"/>
    <w:rsid w:val="00FD0685"/>
    <w:rsid w:val="00FD28C5"/>
    <w:rsid w:val="00FD63E0"/>
    <w:rsid w:val="00FF13A7"/>
    <w:rsid w:val="00FF311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2F20C7"/>
  <w15:chartTrackingRefBased/>
  <w15:docId w15:val="{14823564-CFAF-924F-B35C-7D2982A436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47A8"/>
    <w:rPr>
      <w:rFonts w:ascii="Times New Roman" w:eastAsia="Times New Roman" w:hAnsi="Times New Roman" w:cs="Times New Roman"/>
      <w:lang w:eastAsia="en-GB"/>
    </w:rPr>
  </w:style>
  <w:style w:type="paragraph" w:styleId="Heading1">
    <w:name w:val="heading 1"/>
    <w:basedOn w:val="Normal"/>
    <w:link w:val="Heading1Char"/>
    <w:uiPriority w:val="9"/>
    <w:qFormat/>
    <w:rsid w:val="003947A8"/>
    <w:pPr>
      <w:spacing w:before="100" w:beforeAutospacing="1" w:after="100" w:afterAutospacing="1"/>
      <w:outlineLvl w:val="0"/>
    </w:pPr>
    <w:rPr>
      <w:b/>
      <w:bCs/>
      <w:kern w:val="36"/>
      <w:sz w:val="48"/>
      <w:szCs w:val="48"/>
    </w:rPr>
  </w:style>
  <w:style w:type="paragraph" w:styleId="Heading2">
    <w:name w:val="heading 2"/>
    <w:basedOn w:val="Normal"/>
    <w:link w:val="Heading2Char"/>
    <w:uiPriority w:val="9"/>
    <w:qFormat/>
    <w:rsid w:val="003947A8"/>
    <w:pPr>
      <w:spacing w:before="100" w:beforeAutospacing="1" w:after="100" w:afterAutospacing="1"/>
      <w:outlineLvl w:val="1"/>
    </w:pPr>
    <w:rPr>
      <w:b/>
      <w:bCs/>
      <w:sz w:val="36"/>
      <w:szCs w:val="36"/>
    </w:rPr>
  </w:style>
  <w:style w:type="paragraph" w:styleId="Heading3">
    <w:name w:val="heading 3"/>
    <w:basedOn w:val="Normal"/>
    <w:link w:val="Heading3Char"/>
    <w:uiPriority w:val="9"/>
    <w:qFormat/>
    <w:rsid w:val="003947A8"/>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47A8"/>
    <w:rPr>
      <w:rFonts w:ascii="Times New Roman" w:eastAsia="Times New Roman" w:hAnsi="Times New Roman" w:cs="Times New Roman"/>
      <w:b/>
      <w:bCs/>
      <w:kern w:val="36"/>
      <w:sz w:val="48"/>
      <w:szCs w:val="48"/>
      <w:lang w:eastAsia="en-GB"/>
    </w:rPr>
  </w:style>
  <w:style w:type="character" w:customStyle="1" w:styleId="Heading2Char">
    <w:name w:val="Heading 2 Char"/>
    <w:basedOn w:val="DefaultParagraphFont"/>
    <w:link w:val="Heading2"/>
    <w:uiPriority w:val="9"/>
    <w:rsid w:val="003947A8"/>
    <w:rPr>
      <w:rFonts w:ascii="Times New Roman" w:eastAsia="Times New Roman" w:hAnsi="Times New Roman" w:cs="Times New Roman"/>
      <w:b/>
      <w:bCs/>
      <w:sz w:val="36"/>
      <w:szCs w:val="36"/>
      <w:lang w:eastAsia="en-GB"/>
    </w:rPr>
  </w:style>
  <w:style w:type="character" w:customStyle="1" w:styleId="Heading3Char">
    <w:name w:val="Heading 3 Char"/>
    <w:basedOn w:val="DefaultParagraphFont"/>
    <w:link w:val="Heading3"/>
    <w:uiPriority w:val="9"/>
    <w:rsid w:val="003947A8"/>
    <w:rPr>
      <w:rFonts w:ascii="Times New Roman" w:eastAsia="Times New Roman" w:hAnsi="Times New Roman" w:cs="Times New Roman"/>
      <w:b/>
      <w:bCs/>
      <w:sz w:val="27"/>
      <w:szCs w:val="27"/>
      <w:lang w:eastAsia="en-GB"/>
    </w:rPr>
  </w:style>
  <w:style w:type="paragraph" w:styleId="NormalWeb">
    <w:name w:val="Normal (Web)"/>
    <w:basedOn w:val="Normal"/>
    <w:uiPriority w:val="99"/>
    <w:unhideWhenUsed/>
    <w:rsid w:val="003947A8"/>
    <w:pPr>
      <w:spacing w:before="100" w:beforeAutospacing="1" w:after="100" w:afterAutospacing="1"/>
    </w:pPr>
  </w:style>
  <w:style w:type="character" w:customStyle="1" w:styleId="apple-tab-span">
    <w:name w:val="apple-tab-span"/>
    <w:basedOn w:val="DefaultParagraphFont"/>
    <w:rsid w:val="003947A8"/>
  </w:style>
  <w:style w:type="character" w:styleId="Hyperlink">
    <w:name w:val="Hyperlink"/>
    <w:basedOn w:val="DefaultParagraphFont"/>
    <w:uiPriority w:val="99"/>
    <w:unhideWhenUsed/>
    <w:rsid w:val="003947A8"/>
    <w:rPr>
      <w:color w:val="0000FF"/>
      <w:u w:val="single"/>
    </w:rPr>
  </w:style>
  <w:style w:type="character" w:customStyle="1" w:styleId="TitleChar">
    <w:name w:val="Title Char"/>
    <w:basedOn w:val="DefaultParagraphFont"/>
    <w:link w:val="Title"/>
    <w:uiPriority w:val="10"/>
    <w:rsid w:val="003947A8"/>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rsid w:val="003947A8"/>
    <w:pPr>
      <w:contextualSpacing/>
    </w:pPr>
    <w:rPr>
      <w:rFonts w:asciiTheme="majorHAnsi" w:eastAsiaTheme="majorEastAsia" w:hAnsiTheme="majorHAnsi" w:cstheme="majorBidi"/>
      <w:spacing w:val="-10"/>
      <w:kern w:val="28"/>
      <w:sz w:val="56"/>
      <w:szCs w:val="56"/>
      <w:lang w:eastAsia="en-US"/>
    </w:rPr>
  </w:style>
  <w:style w:type="character" w:customStyle="1" w:styleId="TitleChar1">
    <w:name w:val="Title Char1"/>
    <w:basedOn w:val="DefaultParagraphFont"/>
    <w:uiPriority w:val="10"/>
    <w:rsid w:val="003947A8"/>
    <w:rPr>
      <w:rFonts w:asciiTheme="majorHAnsi" w:eastAsiaTheme="majorEastAsia" w:hAnsiTheme="majorHAnsi" w:cstheme="majorBidi"/>
      <w:spacing w:val="-10"/>
      <w:kern w:val="28"/>
      <w:sz w:val="56"/>
      <w:szCs w:val="56"/>
      <w:lang w:eastAsia="en-GB"/>
    </w:rPr>
  </w:style>
  <w:style w:type="character" w:styleId="Emphasis">
    <w:name w:val="Emphasis"/>
    <w:basedOn w:val="DefaultParagraphFont"/>
    <w:uiPriority w:val="20"/>
    <w:qFormat/>
    <w:rsid w:val="003947A8"/>
    <w:rPr>
      <w:i/>
      <w:iCs/>
    </w:rPr>
  </w:style>
  <w:style w:type="paragraph" w:styleId="ListParagraph">
    <w:name w:val="List Paragraph"/>
    <w:basedOn w:val="Normal"/>
    <w:uiPriority w:val="34"/>
    <w:qFormat/>
    <w:rsid w:val="003947A8"/>
    <w:pPr>
      <w:spacing w:after="160" w:line="259" w:lineRule="auto"/>
      <w:ind w:left="720"/>
      <w:contextualSpacing/>
    </w:pPr>
    <w:rPr>
      <w:rFonts w:asciiTheme="minorHAnsi" w:eastAsiaTheme="minorHAnsi" w:hAnsiTheme="minorHAnsi" w:cstheme="minorBidi"/>
      <w:sz w:val="22"/>
      <w:szCs w:val="22"/>
      <w:lang w:eastAsia="en-US"/>
    </w:rPr>
  </w:style>
  <w:style w:type="table" w:styleId="TableGrid">
    <w:name w:val="Table Grid"/>
    <w:basedOn w:val="TableNormal"/>
    <w:uiPriority w:val="59"/>
    <w:rsid w:val="003947A8"/>
    <w:rPr>
      <w:sz w:val="22"/>
      <w:szCs w:val="22"/>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rsid w:val="003947A8"/>
  </w:style>
  <w:style w:type="paragraph" w:styleId="Header">
    <w:name w:val="header"/>
    <w:basedOn w:val="Normal"/>
    <w:link w:val="HeaderChar"/>
    <w:uiPriority w:val="99"/>
    <w:unhideWhenUsed/>
    <w:rsid w:val="003947A8"/>
    <w:pPr>
      <w:tabs>
        <w:tab w:val="center" w:pos="4680"/>
        <w:tab w:val="right" w:pos="9360"/>
      </w:tabs>
    </w:pPr>
    <w:rPr>
      <w:rFonts w:asciiTheme="minorHAnsi" w:eastAsiaTheme="minorHAnsi" w:hAnsiTheme="minorHAnsi" w:cstheme="minorBidi"/>
      <w:lang w:eastAsia="en-US"/>
    </w:rPr>
  </w:style>
  <w:style w:type="character" w:customStyle="1" w:styleId="HeaderChar1">
    <w:name w:val="Header Char1"/>
    <w:basedOn w:val="DefaultParagraphFont"/>
    <w:uiPriority w:val="99"/>
    <w:semiHidden/>
    <w:rsid w:val="003947A8"/>
    <w:rPr>
      <w:rFonts w:ascii="Times New Roman" w:eastAsia="Times New Roman" w:hAnsi="Times New Roman" w:cs="Times New Roman"/>
      <w:lang w:eastAsia="en-GB"/>
    </w:rPr>
  </w:style>
  <w:style w:type="character" w:customStyle="1" w:styleId="FooterChar">
    <w:name w:val="Footer Char"/>
    <w:basedOn w:val="DefaultParagraphFont"/>
    <w:link w:val="Footer"/>
    <w:uiPriority w:val="99"/>
    <w:rsid w:val="003947A8"/>
  </w:style>
  <w:style w:type="paragraph" w:styleId="Footer">
    <w:name w:val="footer"/>
    <w:basedOn w:val="Normal"/>
    <w:link w:val="FooterChar"/>
    <w:uiPriority w:val="99"/>
    <w:unhideWhenUsed/>
    <w:rsid w:val="003947A8"/>
    <w:pPr>
      <w:tabs>
        <w:tab w:val="center" w:pos="4680"/>
        <w:tab w:val="right" w:pos="9360"/>
      </w:tabs>
    </w:pPr>
    <w:rPr>
      <w:rFonts w:asciiTheme="minorHAnsi" w:eastAsiaTheme="minorHAnsi" w:hAnsiTheme="minorHAnsi" w:cstheme="minorBidi"/>
      <w:lang w:eastAsia="en-US"/>
    </w:rPr>
  </w:style>
  <w:style w:type="character" w:customStyle="1" w:styleId="FooterChar1">
    <w:name w:val="Footer Char1"/>
    <w:basedOn w:val="DefaultParagraphFont"/>
    <w:uiPriority w:val="99"/>
    <w:semiHidden/>
    <w:rsid w:val="003947A8"/>
    <w:rPr>
      <w:rFonts w:ascii="Times New Roman" w:eastAsia="Times New Roman" w:hAnsi="Times New Roman" w:cs="Times New Roman"/>
      <w:lang w:eastAsia="en-GB"/>
    </w:rPr>
  </w:style>
  <w:style w:type="character" w:styleId="PlaceholderText">
    <w:name w:val="Placeholder Text"/>
    <w:basedOn w:val="DefaultParagraphFont"/>
    <w:uiPriority w:val="99"/>
    <w:semiHidden/>
    <w:rsid w:val="003947A8"/>
    <w:rPr>
      <w:color w:val="808080"/>
    </w:rPr>
  </w:style>
  <w:style w:type="paragraph" w:styleId="FootnoteText">
    <w:name w:val="footnote text"/>
    <w:basedOn w:val="Normal"/>
    <w:link w:val="FootnoteTextChar"/>
    <w:uiPriority w:val="99"/>
    <w:semiHidden/>
    <w:unhideWhenUsed/>
    <w:rsid w:val="003947A8"/>
    <w:rPr>
      <w:rFonts w:asciiTheme="minorHAnsi" w:eastAsiaTheme="minorHAnsi" w:hAnsiTheme="minorHAnsi" w:cstheme="minorBidi"/>
      <w:sz w:val="20"/>
      <w:szCs w:val="20"/>
      <w:lang w:eastAsia="en-US"/>
    </w:rPr>
  </w:style>
  <w:style w:type="character" w:customStyle="1" w:styleId="FootnoteTextChar">
    <w:name w:val="Footnote Text Char"/>
    <w:basedOn w:val="DefaultParagraphFont"/>
    <w:link w:val="FootnoteText"/>
    <w:uiPriority w:val="99"/>
    <w:semiHidden/>
    <w:rsid w:val="003947A8"/>
    <w:rPr>
      <w:sz w:val="20"/>
      <w:szCs w:val="20"/>
    </w:rPr>
  </w:style>
  <w:style w:type="character" w:styleId="FootnoteReference">
    <w:name w:val="footnote reference"/>
    <w:basedOn w:val="DefaultParagraphFont"/>
    <w:uiPriority w:val="99"/>
    <w:semiHidden/>
    <w:unhideWhenUsed/>
    <w:rsid w:val="003947A8"/>
    <w:rPr>
      <w:vertAlign w:val="superscript"/>
    </w:rPr>
  </w:style>
  <w:style w:type="character" w:styleId="FollowedHyperlink">
    <w:name w:val="FollowedHyperlink"/>
    <w:basedOn w:val="DefaultParagraphFont"/>
    <w:uiPriority w:val="99"/>
    <w:semiHidden/>
    <w:unhideWhenUsed/>
    <w:rsid w:val="003947A8"/>
    <w:rPr>
      <w:color w:val="954F72" w:themeColor="followedHyperlink"/>
      <w:u w:val="single"/>
    </w:rPr>
  </w:style>
  <w:style w:type="character" w:customStyle="1" w:styleId="UnresolvedMention1">
    <w:name w:val="Unresolved Mention1"/>
    <w:basedOn w:val="DefaultParagraphFont"/>
    <w:uiPriority w:val="99"/>
    <w:semiHidden/>
    <w:unhideWhenUsed/>
    <w:rsid w:val="003947A8"/>
    <w:rPr>
      <w:color w:val="605E5C"/>
      <w:shd w:val="clear" w:color="auto" w:fill="E1DFDD"/>
    </w:rPr>
  </w:style>
  <w:style w:type="paragraph" w:styleId="BalloonText">
    <w:name w:val="Balloon Text"/>
    <w:basedOn w:val="Normal"/>
    <w:link w:val="BalloonTextChar"/>
    <w:uiPriority w:val="99"/>
    <w:semiHidden/>
    <w:unhideWhenUsed/>
    <w:rsid w:val="003947A8"/>
    <w:rPr>
      <w:rFonts w:ascii="Segoe UI" w:eastAsiaTheme="minorHAnsi" w:hAnsi="Segoe UI" w:cs="Segoe UI"/>
      <w:sz w:val="18"/>
      <w:szCs w:val="18"/>
      <w:lang w:eastAsia="en-US"/>
    </w:rPr>
  </w:style>
  <w:style w:type="character" w:customStyle="1" w:styleId="BalloonTextChar">
    <w:name w:val="Balloon Text Char"/>
    <w:basedOn w:val="DefaultParagraphFont"/>
    <w:link w:val="BalloonText"/>
    <w:uiPriority w:val="99"/>
    <w:semiHidden/>
    <w:rsid w:val="003947A8"/>
    <w:rPr>
      <w:rFonts w:ascii="Segoe UI" w:hAnsi="Segoe UI" w:cs="Segoe UI"/>
      <w:sz w:val="18"/>
      <w:szCs w:val="18"/>
    </w:rPr>
  </w:style>
  <w:style w:type="character" w:styleId="CommentReference">
    <w:name w:val="annotation reference"/>
    <w:basedOn w:val="DefaultParagraphFont"/>
    <w:uiPriority w:val="99"/>
    <w:semiHidden/>
    <w:unhideWhenUsed/>
    <w:rsid w:val="003947A8"/>
    <w:rPr>
      <w:sz w:val="16"/>
      <w:szCs w:val="16"/>
    </w:rPr>
  </w:style>
  <w:style w:type="paragraph" w:styleId="CommentText">
    <w:name w:val="annotation text"/>
    <w:basedOn w:val="Normal"/>
    <w:link w:val="CommentTextChar"/>
    <w:uiPriority w:val="99"/>
    <w:semiHidden/>
    <w:unhideWhenUsed/>
    <w:rsid w:val="003947A8"/>
    <w:pPr>
      <w:spacing w:after="160"/>
    </w:pPr>
    <w:rPr>
      <w:rFonts w:asciiTheme="minorHAnsi" w:eastAsiaTheme="minorHAnsi" w:hAnsiTheme="minorHAnsi" w:cstheme="minorBidi"/>
      <w:sz w:val="20"/>
      <w:szCs w:val="20"/>
      <w:lang w:eastAsia="en-US"/>
    </w:rPr>
  </w:style>
  <w:style w:type="character" w:customStyle="1" w:styleId="CommentTextChar">
    <w:name w:val="Comment Text Char"/>
    <w:basedOn w:val="DefaultParagraphFont"/>
    <w:link w:val="CommentText"/>
    <w:uiPriority w:val="99"/>
    <w:semiHidden/>
    <w:rsid w:val="003947A8"/>
    <w:rPr>
      <w:sz w:val="20"/>
      <w:szCs w:val="20"/>
    </w:rPr>
  </w:style>
  <w:style w:type="paragraph" w:styleId="CommentSubject">
    <w:name w:val="annotation subject"/>
    <w:basedOn w:val="CommentText"/>
    <w:next w:val="CommentText"/>
    <w:link w:val="CommentSubjectChar"/>
    <w:uiPriority w:val="99"/>
    <w:semiHidden/>
    <w:unhideWhenUsed/>
    <w:rsid w:val="003947A8"/>
    <w:rPr>
      <w:b/>
      <w:bCs/>
    </w:rPr>
  </w:style>
  <w:style w:type="character" w:customStyle="1" w:styleId="CommentSubjectChar">
    <w:name w:val="Comment Subject Char"/>
    <w:basedOn w:val="CommentTextChar"/>
    <w:link w:val="CommentSubject"/>
    <w:uiPriority w:val="99"/>
    <w:semiHidden/>
    <w:rsid w:val="003947A8"/>
    <w:rPr>
      <w:b/>
      <w:bCs/>
      <w:sz w:val="20"/>
      <w:szCs w:val="20"/>
    </w:rPr>
  </w:style>
  <w:style w:type="paragraph" w:styleId="TOCHeading">
    <w:name w:val="TOC Heading"/>
    <w:basedOn w:val="Heading1"/>
    <w:next w:val="Normal"/>
    <w:uiPriority w:val="39"/>
    <w:unhideWhenUsed/>
    <w:qFormat/>
    <w:rsid w:val="003947A8"/>
    <w:pPr>
      <w:keepNext/>
      <w:keepLines/>
      <w:spacing w:before="480" w:beforeAutospacing="0" w:after="0" w:afterAutospacing="0" w:line="276" w:lineRule="auto"/>
      <w:outlineLvl w:val="9"/>
    </w:pPr>
    <w:rPr>
      <w:rFonts w:asciiTheme="majorHAnsi" w:eastAsiaTheme="majorEastAsia" w:hAnsiTheme="majorHAnsi" w:cstheme="majorBidi"/>
      <w:color w:val="2F5496" w:themeColor="accent1" w:themeShade="BF"/>
      <w:kern w:val="0"/>
      <w:sz w:val="28"/>
      <w:szCs w:val="28"/>
      <w:lang w:val="en-US" w:eastAsia="en-US"/>
    </w:rPr>
  </w:style>
  <w:style w:type="paragraph" w:styleId="TOC1">
    <w:name w:val="toc 1"/>
    <w:basedOn w:val="Normal"/>
    <w:next w:val="Normal"/>
    <w:autoRedefine/>
    <w:uiPriority w:val="39"/>
    <w:unhideWhenUsed/>
    <w:rsid w:val="003947A8"/>
    <w:pPr>
      <w:spacing w:before="120" w:line="259" w:lineRule="auto"/>
    </w:pPr>
    <w:rPr>
      <w:rFonts w:asciiTheme="minorHAnsi" w:eastAsiaTheme="minorHAnsi" w:hAnsiTheme="minorHAnsi" w:cstheme="minorHAnsi"/>
      <w:b/>
      <w:bCs/>
      <w:i/>
      <w:iCs/>
      <w:lang w:eastAsia="en-US"/>
    </w:rPr>
  </w:style>
  <w:style w:type="paragraph" w:styleId="TOC2">
    <w:name w:val="toc 2"/>
    <w:basedOn w:val="Normal"/>
    <w:next w:val="Normal"/>
    <w:autoRedefine/>
    <w:uiPriority w:val="39"/>
    <w:unhideWhenUsed/>
    <w:rsid w:val="003947A8"/>
    <w:pPr>
      <w:spacing w:before="120" w:line="259" w:lineRule="auto"/>
      <w:ind w:left="220"/>
    </w:pPr>
    <w:rPr>
      <w:rFonts w:asciiTheme="minorHAnsi" w:eastAsiaTheme="minorHAnsi" w:hAnsiTheme="minorHAnsi" w:cstheme="minorHAnsi"/>
      <w:b/>
      <w:bCs/>
      <w:sz w:val="22"/>
      <w:szCs w:val="22"/>
      <w:lang w:eastAsia="en-US"/>
    </w:rPr>
  </w:style>
  <w:style w:type="paragraph" w:styleId="TOC3">
    <w:name w:val="toc 3"/>
    <w:basedOn w:val="Normal"/>
    <w:next w:val="Normal"/>
    <w:autoRedefine/>
    <w:uiPriority w:val="39"/>
    <w:unhideWhenUsed/>
    <w:rsid w:val="003947A8"/>
    <w:pPr>
      <w:spacing w:line="259" w:lineRule="auto"/>
      <w:ind w:left="440"/>
    </w:pPr>
    <w:rPr>
      <w:rFonts w:asciiTheme="minorHAnsi" w:eastAsiaTheme="minorHAnsi" w:hAnsiTheme="minorHAnsi" w:cstheme="minorHAnsi"/>
      <w:sz w:val="20"/>
      <w:szCs w:val="20"/>
      <w:lang w:eastAsia="en-US"/>
    </w:rPr>
  </w:style>
  <w:style w:type="paragraph" w:styleId="TOC4">
    <w:name w:val="toc 4"/>
    <w:basedOn w:val="Normal"/>
    <w:next w:val="Normal"/>
    <w:autoRedefine/>
    <w:uiPriority w:val="39"/>
    <w:semiHidden/>
    <w:unhideWhenUsed/>
    <w:rsid w:val="003947A8"/>
    <w:pPr>
      <w:spacing w:line="259" w:lineRule="auto"/>
      <w:ind w:left="660"/>
    </w:pPr>
    <w:rPr>
      <w:rFonts w:asciiTheme="minorHAnsi" w:eastAsiaTheme="minorHAnsi" w:hAnsiTheme="minorHAnsi" w:cstheme="minorHAnsi"/>
      <w:sz w:val="20"/>
      <w:szCs w:val="20"/>
      <w:lang w:eastAsia="en-US"/>
    </w:rPr>
  </w:style>
  <w:style w:type="paragraph" w:styleId="TOC5">
    <w:name w:val="toc 5"/>
    <w:basedOn w:val="Normal"/>
    <w:next w:val="Normal"/>
    <w:autoRedefine/>
    <w:uiPriority w:val="39"/>
    <w:semiHidden/>
    <w:unhideWhenUsed/>
    <w:rsid w:val="003947A8"/>
    <w:pPr>
      <w:spacing w:line="259" w:lineRule="auto"/>
      <w:ind w:left="880"/>
    </w:pPr>
    <w:rPr>
      <w:rFonts w:asciiTheme="minorHAnsi" w:eastAsiaTheme="minorHAnsi" w:hAnsiTheme="minorHAnsi" w:cstheme="minorHAnsi"/>
      <w:sz w:val="20"/>
      <w:szCs w:val="20"/>
      <w:lang w:eastAsia="en-US"/>
    </w:rPr>
  </w:style>
  <w:style w:type="paragraph" w:styleId="TOC6">
    <w:name w:val="toc 6"/>
    <w:basedOn w:val="Normal"/>
    <w:next w:val="Normal"/>
    <w:autoRedefine/>
    <w:uiPriority w:val="39"/>
    <w:semiHidden/>
    <w:unhideWhenUsed/>
    <w:rsid w:val="003947A8"/>
    <w:pPr>
      <w:spacing w:line="259" w:lineRule="auto"/>
      <w:ind w:left="1100"/>
    </w:pPr>
    <w:rPr>
      <w:rFonts w:asciiTheme="minorHAnsi" w:eastAsiaTheme="minorHAnsi" w:hAnsiTheme="minorHAnsi" w:cstheme="minorHAnsi"/>
      <w:sz w:val="20"/>
      <w:szCs w:val="20"/>
      <w:lang w:eastAsia="en-US"/>
    </w:rPr>
  </w:style>
  <w:style w:type="paragraph" w:styleId="TOC7">
    <w:name w:val="toc 7"/>
    <w:basedOn w:val="Normal"/>
    <w:next w:val="Normal"/>
    <w:autoRedefine/>
    <w:uiPriority w:val="39"/>
    <w:semiHidden/>
    <w:unhideWhenUsed/>
    <w:rsid w:val="003947A8"/>
    <w:pPr>
      <w:spacing w:line="259" w:lineRule="auto"/>
      <w:ind w:left="1320"/>
    </w:pPr>
    <w:rPr>
      <w:rFonts w:asciiTheme="minorHAnsi" w:eastAsiaTheme="minorHAnsi" w:hAnsiTheme="minorHAnsi" w:cstheme="minorHAnsi"/>
      <w:sz w:val="20"/>
      <w:szCs w:val="20"/>
      <w:lang w:eastAsia="en-US"/>
    </w:rPr>
  </w:style>
  <w:style w:type="paragraph" w:styleId="TOC8">
    <w:name w:val="toc 8"/>
    <w:basedOn w:val="Normal"/>
    <w:next w:val="Normal"/>
    <w:autoRedefine/>
    <w:uiPriority w:val="39"/>
    <w:semiHidden/>
    <w:unhideWhenUsed/>
    <w:rsid w:val="003947A8"/>
    <w:pPr>
      <w:spacing w:line="259" w:lineRule="auto"/>
      <w:ind w:left="1540"/>
    </w:pPr>
    <w:rPr>
      <w:rFonts w:asciiTheme="minorHAnsi" w:eastAsiaTheme="minorHAnsi" w:hAnsiTheme="minorHAnsi" w:cstheme="minorHAnsi"/>
      <w:sz w:val="20"/>
      <w:szCs w:val="20"/>
      <w:lang w:eastAsia="en-US"/>
    </w:rPr>
  </w:style>
  <w:style w:type="paragraph" w:styleId="TOC9">
    <w:name w:val="toc 9"/>
    <w:basedOn w:val="Normal"/>
    <w:next w:val="Normal"/>
    <w:autoRedefine/>
    <w:uiPriority w:val="39"/>
    <w:semiHidden/>
    <w:unhideWhenUsed/>
    <w:rsid w:val="003947A8"/>
    <w:pPr>
      <w:spacing w:line="259" w:lineRule="auto"/>
      <w:ind w:left="1760"/>
    </w:pPr>
    <w:rPr>
      <w:rFonts w:asciiTheme="minorHAnsi" w:eastAsiaTheme="minorHAnsi" w:hAnsiTheme="minorHAnsi" w:cstheme="minorHAnsi"/>
      <w:sz w:val="20"/>
      <w:szCs w:val="20"/>
      <w:lang w:eastAsia="en-US"/>
    </w:rPr>
  </w:style>
  <w:style w:type="character" w:styleId="PageNumber">
    <w:name w:val="page number"/>
    <w:basedOn w:val="DefaultParagraphFont"/>
    <w:uiPriority w:val="99"/>
    <w:semiHidden/>
    <w:unhideWhenUsed/>
    <w:rsid w:val="003947A8"/>
  </w:style>
  <w:style w:type="paragraph" w:styleId="Revision">
    <w:name w:val="Revision"/>
    <w:hidden/>
    <w:uiPriority w:val="99"/>
    <w:semiHidden/>
    <w:rsid w:val="003947A8"/>
    <w:rPr>
      <w:sz w:val="22"/>
      <w:szCs w:val="22"/>
    </w:rPr>
  </w:style>
  <w:style w:type="character" w:customStyle="1" w:styleId="UnresolvedMention2">
    <w:name w:val="Unresolved Mention2"/>
    <w:basedOn w:val="DefaultParagraphFont"/>
    <w:uiPriority w:val="99"/>
    <w:semiHidden/>
    <w:unhideWhenUsed/>
    <w:rsid w:val="003947A8"/>
    <w:rPr>
      <w:color w:val="605E5C"/>
      <w:shd w:val="clear" w:color="auto" w:fill="E1DFDD"/>
    </w:rPr>
  </w:style>
  <w:style w:type="character" w:styleId="LineNumber">
    <w:name w:val="line number"/>
    <w:basedOn w:val="DefaultParagraphFont"/>
    <w:uiPriority w:val="99"/>
    <w:semiHidden/>
    <w:unhideWhenUsed/>
    <w:rsid w:val="0080200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648653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Emanuele-Giacomuzzo/Data_aggregation" TargetMode="External"/><Relationship Id="rId13" Type="http://schemas.openxmlformats.org/officeDocument/2006/relationships/image" Target="media/image4.png"/><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emf"/><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uk.mathworks.com/matlabcentral/fileexchange/89907-food-web-analysis-toolbox" TargetMode="External"/><Relationship Id="rId14" Type="http://schemas.openxmlformats.org/officeDocument/2006/relationships/image" Target="media/image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5A5EBB-D571-409F-AB53-C49A1095F1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30</Pages>
  <Words>28086</Words>
  <Characters>160095</Characters>
  <Application>Microsoft Office Word</Application>
  <DocSecurity>0</DocSecurity>
  <Lines>1334</Lines>
  <Paragraphs>375</Paragraphs>
  <ScaleCrop>false</ScaleCrop>
  <HeadingPairs>
    <vt:vector size="4" baseType="variant">
      <vt:variant>
        <vt:lpstr>Cím</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187806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Giacomuzzo, Emanuele</dc:creator>
  <cp:keywords/>
  <dc:description/>
  <cp:lastModifiedBy>Giacomuzzo, Emanuele</cp:lastModifiedBy>
  <cp:revision>4</cp:revision>
  <dcterms:created xsi:type="dcterms:W3CDTF">2021-04-16T20:28:00Z</dcterms:created>
  <dcterms:modified xsi:type="dcterms:W3CDTF">2021-04-18T13:00:00Z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62151402-7c1b-31ca-97d5-bd49497aa3d0</vt:lpwstr>
  </property>
  <property fmtid="{D5CDD505-2E9C-101B-9397-08002B2CF9AE}" pid="24" name="Mendeley Citation Style_1">
    <vt:lpwstr>http://www.zotero.org/styles/apa</vt:lpwstr>
  </property>
</Properties>
</file>