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1F4D78"/>
          <w:sz w:val="56"/>
          <w:szCs w:val="56"/>
        </w:rPr>
        <w:t xml:space="preserve">WP1 — L.A. Domain SOTA</w:t>
      </w:r>
    </w:p>
    <w:p>
      <w:pPr>
        <w:pBdr>
          <w:bottom w:val="single" w:color="2E74B5" w:sz="6" w:space="6"/>
        </w:pBdr>
        <w:spacing w:after="240"/>
      </w:pPr>
      <w:r>
        <w:rPr>
          <w:color w:val="2E74B5"/>
          <w:sz w:val="30"/>
          <w:szCs w:val="30"/>
        </w:rPr>
        <w:t xml:space="preserve">D1 — Analysis of the Application Domain</w:t>
      </w:r>
    </w:p>
    <w:p>
      <w:pPr>
        <w:pStyle w:val="Heading1"/>
        <w:spacing w:after="120" w:before="240"/>
      </w:pPr>
      <w:r>
        <w:t xml:space="preserve">1. Scope</w:t>
      </w:r>
    </w:p>
    <w:p>
      <w:pPr>
        <w:spacing w:after="120" w:before="0" w:line="276"/>
      </w:pPr>
      <w:r>
        <w:t xml:space="preserve">The domain of this project is the application of deep learning to the DermaMNIST dataset, with a focus on two tasks central to the project pipeline: classification of skin lesions and data augmentation to mitigate the dataset's intrinsic limitations. This document summarizes the state of the art of these two tasks and characterizes the domain — the nature of the data, the classes it contains, the associated medical background, and the known data-quality issues — reporting the aspects most relevant to the final scope of the project (a multi-agent system for classification and classification enrichment).</w:t>
      </w:r>
    </w:p>
    <w:p>
      <w:pPr>
        <w:pStyle w:val="Heading1"/>
        <w:spacing w:after="120" w:before="240"/>
      </w:pPr>
      <w:r>
        <w:t xml:space="preserve">2. The DermaMNIST Dataset</w:t>
      </w:r>
    </w:p>
    <w:p>
      <w:pPr>
        <w:spacing w:after="120" w:before="0" w:line="276"/>
      </w:pPr>
      <w:r>
        <w:t xml:space="preserve">DermaMNIST is one of the 2D datasets of the MedMNIST v2 benchmark collection. It is derived from HAM10000 (“Human Against Machine with 10000 training images”), a large collection of multi-source dermatoscopic images of common pigmented skin lesions.</w:t>
      </w:r>
    </w:p>
    <w:p>
      <w:pPr>
        <w:spacing w:after="80" w:before="0" w:line="276"/>
      </w:pPr>
      <w:r>
        <w:rPr>
          <w:b/>
          <w:bCs/>
        </w:rPr>
        <w:t xml:space="preserve">Key characteristics:</w:t>
      </w:r>
    </w:p>
    <w:p>
      <w:pPr>
        <w:pStyle w:val="ListParagraph"/>
        <w:numPr>
          <w:ilvl w:val="0"/>
          <w:numId w:val="2"/>
        </w:numPr>
        <w:spacing w:after="80" w:line="276"/>
      </w:pPr>
      <w:r>
        <w:rPr>
          <w:b/>
          <w:bCs/>
        </w:rPr>
        <w:t xml:space="preserve">Volume: </w:t>
      </w:r>
      <w:r>
        <w:t xml:space="preserve">10,015 dermatoscopic images.</w:t>
      </w:r>
    </w:p>
    <w:p>
      <w:pPr>
        <w:pStyle w:val="ListParagraph"/>
        <w:numPr>
          <w:ilvl w:val="0"/>
          <w:numId w:val="2"/>
        </w:numPr>
        <w:spacing w:after="80" w:line="276"/>
      </w:pPr>
      <w:r>
        <w:rPr>
          <w:b/>
          <w:bCs/>
        </w:rPr>
        <w:t xml:space="preserve">Task: </w:t>
      </w:r>
      <w:r>
        <w:t xml:space="preserve">multi-class classification, 7 diagnostic classes.</w:t>
      </w:r>
    </w:p>
    <w:p>
      <w:pPr>
        <w:pStyle w:val="ListParagraph"/>
        <w:numPr>
          <w:ilvl w:val="0"/>
          <w:numId w:val="2"/>
        </w:numPr>
        <w:spacing w:after="80" w:line="276"/>
      </w:pPr>
      <w:r>
        <w:rPr>
          <w:b/>
          <w:bCs/>
        </w:rPr>
        <w:t xml:space="preserve">Resolution: </w:t>
      </w:r>
      <w:r>
        <w:t xml:space="preserve">original HAM10000 images (3 × 600 × 450) are resized to 3 × 28 × 28 (RGB). This aggressive down-sampling is the defining trait — and main limitation — of the dataset.</w:t>
      </w:r>
    </w:p>
    <w:p>
      <w:pPr>
        <w:pStyle w:val="ListParagraph"/>
        <w:numPr>
          <w:ilvl w:val="0"/>
          <w:numId w:val="2"/>
        </w:numPr>
        <w:spacing w:after="80" w:line="276"/>
      </w:pPr>
      <w:r>
        <w:rPr>
          <w:b/>
          <w:bCs/>
        </w:rPr>
        <w:t xml:space="preserve">Split: </w:t>
      </w:r>
      <w:r>
        <w:t xml:space="preserve">train / validation / test = 7 : 1 : 2.</w:t>
      </w:r>
    </w:p>
    <w:p>
      <w:pPr>
        <w:pStyle w:val="ListParagraph"/>
        <w:numPr>
          <w:ilvl w:val="0"/>
          <w:numId w:val="2"/>
        </w:numPr>
        <w:spacing w:after="80" w:line="276"/>
      </w:pPr>
      <w:r>
        <w:rPr>
          <w:b/>
          <w:bCs/>
        </w:rPr>
        <w:t xml:space="preserve">Rationale: </w:t>
      </w:r>
      <w:r>
        <w:t xml:space="preserve">the MedMNIST design goal is a lightweight, standardized, “MNIST-like” benchmark usable without domain knowledge — convenient for rapid prototyping but not representative of full-resolution clinical imaging.</w:t>
      </w:r>
    </w:p>
    <w:p>
      <w:pPr>
        <w:spacing w:after="100" w:before="120" w:line="276"/>
      </w:pPr>
      <w:r>
        <w:rPr>
          <w:b/>
          <w:bCs/>
        </w:rPr>
        <w:t xml:space="preserve">Class distribution (from HAM10000) — severe imbalance: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pPr>
            <w:r>
              <w:rPr>
                <w:b/>
                <w:bCs/>
                <w:color w:val="FFFFFF"/>
                <w:sz w:val="19"/>
                <w:szCs w:val="19"/>
              </w:rPr>
              <w:t xml:space="preserve">Class</w:t>
            </w:r>
          </w:p>
        </w:tc>
        <w:tc>
          <w:tcPr>
            <w:tcW w:type="dxa" w:w="44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pPr>
            <w:r>
              <w:rPr>
                <w:b/>
                <w:bCs/>
                <w:color w:val="FFFFFF"/>
                <w:sz w:val="19"/>
                <w:szCs w:val="19"/>
              </w:rPr>
              <w:t xml:space="preserve">Description</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jc w:val="center"/>
            </w:pPr>
            <w:r>
              <w:rPr>
                <w:b/>
                <w:bCs/>
                <w:color w:val="FFFFFF"/>
                <w:sz w:val="19"/>
                <w:szCs w:val="19"/>
              </w:rPr>
              <w:t xml:space="preserve">~Images</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Melanocytic nevi (nv)</w:t>
            </w:r>
          </w:p>
        </w:tc>
        <w:tc>
          <w:tcPr>
            <w:tcW w:type="dxa" w:w="4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Benign moles</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~6,705</w:t>
            </w:r>
          </w:p>
        </w:tc>
      </w:tr>
      <w:tr>
        <w:tc>
          <w:tcPr>
            <w:tcW w:type="dxa" w:w="32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Melanoma (mel)</w:t>
            </w:r>
          </w:p>
        </w:tc>
        <w:tc>
          <w:tcPr>
            <w:tcW w:type="dxa" w:w="4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Malignant, most lethal skin cancer</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~1,113</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Benign keratosis-like lesions (bkl)</w:t>
            </w:r>
          </w:p>
        </w:tc>
        <w:tc>
          <w:tcPr>
            <w:tcW w:type="dxa" w:w="4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Benign (solar lentigo, seborrheic keratosis)</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~1,099</w:t>
            </w:r>
          </w:p>
        </w:tc>
      </w:tr>
      <w:tr>
        <w:tc>
          <w:tcPr>
            <w:tcW w:type="dxa" w:w="32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Basal cell carcinoma (bcc)</w:t>
            </w:r>
          </w:p>
        </w:tc>
        <w:tc>
          <w:tcPr>
            <w:tcW w:type="dxa" w:w="4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Malignant, locally invasive</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~514</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Actinic keratoses / intraepithelial carcinoma (akiec)</w:t>
            </w:r>
          </w:p>
        </w:tc>
        <w:tc>
          <w:tcPr>
            <w:tcW w:type="dxa" w:w="4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Pre-malignant / in-situ</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~327</w:t>
            </w:r>
          </w:p>
        </w:tc>
      </w:tr>
      <w:tr>
        <w:tc>
          <w:tcPr>
            <w:tcW w:type="dxa" w:w="32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Vascular lesions (vasc)</w:t>
            </w:r>
          </w:p>
        </w:tc>
        <w:tc>
          <w:tcPr>
            <w:tcW w:type="dxa" w:w="4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Benign (angiomas, haemorrhage)</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~142</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Dermatofibroma (df)</w:t>
            </w:r>
          </w:p>
        </w:tc>
        <w:tc>
          <w:tcPr>
            <w:tcW w:type="dxa" w:w="4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Benign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~115</w:t>
            </w:r>
          </w:p>
        </w:tc>
      </w:tr>
    </w:tbl>
    <w:p>
      <w:pPr>
        <w:spacing w:after="120" w:before="120" w:line="276"/>
      </w:pPr>
      <w:r>
        <w:t xml:space="preserve">The largest class (nevi) outnumbers the smallest (dermatofibroma) by roughly 58:1. This is the single most important characteristic for the project: the clinically critical minority classes (especially melanoma) are underrepresented, which is precisely what motivates the augmentation task.</w:t>
      </w:r>
    </w:p>
    <w:p>
      <w:pPr>
        <w:spacing w:after="120" w:before="0" w:line="276"/>
      </w:pPr>
      <w:r>
        <w:rPr>
          <w:b/>
          <w:bCs/>
        </w:rPr>
        <w:t xml:space="preserve">Known data-quality issues. </w:t>
      </w:r>
      <w:r>
        <w:t xml:space="preserve">Independent analyses (Abhishek et al.) documented, in DermaMNIST and its source HAM10000: image duplication, data leakage across train/test partitions, mislabeling, and the absence of a well-defined external test set. These flaws inflate reported benchmark scores. Corrected variants were proposed:</w:t>
      </w:r>
    </w:p>
    <w:p>
      <w:pPr>
        <w:pStyle w:val="ListParagraph"/>
        <w:numPr>
          <w:ilvl w:val="0"/>
          <w:numId w:val="2"/>
        </w:numPr>
        <w:spacing w:after="80" w:line="276"/>
      </w:pPr>
      <w:r>
        <w:rPr>
          <w:b/>
          <w:bCs/>
        </w:rPr>
        <w:t xml:space="preserve">DermaMNIST-C</w:t>
      </w:r>
      <w:r>
        <w:t xml:space="preserve"> — cleaned and re-organized, higher resolution (224 × 224).</w:t>
      </w:r>
    </w:p>
    <w:p>
      <w:pPr>
        <w:pStyle w:val="ListParagraph"/>
        <w:numPr>
          <w:ilvl w:val="0"/>
          <w:numId w:val="2"/>
        </w:numPr>
        <w:spacing w:after="80" w:line="276"/>
      </w:pPr>
      <w:r>
        <w:rPr>
          <w:b/>
          <w:bCs/>
        </w:rPr>
        <w:t xml:space="preserve">DermaMNIST-E</w:t>
      </w:r>
      <w:r>
        <w:t xml:space="preserve"> — uses the independent ISIC 2018 validation/test partitions as a genuine external test set.</w:t>
      </w:r>
    </w:p>
    <w:p>
      <w:pPr>
        <w:spacing w:after="160" w:before="60" w:line="276"/>
      </w:pPr>
      <w:r>
        <w:rPr>
          <w:i/>
          <w:iCs/>
          <w:color w:val="595959"/>
          <w:sz w:val="20"/>
          <w:szCs w:val="20"/>
        </w:rPr>
        <w:t xml:space="preserve">Implication for WP2 (data collection / evaluation / preparation): the raw DermaMNIST should be treated with caution; using or cross-checking against the corrected variants is advisable, and the 28×28 resolution is a hard ceiling on achievable performance.</w:t>
      </w:r>
    </w:p>
    <w:p>
      <w:pPr>
        <w:pStyle w:val="Heading1"/>
        <w:spacing w:after="120" w:before="240"/>
      </w:pPr>
      <w:r>
        <w:t xml:space="preserve">3. Medical Background of the Classes</w:t>
      </w:r>
    </w:p>
    <w:p>
      <w:pPr>
        <w:spacing w:after="120" w:before="0" w:line="276"/>
      </w:pPr>
      <w:r>
        <w:t xml:space="preserve">The lesions fall into three broad clinical groups:</w:t>
      </w:r>
    </w:p>
    <w:p>
      <w:pPr>
        <w:pStyle w:val="ListParagraph"/>
        <w:numPr>
          <w:ilvl w:val="0"/>
          <w:numId w:val="2"/>
        </w:numPr>
        <w:spacing w:after="80" w:line="276"/>
      </w:pPr>
      <w:r>
        <w:rPr>
          <w:b/>
          <w:bCs/>
        </w:rPr>
        <w:t xml:space="preserve">Malignant / high-risk: </w:t>
      </w:r>
      <w:r>
        <w:t xml:space="preserve">Melanoma (aggressive, main driver of skin-cancer mortality; early detection is decisive) and Basal cell carcinoma (most common skin cancer, locally invasive, rarely metastatic).</w:t>
      </w:r>
    </w:p>
    <w:p>
      <w:pPr>
        <w:pStyle w:val="ListParagraph"/>
        <w:numPr>
          <w:ilvl w:val="0"/>
          <w:numId w:val="2"/>
        </w:numPr>
        <w:spacing w:after="80" w:line="276"/>
      </w:pPr>
      <w:r>
        <w:rPr>
          <w:b/>
          <w:bCs/>
        </w:rPr>
        <w:t xml:space="preserve">Pre-malignant / in-situ: </w:t>
      </w:r>
      <w:r>
        <w:t xml:space="preserve">Actinic keratoses and intraepithelial carcinoma (can progress to squamous cell carcinoma).</w:t>
      </w:r>
    </w:p>
    <w:p>
      <w:pPr>
        <w:pStyle w:val="ListParagraph"/>
        <w:numPr>
          <w:ilvl w:val="0"/>
          <w:numId w:val="2"/>
        </w:numPr>
        <w:spacing w:after="80" w:line="276"/>
      </w:pPr>
      <w:r>
        <w:rPr>
          <w:b/>
          <w:bCs/>
        </w:rPr>
        <w:t xml:space="preserve">Benign: </w:t>
      </w:r>
      <w:r>
        <w:t xml:space="preserve">Melanocytic nevi, Benign keratosis-like lesions, Vascular lesions, Dermatofibroma.</w:t>
      </w:r>
    </w:p>
    <w:p>
      <w:pPr>
        <w:spacing w:after="120" w:before="80" w:line="276"/>
      </w:pPr>
      <w:r>
        <w:t xml:space="preserve">Clinically, the images are dermatoscopic (acquired with a dermatoscope, a magnifier that removes surface reflection). The hardest and most consequential clinical problem embedded in the dataset is melanoma vs. benign nevi discrimination, because the two are visually similar (low inter-class variance) yet carry opposite risk. This makes per-class sensitivity — not just overall accuracy — a meaningful evaluation criterion, and directly motivates the enrichment/explainability objectives of the project.</w:t>
      </w:r>
    </w:p>
    <w:p>
      <w:pPr>
        <w:pStyle w:val="Heading1"/>
        <w:spacing w:after="120" w:before="240"/>
      </w:pPr>
      <w:r>
        <w:t xml:space="preserve">4. State of the Art — Classification</w:t>
      </w:r>
    </w:p>
    <w:p>
      <w:pPr>
        <w:spacing w:after="120" w:before="0" w:line="276"/>
      </w:pPr>
      <w:r>
        <w:t xml:space="preserve">Reported results on DermaMNIST cluster into tiers by method and resolution:</w:t>
      </w:r>
    </w:p>
    <w:p>
      <w:pPr>
        <w:pStyle w:val="ListParagraph"/>
        <w:numPr>
          <w:ilvl w:val="0"/>
          <w:numId w:val="2"/>
        </w:numPr>
        <w:spacing w:after="80" w:line="276"/>
      </w:pPr>
      <w:r>
        <w:rPr>
          <w:b/>
          <w:bCs/>
        </w:rPr>
        <w:t xml:space="preserve">MedMNIST baselines (28×28): </w:t>
      </w:r>
      <w:r>
        <w:t xml:space="preserve">ResNet-18/50 and AutoML solutions (e.g. Google AutoML Vision) reach roughly 0.73–0.77 accuracy with AUC ≈ 0.90–0.92. These are the standard reference numbers to beat.</w:t>
      </w:r>
    </w:p>
    <w:p>
      <w:pPr>
        <w:pStyle w:val="ListParagraph"/>
        <w:numPr>
          <w:ilvl w:val="0"/>
          <w:numId w:val="2"/>
        </w:numPr>
        <w:spacing w:after="80" w:line="276"/>
      </w:pPr>
      <w:r>
        <w:rPr>
          <w:b/>
          <w:bCs/>
        </w:rPr>
        <w:t xml:space="preserve">Transfer learning at higher resolution: </w:t>
      </w:r>
      <w:r>
        <w:t xml:space="preserve">on the cleaned DermaMNIST-C, transfer-learning models such as EfficientNetV2L reach ~0.85 accuracy, confirming that resolution and data cleaning matter more than architecture depth.</w:t>
      </w:r>
    </w:p>
    <w:p>
      <w:pPr>
        <w:pStyle w:val="ListParagraph"/>
        <w:numPr>
          <w:ilvl w:val="0"/>
          <w:numId w:val="2"/>
        </w:numPr>
        <w:spacing w:after="80" w:line="276"/>
      </w:pPr>
      <w:r>
        <w:rPr>
          <w:b/>
          <w:bCs/>
        </w:rPr>
        <w:t xml:space="preserve">Recent advanced methods: </w:t>
      </w:r>
      <w:r>
        <w:t xml:space="preserve">graph-based pipelines (CNN feature extractor + Graph Attention Network) report the current high end at ~88% accuracy / ~98% AUC, outperforming plain CNNs, AutoML, and other GNNs.</w:t>
      </w:r>
    </w:p>
    <w:p>
      <w:pPr>
        <w:pStyle w:val="ListParagraph"/>
        <w:numPr>
          <w:ilvl w:val="0"/>
          <w:numId w:val="2"/>
        </w:numPr>
        <w:spacing w:after="80" w:line="276"/>
      </w:pPr>
      <w:r>
        <w:rPr>
          <w:b/>
          <w:bCs/>
        </w:rPr>
        <w:t xml:space="preserve">CNN vs. Transformer: </w:t>
      </w:r>
      <w:r>
        <w:t xml:space="preserve">in end-to-end training on small MedMNIST-scale data, CNNs (DenseNet-121, VGG-16) tend to outperform Vision Transformers; ViTs become competitive mainly as pretrained feature extractors or when robustness to corruption matters.</w:t>
      </w:r>
    </w:p>
    <w:p>
      <w:pPr>
        <w:pStyle w:val="ListParagraph"/>
        <w:numPr>
          <w:ilvl w:val="0"/>
          <w:numId w:val="2"/>
        </w:numPr>
        <w:spacing w:after="80" w:line="276"/>
      </w:pPr>
      <w:r>
        <w:rPr>
          <w:b/>
          <w:bCs/>
        </w:rPr>
        <w:t xml:space="preserve">Lightweight / attention-augmented CNNs </w:t>
      </w:r>
      <w:r>
        <w:t xml:space="preserve">(e.g. MedNet, ~3M params) match or exceed ResNet-50 at a fraction of the cost — relevant given the small image size.</w:t>
      </w:r>
    </w:p>
    <w:p>
      <w:pPr>
        <w:spacing w:after="120" w:before="80" w:line="276"/>
      </w:pPr>
      <w:r>
        <w:rPr>
          <w:b/>
          <w:bCs/>
        </w:rPr>
        <w:t xml:space="preserve">Core challenges</w:t>
      </w:r>
      <w:r>
        <w:t xml:space="preserve"> repeatedly identified: (i) very small image size (28×28), (ii) low inter-class variance / high intra-class variability, and (iii) class imbalance. Overall accuracy alone is misleading under imbalance — AUC, balanced accuracy, and per-class recall are the informative metrics.</w:t>
      </w:r>
    </w:p>
    <w:p>
      <w:pPr>
        <w:pStyle w:val="Heading2"/>
        <w:spacing w:after="100" w:before="200"/>
      </w:pPr>
      <w:r>
        <w:t xml:space="preserve">4.1 Summary of Reported Scores</w:t>
      </w:r>
    </w:p>
    <w:p>
      <w:pPr>
        <w:spacing w:after="120" w:before="0" w:line="276"/>
      </w:pPr>
      <w:r>
        <w:t xml:space="preserve">The table below consolidates representative results reported in the literature. Values are indicative and not always directly comparable, as they depend on the dataset variant and input resolution (a key caveat when defining project targets).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1300"/>
        <w:gridCol w:w="1400"/>
      </w:tblGrid>
      <w:tr>
        <w:trPr>
          <w:tblHeader/>
        </w:trPr>
        <w:tc>
          <w:tcPr>
            <w:tcW w:type="dxa" w:w="39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pPr>
            <w:r>
              <w:rPr>
                <w:b/>
                <w:bCs/>
                <w:color w:val="FFFFFF"/>
                <w:sz w:val="19"/>
                <w:szCs w:val="19"/>
              </w:rPr>
              <w:t xml:space="preserve">Method / Model</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pPr>
            <w:r>
              <w:rPr>
                <w:b/>
                <w:bCs/>
                <w:color w:val="FFFFFF"/>
                <w:sz w:val="19"/>
                <w:szCs w:val="19"/>
              </w:rPr>
              <w:t xml:space="preserve">Variant (res.)</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jc w:val="center"/>
            </w:pPr>
            <w:r>
              <w:rPr>
                <w:b/>
                <w:bCs/>
                <w:color w:val="FFFFFF"/>
                <w:sz w:val="19"/>
                <w:szCs w:val="19"/>
              </w:rPr>
              <w:t xml:space="preserve">Accuracy</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80"/>
              <w:bottom w:type="dxa" w:w="40"/>
              <w:right w:type="dxa" w:w="80"/>
            </w:tcMar>
          </w:tcPr>
          <w:p>
            <w:pPr>
              <w:spacing w:after="0" w:line="264"/>
              <w:jc w:val="center"/>
            </w:pPr>
            <w:r>
              <w:rPr>
                <w:b/>
                <w:bCs/>
                <w:color w:val="FFFFFF"/>
                <w:sz w:val="19"/>
                <w:szCs w:val="19"/>
              </w:rPr>
              <w:t xml:space="preserve">AUC</w:t>
            </w:r>
          </w:p>
        </w:tc>
      </w:tr>
      <w:t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ResNet-18 (MedMNIST baseline)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DermaMNIST (28×28)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~0.75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~0.92</w:t>
            </w:r>
          </w:p>
        </w:tc>
      </w:tr>
      <w:tr>
        <w:tc>
          <w:tcPr>
            <w:tcW w:type="dxa" w:w="39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ResNet-50 (MedMNIST baseline)</w:t>
            </w:r>
          </w:p>
        </w:tc>
        <w:tc>
          <w:tcPr>
            <w:tcW w:type="dxa" w:w="26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DermaMNIST (28×28)</w:t>
            </w:r>
          </w:p>
        </w:tc>
        <w:tc>
          <w:tcPr>
            <w:tcW w:type="dxa" w:w="13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~0.73</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~0.91</w:t>
            </w:r>
          </w:p>
        </w:tc>
      </w:tr>
      <w:t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Google AutoML Vision</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DermaMNIST (28×28)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~0.76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~0.92</w:t>
            </w:r>
          </w:p>
        </w:tc>
      </w:tr>
      <w:tr>
        <w:tc>
          <w:tcPr>
            <w:tcW w:type="dxa" w:w="39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QML (quantum ML)</w:t>
            </w:r>
          </w:p>
        </w:tc>
        <w:tc>
          <w:tcPr>
            <w:tcW w:type="dxa" w:w="26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DermaMNIST (28×28)</w:t>
            </w:r>
          </w:p>
        </w:tc>
        <w:tc>
          <w:tcPr>
            <w:tcW w:type="dxa" w:w="13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~0.68</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~0.70</w:t>
            </w:r>
          </w:p>
        </w:tc>
      </w:tr>
      <w:t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ResNet-50 (transfer learning)</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DermaMNIST-C (224×224)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~0.85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n/r</w:t>
            </w:r>
          </w:p>
        </w:tc>
      </w:tr>
      <w:tr>
        <w:tc>
          <w:tcPr>
            <w:tcW w:type="dxa" w:w="39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EfficientNetV2L (transfer learning)</w:t>
            </w:r>
          </w:p>
        </w:tc>
        <w:tc>
          <w:tcPr>
            <w:tcW w:type="dxa" w:w="26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DermaMNIST-C (224×224)</w:t>
            </w:r>
          </w:p>
        </w:tc>
        <w:tc>
          <w:tcPr>
            <w:tcW w:type="dxa" w:w="13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~0.85</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n/r</w:t>
            </w:r>
          </w:p>
        </w:tc>
      </w:tr>
      <w:tr>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CNN + Graph Attention Network</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pPr>
            <w:r>
              <w:rPr>
                <w:b w:val="false"/>
                <w:bCs w:val="false"/>
                <w:sz w:val="19"/>
                <w:szCs w:val="19"/>
              </w:rPr>
              <w:t xml:space="preserve">DermaMNIST (224×224)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~0.88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64"/>
              <w:jc w:val="center"/>
            </w:pPr>
            <w:r>
              <w:rPr>
                <w:b w:val="false"/>
                <w:bCs w:val="false"/>
                <w:sz w:val="19"/>
                <w:szCs w:val="19"/>
              </w:rPr>
              <w:t xml:space="preserve">~0.98</w:t>
            </w:r>
          </w:p>
        </w:tc>
      </w:tr>
      <w:tr>
        <w:tc>
          <w:tcPr>
            <w:tcW w:type="dxa" w:w="39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StyleGAN2 augmentation (melanoma AUC)</w:t>
            </w:r>
          </w:p>
        </w:tc>
        <w:tc>
          <w:tcPr>
            <w:tcW w:type="dxa" w:w="26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pPr>
            <w:r>
              <w:rPr>
                <w:b w:val="false"/>
                <w:bCs w:val="false"/>
                <w:sz w:val="19"/>
                <w:szCs w:val="19"/>
              </w:rPr>
              <w:t xml:space="preserve">ISIC (real test set)</w:t>
            </w:r>
          </w:p>
        </w:tc>
        <w:tc>
          <w:tcPr>
            <w:tcW w:type="dxa" w:w="13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n/r</w:t>
            </w:r>
          </w:p>
        </w:tc>
        <w:tc>
          <w:tcPr>
            <w:tcW w:type="dxa" w:w="1400"/>
            <w:tcBorders>
              <w:top w:val="single" w:color="BFBFBF" w:sz="4"/>
              <w:left w:val="single" w:color="BFBFBF" w:sz="4"/>
              <w:bottom w:val="single" w:color="BFBFBF" w:sz="4"/>
              <w:right w:val="single" w:color="BFBFBF" w:sz="4"/>
            </w:tcBorders>
            <w:shd w:fill="DEEAF6" w:color="auto" w:val="clear"/>
            <w:tcMar>
              <w:top w:type="dxa" w:w="40"/>
              <w:left w:type="dxa" w:w="80"/>
              <w:bottom w:type="dxa" w:w="40"/>
              <w:right w:type="dxa" w:w="80"/>
            </w:tcMar>
          </w:tcPr>
          <w:p>
            <w:pPr>
              <w:spacing w:after="0" w:line="264"/>
              <w:jc w:val="center"/>
            </w:pPr>
            <w:r>
              <w:rPr>
                <w:b w:val="false"/>
                <w:bCs w:val="false"/>
                <w:sz w:val="19"/>
                <w:szCs w:val="19"/>
              </w:rPr>
              <w:t xml:space="preserve">0.925 → 0.945</w:t>
            </w:r>
          </w:p>
        </w:tc>
      </w:tr>
    </w:tbl>
    <w:p>
      <w:pPr>
        <w:spacing w:after="160" w:before="60" w:line="276"/>
      </w:pPr>
      <w:r>
        <w:rPr>
          <w:i/>
          <w:iCs/>
          <w:color w:val="595959"/>
          <w:sz w:val="20"/>
          <w:szCs w:val="20"/>
        </w:rPr>
        <w:t xml:space="preserve">n/r = not reported in the cited source. The StyleGAN2 row reports the AUC gain from adding synthetic melanoma images to rebalance the training set, evaluated on real held-out data — it illustrates the augmentation benefit rather than a standalone DermaMNIST classifier score.</w:t>
      </w:r>
    </w:p>
    <w:p>
      <w:pPr>
        <w:spacing w:after="160" w:before="60" w:line="276"/>
      </w:pPr>
      <w:r>
        <w:rPr>
          <w:i/>
          <w:iCs/>
          <w:color w:val="595959"/>
          <w:sz w:val="20"/>
          <w:szCs w:val="20"/>
        </w:rPr>
        <w:t xml:space="preserve">Implication for WP3 (classification method + models): a solid, industry-proven CNN backbone with transfer learning is the pragmatic baseline; the realistic target band on raw 28×28 DermaMNIST is ~0.75–0.80 accuracy, higher on cleaned/upscaled variants.</w:t>
      </w:r>
    </w:p>
    <w:p>
      <w:pPr>
        <w:pStyle w:val="Heading1"/>
        <w:spacing w:after="120" w:before="240"/>
      </w:pPr>
      <w:r>
        <w:t xml:space="preserve">5. State of the Art — Data Augmentation</w:t>
      </w:r>
    </w:p>
    <w:p>
      <w:pPr>
        <w:spacing w:after="120" w:before="0" w:line="276"/>
      </w:pPr>
      <w:r>
        <w:t xml:space="preserve">Augmentation is the domain's standard response to scarcity and imbalance, and is central to this project. Two families:</w:t>
      </w:r>
    </w:p>
    <w:p>
      <w:pPr>
        <w:spacing w:after="120" w:before="0" w:line="276"/>
      </w:pPr>
      <w:r>
        <w:rPr>
          <w:b/>
          <w:bCs/>
        </w:rPr>
        <w:t xml:space="preserve">a) Classical augmentation. </w:t>
      </w:r>
      <w:r>
        <w:t xml:space="preserve">Geometric transforms (rotation, flip, crop, scale), color/PCA-based transforms, and expert-guided warping. Cheap, reliable, and a mandatory baseline, but limited in the diversity they can add for underrepresented classes.</w:t>
      </w:r>
    </w:p>
    <w:p>
      <w:pPr>
        <w:spacing w:after="120" w:before="0" w:line="276"/>
      </w:pPr>
      <w:r>
        <w:rPr>
          <w:b/>
          <w:bCs/>
        </w:rPr>
        <w:t xml:space="preserve">b) Generative augmentation (the active research front). </w:t>
      </w:r>
      <w:r>
        <w:t xml:space="preserve">Synthetic minority-class images are generated and mixed into the training set to rebalance the data:</w:t>
      </w:r>
    </w:p>
    <w:p>
      <w:pPr>
        <w:pStyle w:val="ListParagraph"/>
        <w:numPr>
          <w:ilvl w:val="0"/>
          <w:numId w:val="2"/>
        </w:numPr>
        <w:spacing w:after="80" w:line="276"/>
      </w:pPr>
      <w:r>
        <w:rPr>
          <w:b/>
          <w:bCs/>
        </w:rPr>
        <w:t xml:space="preserve">GANs </w:t>
      </w:r>
      <w:r>
        <w:t xml:space="preserve">are the most mature family for skin lesions: DCGAN, StyleGAN2, StyleGAN3, and lesion-specific variants (DermGAN, Mask2Lesion, Red-GAN for conditioned / class-imbalanced generation).</w:t>
      </w:r>
    </w:p>
    <w:p>
      <w:pPr>
        <w:pStyle w:val="ListParagraph"/>
        <w:numPr>
          <w:ilvl w:val="0"/>
          <w:numId w:val="2"/>
        </w:numPr>
        <w:spacing w:after="80" w:line="276"/>
      </w:pPr>
      <w:r>
        <w:rPr>
          <w:b/>
          <w:bCs/>
        </w:rPr>
        <w:t xml:space="preserve">Diffusion models </w:t>
      </w:r>
      <w:r>
        <w:t xml:space="preserve">are the emerging high-fidelity alternative; more stable to train but computationally heavier at inference, and less validated on fine-grained dermoscopic detail than GANs.</w:t>
      </w:r>
    </w:p>
    <w:p>
      <w:pPr>
        <w:spacing w:after="120" w:before="60" w:line="276"/>
      </w:pPr>
      <w:r>
        <w:rPr>
          <w:b/>
          <w:bCs/>
        </w:rPr>
        <w:t xml:space="preserve">Measured benefit. </w:t>
      </w:r>
      <w:r>
        <w:t xml:space="preserve">Studies consistently report that adding synthetic melanoma images to rebalance the data improves melanoma detection — e.g. AUC gains on the order of 0.925 → 0.945 on held-out real test images with StyleGAN2 augmentation; benchmarks (SkinGenBench and others) confirm GAN/diffusion augmentation improves classifier sensitivity on minority classes. Synthetic images can be realistic enough that dermatologists distinguish them from real ones only marginally above chance.</w:t>
      </w:r>
    </w:p>
    <w:p>
      <w:pPr>
        <w:spacing w:after="160" w:before="60" w:line="276"/>
      </w:pPr>
      <w:r>
        <w:rPr>
          <w:i/>
          <w:iCs/>
          <w:color w:val="595959"/>
          <w:sz w:val="20"/>
          <w:szCs w:val="20"/>
        </w:rPr>
        <w:t xml:space="preserve">Implication for the project: generative augmentation (GAN- and/or diffusion-based, conditioned per class) is the evidence-backed strategy for the imbalance problem, and is a natural task for an agent to orchestrate and quality-gate. Validation must always be on real held-out data to avoid rewarding synthetic-data artifacts.</w:t>
      </w:r>
    </w:p>
    <w:p>
      <w:pPr>
        <w:pStyle w:val="Heading1"/>
        <w:spacing w:after="120" w:before="240"/>
      </w:pPr>
      <w:r>
        <w:t xml:space="preserve">6. Domain Context — Agentic AI for Medical Imaging</w:t>
      </w:r>
    </w:p>
    <w:p>
      <w:pPr>
        <w:spacing w:after="120" w:before="0" w:line="276"/>
      </w:pPr>
      <w:r>
        <w:t xml:space="preserve">Because the project frames classification and enrichment within a multi-agent system, the relevant adjacent state of the art is agentic AI in medical imaging:</w:t>
      </w:r>
    </w:p>
    <w:p>
      <w:pPr>
        <w:pStyle w:val="ListParagraph"/>
        <w:numPr>
          <w:ilvl w:val="0"/>
          <w:numId w:val="2"/>
        </w:numPr>
        <w:spacing w:after="80" w:line="276"/>
      </w:pPr>
      <w:r>
        <w:rPr>
          <w:b/>
          <w:bCs/>
        </w:rPr>
        <w:t xml:space="preserve">Multi-agent / role-based LLM frameworks </w:t>
      </w:r>
      <w:r>
        <w:t xml:space="preserve">(e.g. orchestration via ReAct-style reasoning + tool use, AutoGen-style scaffolding) are being applied to diagnosis, report generation, and workflow automation; evidence from 2024–2025 suggests they can improve diagnostic accuracy and reduce error rates through cross-validation between specialized agents.</w:t>
      </w:r>
    </w:p>
    <w:p>
      <w:pPr>
        <w:pStyle w:val="ListParagraph"/>
        <w:numPr>
          <w:ilvl w:val="0"/>
          <w:numId w:val="2"/>
        </w:numPr>
        <w:spacing w:after="80" w:line="276"/>
      </w:pPr>
      <w:r>
        <w:rPr>
          <w:b/>
          <w:bCs/>
        </w:rPr>
        <w:t xml:space="preserve">Retrieval-Augmented Generation (RAG) </w:t>
      </w:r>
      <w:r>
        <w:t xml:space="preserve">grounds agent outputs in verified medical literature — directly relevant to the enrichment objective (attaching contextual pathology information to each class).</w:t>
      </w:r>
    </w:p>
    <w:p>
      <w:pPr>
        <w:pStyle w:val="ListParagraph"/>
        <w:numPr>
          <w:ilvl w:val="0"/>
          <w:numId w:val="2"/>
        </w:numPr>
        <w:spacing w:after="80" w:line="276"/>
      </w:pPr>
      <w:r>
        <w:rPr>
          <w:b/>
          <w:bCs/>
        </w:rPr>
        <w:t xml:space="preserve">Open challenges: </w:t>
      </w:r>
      <w:r>
        <w:t xml:space="preserve">hallucination (plausible-but-wrong outputs), high computational cost, limited clinical validation, and the need for dedicated end-to-end benchmarks rather than isolated task metrics — reinforcing the project's emphasis on agentic supervision, human-in-the-loop mitigation, and explainability.</w:t>
      </w:r>
    </w:p>
    <w:p>
      <w:pPr>
        <w:pStyle w:val="Heading1"/>
        <w:spacing w:after="120" w:before="240"/>
      </w:pPr>
      <w:r>
        <w:t xml:space="preserve">7. Key Takeaways for the Project</w:t>
      </w:r>
    </w:p>
    <w:p>
      <w:pPr>
        <w:pStyle w:val="ListParagraph"/>
        <w:numPr>
          <w:ilvl w:val="0"/>
          <w:numId w:val="3"/>
        </w:numPr>
        <w:spacing w:after="80" w:line="276"/>
      </w:pPr>
      <w:r>
        <w:rPr>
          <w:b/>
          <w:bCs/>
        </w:rPr>
        <w:t xml:space="preserve">Data is the bottleneck, not the model. </w:t>
      </w:r>
      <w:r>
        <w:t xml:space="preserve">DermaMNIST's 28×28 resolution, severe class imbalance (~58:1), and documented quality issues (duplicates, leakage, mislabeling) cap achievable performance; the corrected variants and careful data preparation (WP2) are prerequisites.</w:t>
      </w:r>
    </w:p>
    <w:p>
      <w:pPr>
        <w:pStyle w:val="ListParagraph"/>
        <w:numPr>
          <w:ilvl w:val="0"/>
          <w:numId w:val="3"/>
        </w:numPr>
        <w:spacing w:after="80" w:line="276"/>
      </w:pPr>
      <w:r>
        <w:rPr>
          <w:b/>
          <w:bCs/>
        </w:rPr>
        <w:t xml:space="preserve">Realistic classification baseline: </w:t>
      </w:r>
      <w:r>
        <w:t xml:space="preserve">transfer-learned CNN backbone, ~0.75–0.80 accuracy on raw DermaMNIST, higher on cleaned/upscaled data; evaluate with AUC and per-class recall, not accuracy alone.</w:t>
      </w:r>
    </w:p>
    <w:p>
      <w:pPr>
        <w:pStyle w:val="ListParagraph"/>
        <w:numPr>
          <w:ilvl w:val="0"/>
          <w:numId w:val="3"/>
        </w:numPr>
        <w:spacing w:after="80" w:line="276"/>
      </w:pPr>
      <w:r>
        <w:rPr>
          <w:b/>
          <w:bCs/>
        </w:rPr>
        <w:t xml:space="preserve">Melanoma vs. nevi </w:t>
      </w:r>
      <w:r>
        <w:t xml:space="preserve">is the clinically critical, technically hardest discrimination — the natural focus for sensitivity, enrichment, and explainability.</w:t>
      </w:r>
    </w:p>
    <w:p>
      <w:pPr>
        <w:pStyle w:val="ListParagraph"/>
        <w:numPr>
          <w:ilvl w:val="0"/>
          <w:numId w:val="3"/>
        </w:numPr>
        <w:spacing w:after="80" w:line="276"/>
      </w:pPr>
      <w:r>
        <w:rPr>
          <w:b/>
          <w:bCs/>
        </w:rPr>
        <w:t xml:space="preserve">Generative augmentation </w:t>
      </w:r>
      <w:r>
        <w:t xml:space="preserve">(GAN/diffusion, class-conditioned) is the evidence-backed lever for imbalance and maps cleanly onto an agent-orchestrated, quality-gated pipeline.</w:t>
      </w:r>
    </w:p>
    <w:p>
      <w:pPr>
        <w:pStyle w:val="ListParagraph"/>
        <w:numPr>
          <w:ilvl w:val="0"/>
          <w:numId w:val="3"/>
        </w:numPr>
        <w:spacing w:after="80" w:line="276"/>
      </w:pPr>
      <w:r>
        <w:rPr>
          <w:b/>
          <w:bCs/>
        </w:rPr>
        <w:t xml:space="preserve">Agentic AI in medical imaging is nascent but active: </w:t>
      </w:r>
      <w:r>
        <w:t xml:space="preserve">promising for accuracy and workflow automation, but hallucination, validation, and benchmarking are open problems the project must address head-on.</w:t>
      </w:r>
    </w:p>
    <w:p>
      <w:pPr>
        <w:pStyle w:val="Heading1"/>
        <w:spacing w:after="120" w:before="240"/>
      </w:pPr>
      <w:r>
        <w:t xml:space="preserve">References (indicative)</w:t>
      </w:r>
    </w:p>
    <w:p>
      <w:pPr>
        <w:spacing w:after="60" w:line="264"/>
      </w:pPr>
      <w:r>
        <w:rPr>
          <w:sz w:val="20"/>
          <w:szCs w:val="20"/>
        </w:rPr>
        <w:t xml:space="preserve">Yang et al., MedMNIST v2 — A large-scale lightweight benchmark for 2D and 3D biomedical image classification, Scientific Data, 2023.</w:t>
      </w:r>
    </w:p>
    <w:p>
      <w:pPr>
        <w:spacing w:after="60" w:line="264"/>
      </w:pPr>
      <w:r>
        <w:rPr>
          <w:sz w:val="20"/>
          <w:szCs w:val="20"/>
        </w:rPr>
        <w:t xml:space="preserve">Tschandl et al., The HAM10000 dataset, Scientific Data, 2018.</w:t>
      </w:r>
    </w:p>
    <w:p>
      <w:pPr>
        <w:spacing w:after="60" w:line="264"/>
      </w:pPr>
      <w:r>
        <w:rPr>
          <w:sz w:val="20"/>
          <w:szCs w:val="20"/>
        </w:rPr>
        <w:t xml:space="preserve">Abhishek et al., Investigating the Quality of DermaMNIST and Fitzpatrick17k Dermatological Image Datasets, Scientific Data, 2025 (DermaMNIST-C / -E).</w:t>
      </w:r>
    </w:p>
    <w:p>
      <w:pPr>
        <w:spacing w:after="60" w:line="264"/>
      </w:pPr>
      <w:r>
        <w:rPr>
          <w:sz w:val="20"/>
          <w:szCs w:val="20"/>
        </w:rPr>
        <w:t xml:space="preserve">Graph Attention Networks for Skin Lesion Classification with CNN-Driven Node Features, 2025.</w:t>
      </w:r>
    </w:p>
    <w:p>
      <w:pPr>
        <w:spacing w:after="60" w:line="264"/>
      </w:pPr>
      <w:r>
        <w:rPr>
          <w:sz w:val="20"/>
          <w:szCs w:val="20"/>
        </w:rPr>
        <w:t xml:space="preserve">Improving Diagnostic Accuracy of Pigmented Skin Lesions with CNNs: a Case Study with DermaMNIST, 2025.</w:t>
      </w:r>
    </w:p>
    <w:p>
      <w:pPr>
        <w:spacing w:after="60" w:line="264"/>
      </w:pPr>
      <w:r>
        <w:rPr>
          <w:sz w:val="20"/>
          <w:szCs w:val="20"/>
        </w:rPr>
        <w:t xml:space="preserve">SkinGenBench; StyleGAN2 / diffusion-based melanoma augmentation studies, 2024–2026.</w:t>
      </w:r>
    </w:p>
    <w:p>
      <w:pPr>
        <w:spacing w:after="60" w:line="264"/>
      </w:pPr>
      <w:r>
        <w:rPr>
          <w:sz w:val="20"/>
          <w:szCs w:val="20"/>
        </w:rPr>
        <w:t xml:space="preserve">Reviews on Agentic AI / multi-agent LLMs in radiology and medical imaging, 2024–2026.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Light" w:cs="Calibri Light" w:eastAsia="Calibri Light" w:hAnsi="Calibri Light"/>
      <w:color w:val="2E74B5"/>
      <w:sz w:val="30"/>
      <w:szCs w:val="30"/>
    </w:rPr>
  </w:style>
  <w:style w:type="paragraph" w:styleId="Heading2">
    <w:name w:val="Heading 2"/>
    <w:basedOn w:val="Normal"/>
    <w:next w:val="Normal"/>
    <w:qFormat/>
    <w:pPr>
      <w:spacing w:after="100" w:before="200"/>
      <w:outlineLvl w:val="1"/>
    </w:pPr>
    <w:rPr>
      <w:rFonts w:ascii="Calibri Light" w:cs="Calibri Light" w:eastAsia="Calibri Light" w:hAnsi="Calibri Light"/>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2026-08-24T21:48:59.297Z</dcterms:created>
  <dcterms:modified xsi:type="dcterms:W3CDTF">2026-08-24T21:48:59.311Z</dcterms:modified>
</cp:coreProperties>
</file>

<file path=docProps/custom.xml><?xml version="1.0" encoding="utf-8"?>
<Properties xmlns="http://schemas.openxmlformats.org/officeDocument/2006/custom-properties" xmlns:vt="http://schemas.openxmlformats.org/officeDocument/2006/docPropsVTypes"/>
</file>