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1F4D78"/>
          <w:sz w:val="56"/>
          <w:szCs w:val="56"/>
        </w:rPr>
        <w:t xml:space="preserve">WP1 — L.A. Requirements</w:t>
      </w:r>
    </w:p>
    <w:p>
      <w:pPr>
        <w:pBdr>
          <w:bottom w:val="single" w:color="2E74B5" w:sz="6" w:space="6"/>
        </w:pBdr>
        <w:spacing w:after="240"/>
      </w:pPr>
      <w:r>
        <w:rPr>
          <w:color w:val="2E74B5"/>
          <w:sz w:val="26"/>
          <w:szCs w:val="26"/>
        </w:rPr>
        <w:t xml:space="preserve">D1 — Functional and Non-Functional Requirements   ·   D2 — Feasibility Metrics</w:t>
      </w:r>
    </w:p>
    <w:p>
      <w:pPr>
        <w:pStyle w:val="Heading1"/>
        <w:spacing w:after="120" w:before="240"/>
      </w:pPr>
      <w:r>
        <w:t xml:space="preserve">1. Purpose and Scope</w:t>
      </w:r>
    </w:p>
    <w:p>
      <w:pPr>
        <w:spacing w:after="120" w:before="0" w:line="276"/>
      </w:pPr>
      <w:r>
        <w:t xml:space="preserve">This Line of Activity defines what the system must do (functional requirements) and the quality, performance and result characteristics it must exhibit (non-functional requirements), together with the metrics used to assess project feasibility (D2). In line with the proposal, requirements are stated descriptively rather than as fixed numeric targets: numeric thresholds belong to the KPIs (WP-level) and to the evaluation activities of WP4/WP6.</w:t>
      </w:r>
    </w:p>
    <w:p>
      <w:pPr>
        <w:spacing w:after="120" w:before="0" w:line="276"/>
      </w:pPr>
      <w:r>
        <w:t xml:space="preserve">The reference scope is the DermaMNIST use case — classification and data augmentation of pigmented skin-lesion images — embedded in an agent-supervised, end-to-end pipeline (from data preparation to testing). The multi-source aspects mentioned in the proposal (clinical / omics data) and additional MedMNIST datasets (e.g. PathMNIST) are treated as extensibility targets, not MVP requirements.</w:t>
      </w:r>
    </w:p>
    <w:p>
      <w:pPr>
        <w:spacing w:after="160" w:before="60" w:line="276"/>
      </w:pPr>
      <w:r>
        <w:rPr>
          <w:i/>
          <w:iCs/>
          <w:color w:val="595959"/>
          <w:sz w:val="20"/>
          <w:szCs w:val="20"/>
        </w:rPr>
        <w:t xml:space="preserve">Methodology: Agile. Requirements are a living artifact, reviewed and refined at each iteration; the priorities below (Must / Should / Could) express the MVP → higher-value increments ordering.</w:t>
      </w:r>
    </w:p>
    <w:p>
      <w:pPr>
        <w:pStyle w:val="Heading1"/>
        <w:spacing w:after="120" w:before="240"/>
      </w:pPr>
      <w:r>
        <w:t xml:space="preserve">2. Actors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Data/ML engineer — </w:t>
      </w:r>
      <w:r>
        <w:t xml:space="preserve">configures, runs and reviews the pipeline; provides human-in-the-loop input.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Training agent — </w:t>
      </w:r>
      <w:r>
        <w:t xml:space="preserve">supervises data preparation and training, monitors, and triggers corrective actions.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Evaluation / testing agent — </w:t>
      </w:r>
      <w:r>
        <w:t xml:space="preserve">assesses the system against defined metrics (WP4/WP6).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Enrichment / explanation agent — </w:t>
      </w:r>
      <w:r>
        <w:t xml:space="preserve">attaches contextual pathology information and produces explanations (WP5/WP7).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Reviewer — </w:t>
      </w:r>
      <w:r>
        <w:t xml:space="preserve">audits agent decisions and overall system behaviour (WP8).</w:t>
      </w:r>
    </w:p>
    <w:p>
      <w:pPr>
        <w:pStyle w:val="Heading1"/>
        <w:spacing w:after="120" w:before="240"/>
      </w:pPr>
      <w:r>
        <w:t xml:space="preserve">3. D1 — Functional Requirements</w:t>
      </w:r>
    </w:p>
    <w:p>
      <w:pPr>
        <w:spacing w:after="100" w:before="0" w:line="276"/>
      </w:pPr>
      <w:r>
        <w:t xml:space="preserve">Grouped by pipeline stage / agent role. Each requirement is descriptive; priority follows the MoSCoW scheme.</w:t>
      </w:r>
    </w:p>
    <w:p>
      <w:pPr>
        <w:pStyle w:val="Heading2"/>
        <w:spacing w:after="100" w:before="200"/>
      </w:pPr>
      <w:r>
        <w:t xml:space="preserve">3.1 Data ingestion and preparation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500"/>
        <w:gridCol w:w="13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FR-D1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Load DermaMNIST (and, where applicable, its corrected variants) and expose train/validation/test partitions consistent with the official split.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FR-D2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Detect and handle known data-quality issues (duplicates, train/test leakage, mislabeling) or adopt a cleaned variant, documenting the choice.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FR-D3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Apply consistent normalization and preprocessing shared by the classification and augmentation stages.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FR-D4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Characterize the class distribution and expose the imbalance information to downstream components.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BF8F00"/>
                <w:sz w:val="19"/>
                <w:szCs w:val="19"/>
              </w:rPr>
              <w:t xml:space="preserve">Should</w:t>
            </w:r>
          </w:p>
        </w:tc>
      </w:tr>
    </w:tbl>
    <w:p>
      <w:pPr>
        <w:pStyle w:val="Heading2"/>
        <w:spacing w:after="100" w:before="200"/>
      </w:pPr>
      <w:r>
        <w:t xml:space="preserve">3.2 Classification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500"/>
        <w:gridCol w:w="13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FR-C1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Classify a lesion image into the seven diagnostic classes of DermaMNIST.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FR-C2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Output per-class probabilities / confidence, not only the top-1 label.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FR-C3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Support a transfer-learning CNN backbone with optional fine-tuning / specialization.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BF8F00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FR-C4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Support higher-resolution or corrected dataset variants for improved accuracy.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548235"/>
                <w:sz w:val="19"/>
                <w:szCs w:val="19"/>
              </w:rPr>
              <w:t xml:space="preserve">Could</w:t>
            </w:r>
          </w:p>
        </w:tc>
      </w:tr>
    </w:tbl>
    <w:p>
      <w:pPr>
        <w:pStyle w:val="Heading2"/>
        <w:spacing w:after="100" w:before="200"/>
      </w:pPr>
      <w:r>
        <w:t xml:space="preserve">3.3 Data augmentation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500"/>
        <w:gridCol w:w="13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FR-A1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Augment / rebalance data for underrepresented classes to mitigate class imbalance.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FR-A2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Provide classical augmentation (geometric / colour transforms) as a baseline.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FR-A3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Provide generative augmentation (GAN and/or diffusion), class-conditioned.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BF8F00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FR-A4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Quality-gate synthetic samples before use, validating their benefit on real held-out data.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Must</w:t>
            </w:r>
          </w:p>
        </w:tc>
      </w:tr>
    </w:tbl>
    <w:p>
      <w:pPr>
        <w:pStyle w:val="Heading2"/>
        <w:spacing w:after="100" w:before="200"/>
      </w:pPr>
      <w:r>
        <w:t xml:space="preserve">3.4 Agentic orchestration and training supervision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500"/>
        <w:gridCol w:w="13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FR-G1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An agent shall supervise the training process (configuration, monitoring, corrective actions).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FR-G2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Run the pipeline end-to-end (data preparation → testing) under agentic coordination, minimizing manual steps.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FR-G3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Detect training pathologies (over/underfitting, poor hyper-parameters) and react (refine, retry, or escalate).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BF8F00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FR-G4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Provide a human-in-the-loop fallback for cases the agent cannot resolve autonomously.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Must</w:t>
            </w:r>
          </w:p>
        </w:tc>
      </w:tr>
    </w:tbl>
    <w:p>
      <w:pPr>
        <w:pStyle w:val="Heading2"/>
        <w:spacing w:after="100" w:before="200"/>
      </w:pPr>
      <w:r>
        <w:t xml:space="preserve">3.5 Enrichment, evaluation and explanation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500"/>
        <w:gridCol w:w="13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FR-E1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For each class / prediction, retrieve and attach contextual pathology information (enrichment).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FR-E2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Ground enrichment in verified sources (e.g. RAG) to limit hallucination.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BF8F00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FR-V1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Evaluate with imbalance-aware metrics (AUC, balanced accuracy, per-class recall), not accuracy alone.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FR-V2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A dedicated agent / component shall evaluate the system against the defined metrics.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FR-V3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Evaluate on a genuine held-out / external test set where available.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BF8F00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FR-X1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Produce human-readable explanations for classifications.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BF8F00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  <w:jc w:val="center"/>
            </w:pPr>
            <w:r>
              <w:rPr>
                <w:sz w:val="19"/>
                <w:szCs w:val="19"/>
              </w:rPr>
              <w:t xml:space="preserve">FR-X2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Expose supporting evidence (e.g. saliency / attention) to build trust.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548235"/>
                <w:sz w:val="19"/>
                <w:szCs w:val="19"/>
              </w:rPr>
              <w:t xml:space="preserve">Could</w:t>
            </w:r>
          </w:p>
        </w:tc>
      </w:tr>
    </w:tbl>
    <w:p>
      <w:pPr>
        <w:pStyle w:val="Heading1"/>
        <w:spacing w:after="120" w:before="240"/>
      </w:pPr>
      <w:r>
        <w:t xml:space="preserve">4. D1 — Non-Functional Requirements</w:t>
      </w:r>
    </w:p>
    <w:p>
      <w:pPr>
        <w:spacing w:after="100" w:before="0" w:line="276"/>
      </w:pPr>
      <w:r>
        <w:t xml:space="preserve">Expressed descriptively (quality, performance and expected-result characteristics), as required by the proposal.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20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(descriptive)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Quality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Classification and augmentation results should be at least competitive with established baselines on the same dataset variant; augmentation should produce a measurable improvement on minority classes, verified on real data.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Performance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Training and evaluation should complete within the available compute budget and in a time compatible with Agile iterations; lightweight models are preferred given the small (28×28) image size.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Reliability / robustness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Results should be stable and reproducible; the pipeline should degrade gracefully on corrupted or low-quality inputs; agent errors must not silently corrupt outputs.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Reproducibility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Runs should be reproducible through fixed seeds, versioned data/config, and logged experiments.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Usability / explainability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Outputs, enrichment and explanations should be interpretable by a domain user.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Scalability / extensibility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The architecture should extend to other MedMNIST datasets (e.g. PathMNIST) and to additional data modalities without redesign.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Maintainability / modularity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Agents and pipeline stages should be loosely coupled and independently replaceable.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Traceability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Agent decisions and pipeline steps should be logged for audit and review (WP8).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Data governance / ethics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Data should be handled per applicable rules (e.g. GDPR, medical-data protection); the MVP is research-grade and makes no certified clinical claims.</w:t>
            </w:r>
          </w:p>
        </w:tc>
      </w:tr>
    </w:tbl>
    <w:p>
      <w:pPr>
        <w:spacing w:after="160" w:before="60" w:line="276"/>
      </w:pPr>
      <w:r>
        <w:rPr>
          <w:i/>
          <w:iCs/>
          <w:color w:val="595959"/>
          <w:sz w:val="20"/>
          <w:szCs w:val="20"/>
        </w:rPr>
        <w:t xml:space="preserve">Regulatory note: the target maturity is a laboratory/operational demonstrator (TRL4 → TRL7 trajectory), not a certified medical device; any clinical use is out of scope for this project stage.</w:t>
      </w:r>
    </w:p>
    <w:p>
      <w:pPr>
        <w:pStyle w:val="Heading1"/>
        <w:spacing w:after="120" w:before="240"/>
      </w:pPr>
      <w:r>
        <w:t xml:space="preserve">5. D2 — Feasibility Metrics</w:t>
      </w:r>
    </w:p>
    <w:p>
      <w:pPr>
        <w:spacing w:after="100" w:before="0" w:line="276"/>
      </w:pPr>
      <w:r>
        <w:t xml:space="preserve">Metrics used to judge whether the objectives are achievable. Reference bands are indicative and drawn from the domain SOTA (see D1 — Domain SOTA); they orient feasibility, they are not contractual targets.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900"/>
        <w:gridCol w:w="2700"/>
      </w:tblGrid>
      <w:tr>
        <w:trPr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Feasibility metric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Reference (indicative)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Data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Availability and usable sample count per class after cleaning.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Public dataset; adequate volume, with the known imbalance made explicit.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Whether the classifier reaches a SOTA-competitive band on the chosen variant.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~0.75–0.80 acc on raw 28×28; higher on cleaned / upscaled variants.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Augmentation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Improvement on minority classes after augmentation, on real held-out data.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A meaningful gain in minority-class recall / AUC (e.g. melanoma).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Agentic autonomy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Share of pipeline runs completed without manual intervention; frequency of fallback.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Majority of runs autonomous; failures caught and escalated, not silent.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Enrichment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Enrichment produced and grounded for each class; hallucination under control.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Grounded, source-backed enrichment; low hallucination rate under review.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Resources / time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Fit of a full training/evaluation cycle to compute budget and iteration length.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One cycle fits the available hardware and an Agile sprint.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Robustness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Performance degradation under corrupted inputs.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Degradation stays within an acceptable, documented bound.</w:t>
            </w:r>
          </w:p>
        </w:tc>
      </w:tr>
    </w:tbl>
    <w:p>
      <w:pPr>
        <w:pStyle w:val="Heading1"/>
        <w:spacing w:after="120" w:before="240"/>
      </w:pPr>
      <w:r>
        <w:t xml:space="preserve">6. Constraints and Assumptions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Constraints: </w:t>
      </w:r>
      <w:r>
        <w:t xml:space="preserve">28×28 resolution caps achievable accuracy; severe class imbalance (~58:1); documented data-quality issues in the raw dataset; finite compute budget; research-grade maturity (no clinical deployment in this stage).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Assumptions: </w:t>
      </w:r>
      <w:r>
        <w:t xml:space="preserve">the public dataset (and its corrected variants) remains available; the agentic/LLM components are stable enough for supervised orchestration; a human reviewer is available for the in-the-loop fallback.</w:t>
      </w:r>
    </w:p>
    <w:p>
      <w:pPr>
        <w:pStyle w:val="Heading1"/>
        <w:spacing w:after="120" w:before="240"/>
      </w:pPr>
      <w:r>
        <w:t xml:space="preserve">7. Requirement-to-WP Traceability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4400"/>
      </w:tblGrid>
      <w:tr>
        <w:trPr>
          <w:tblHeader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 group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Downstream Work Package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Data ingestion &amp; preparation (FR-D*)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WP2 — Inputs of the system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Classification (FR-C*)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WP3 — Training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Data augmentation (FR-A*)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WP3 / WP5 — Training &amp; Enrichment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Agentic orchestration (FR-G*)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WP3 — Agent definition &amp; training process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Enrichment (FR-E*)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WP5 — Enrichment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Evaluation (FR-V*)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WP4 / WP6 — Training evaluation &amp; Testing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Explanation (FR-X*)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WP7 — Classification &amp; explanation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Non-functional (traceability, governance)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WP8 — Review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 Light" w:cs="Calibri Light" w:eastAsia="Calibri Light" w:hAnsi="Calibri Light"/>
      <w:color w:val="2E74B5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 Light" w:cs="Calibri Light" w:eastAsia="Calibri Light" w:hAnsi="Calibri Light"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2026-08-25T09:04:59.677Z</dcterms:created>
  <dcterms:modified xsi:type="dcterms:W3CDTF">2026-08-25T09:04:59.689Z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