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1E69B" w14:textId="77777777" w:rsidR="00CE2759" w:rsidRPr="00CE2759" w:rsidRDefault="00CE2759" w:rsidP="00CE2759">
      <w:pPr>
        <w:shd w:val="clear" w:color="auto" w:fill="FFFFFF"/>
        <w:spacing w:before="150" w:after="150" w:line="600" w:lineRule="atLeast"/>
        <w:outlineLvl w:val="1"/>
        <w:rPr>
          <w:rFonts w:ascii="Helvetica" w:eastAsia="Times New Roman" w:hAnsi="Helvetica" w:cs="Helvetica"/>
          <w:b/>
          <w:bCs/>
          <w:color w:val="111111"/>
          <w:sz w:val="45"/>
          <w:szCs w:val="45"/>
          <w:lang w:eastAsia="it-IT"/>
        </w:rPr>
      </w:pPr>
      <w:r w:rsidRPr="00CE2759">
        <w:rPr>
          <w:rFonts w:ascii="Helvetica" w:eastAsia="Times New Roman" w:hAnsi="Helvetica" w:cs="Helvetica"/>
          <w:b/>
          <w:bCs/>
          <w:color w:val="111111"/>
          <w:sz w:val="45"/>
          <w:szCs w:val="45"/>
          <w:lang w:eastAsia="it-IT"/>
        </w:rPr>
        <w:t>Purpose</w:t>
      </w:r>
    </w:p>
    <w:p w14:paraId="5AC8A06C" w14:textId="77777777" w:rsidR="00CE2759" w:rsidRPr="00CE2759" w:rsidRDefault="00CE2759" w:rsidP="00CE2759">
      <w:pPr>
        <w:shd w:val="clear" w:color="auto" w:fill="FFFFFF"/>
        <w:rPr>
          <w:rFonts w:ascii="Helvetica" w:eastAsia="Times New Roman" w:hAnsi="Helvetica" w:cs="Helvetica"/>
          <w:color w:val="111111"/>
          <w:sz w:val="20"/>
          <w:szCs w:val="20"/>
          <w:lang w:eastAsia="it-IT"/>
        </w:rPr>
      </w:pPr>
      <w:r w:rsidRPr="00CE2759">
        <w:rPr>
          <w:rFonts w:ascii="Arial" w:eastAsia="Times New Roman" w:hAnsi="Arial" w:cs="Arial"/>
          <w:color w:val="000000"/>
          <w:sz w:val="20"/>
          <w:szCs w:val="20"/>
          <w:lang w:eastAsia="it-IT"/>
        </w:rPr>
        <w:t>Object design is documented in the Object Design Document (ODD). It describes object design trade-offs made by developers, guidelines they followed for subsystem interfaces, the decomposition of subsystems into packages and classes, and the class interfaces. The ODD is used to exchange interface information among teams and as a reference during testing.</w:t>
      </w:r>
    </w:p>
    <w:p w14:paraId="5DBF4073" w14:textId="77777777" w:rsidR="00CE2759" w:rsidRPr="00CE2759" w:rsidRDefault="00CE2759" w:rsidP="00CE2759">
      <w:pPr>
        <w:shd w:val="clear" w:color="auto" w:fill="FFFFFF"/>
        <w:spacing w:before="150" w:after="60"/>
        <w:rPr>
          <w:rFonts w:ascii="Helvetica" w:eastAsia="Times New Roman" w:hAnsi="Helvetica" w:cs="Helvetica"/>
          <w:color w:val="111111"/>
          <w:sz w:val="20"/>
          <w:szCs w:val="20"/>
          <w:lang w:eastAsia="it-IT"/>
        </w:rPr>
      </w:pPr>
      <w:r w:rsidRPr="00CE2759">
        <w:rPr>
          <w:rFonts w:ascii="Helvetica" w:eastAsia="Times New Roman" w:hAnsi="Helvetica" w:cs="Helvetica"/>
          <w:color w:val="111111"/>
          <w:sz w:val="20"/>
          <w:szCs w:val="20"/>
          <w:lang w:eastAsia="it-IT"/>
        </w:rPr>
        <w:t> </w:t>
      </w:r>
    </w:p>
    <w:p w14:paraId="0D18673A" w14:textId="77777777" w:rsidR="00CE2759" w:rsidRPr="00CE2759" w:rsidRDefault="00CE2759" w:rsidP="00CE2759">
      <w:pPr>
        <w:shd w:val="clear" w:color="auto" w:fill="FFFFFF"/>
        <w:spacing w:line="600" w:lineRule="atLeast"/>
        <w:outlineLvl w:val="1"/>
        <w:rPr>
          <w:rFonts w:ascii="Helvetica" w:eastAsia="Times New Roman" w:hAnsi="Helvetica" w:cs="Helvetica"/>
          <w:b/>
          <w:bCs/>
          <w:color w:val="111111"/>
          <w:sz w:val="45"/>
          <w:szCs w:val="45"/>
          <w:lang w:eastAsia="it-IT"/>
        </w:rPr>
      </w:pPr>
      <w:bookmarkStart w:id="0" w:name="Audience"/>
      <w:bookmarkEnd w:id="0"/>
      <w:r w:rsidRPr="00CE2759">
        <w:rPr>
          <w:rFonts w:ascii="Helvetica" w:eastAsia="Times New Roman" w:hAnsi="Helvetica" w:cs="Helvetica"/>
          <w:b/>
          <w:bCs/>
          <w:color w:val="111111"/>
          <w:sz w:val="45"/>
          <w:szCs w:val="45"/>
          <w:lang w:eastAsia="it-IT"/>
        </w:rPr>
        <w:t>Audience</w:t>
      </w:r>
    </w:p>
    <w:p w14:paraId="7C3CE1AD" w14:textId="77777777" w:rsidR="00CE2759" w:rsidRPr="00CE2759" w:rsidRDefault="00CE2759" w:rsidP="00CE2759">
      <w:pPr>
        <w:shd w:val="clear" w:color="auto" w:fill="FFFFFF"/>
        <w:rPr>
          <w:rFonts w:ascii="Helvetica" w:eastAsia="Times New Roman" w:hAnsi="Helvetica" w:cs="Helvetica"/>
          <w:color w:val="111111"/>
          <w:sz w:val="20"/>
          <w:szCs w:val="20"/>
          <w:lang w:eastAsia="it-IT"/>
        </w:rPr>
      </w:pPr>
      <w:r w:rsidRPr="00CE2759">
        <w:rPr>
          <w:rFonts w:ascii="Arial" w:eastAsia="Times New Roman" w:hAnsi="Arial" w:cs="Arial"/>
          <w:color w:val="000000"/>
          <w:sz w:val="20"/>
          <w:szCs w:val="20"/>
          <w:lang w:eastAsia="it-IT"/>
        </w:rPr>
        <w:t>The audience for the ODD includes system architects (i.e., the developers who participate in the system design), developers who implement each subsystem, and testers.</w:t>
      </w:r>
    </w:p>
    <w:p w14:paraId="46AAA03C" w14:textId="77777777" w:rsidR="00CE2759" w:rsidRPr="00CE2759" w:rsidRDefault="00CE2759" w:rsidP="00CE2759">
      <w:pPr>
        <w:shd w:val="clear" w:color="auto" w:fill="FFFFFF"/>
        <w:spacing w:before="150" w:after="60"/>
        <w:rPr>
          <w:rFonts w:ascii="Helvetica" w:eastAsia="Times New Roman" w:hAnsi="Helvetica" w:cs="Helvetica"/>
          <w:color w:val="111111"/>
          <w:sz w:val="20"/>
          <w:szCs w:val="20"/>
          <w:lang w:eastAsia="it-IT"/>
        </w:rPr>
      </w:pPr>
      <w:r w:rsidRPr="00CE2759">
        <w:rPr>
          <w:rFonts w:ascii="Helvetica" w:eastAsia="Times New Roman" w:hAnsi="Helvetica" w:cs="Helvetica"/>
          <w:color w:val="111111"/>
          <w:sz w:val="20"/>
          <w:szCs w:val="20"/>
          <w:lang w:eastAsia="it-IT"/>
        </w:rPr>
        <w:t> </w:t>
      </w:r>
    </w:p>
    <w:p w14:paraId="1AD1F757" w14:textId="77777777" w:rsidR="00CE2759" w:rsidRPr="00CE2759" w:rsidRDefault="00CE2759" w:rsidP="00CE2759">
      <w:pPr>
        <w:shd w:val="clear" w:color="auto" w:fill="FFFFFF"/>
        <w:spacing w:line="600" w:lineRule="atLeast"/>
        <w:outlineLvl w:val="1"/>
        <w:rPr>
          <w:rFonts w:ascii="Helvetica" w:eastAsia="Times New Roman" w:hAnsi="Helvetica" w:cs="Helvetica"/>
          <w:b/>
          <w:bCs/>
          <w:color w:val="111111"/>
          <w:sz w:val="45"/>
          <w:szCs w:val="45"/>
          <w:lang w:eastAsia="it-IT"/>
        </w:rPr>
      </w:pPr>
      <w:bookmarkStart w:id="1" w:name="Template"/>
      <w:bookmarkEnd w:id="1"/>
      <w:r w:rsidRPr="00CE2759">
        <w:rPr>
          <w:rFonts w:ascii="Helvetica" w:eastAsia="Times New Roman" w:hAnsi="Helvetica" w:cs="Helvetica"/>
          <w:b/>
          <w:bCs/>
          <w:color w:val="111111"/>
          <w:sz w:val="45"/>
          <w:szCs w:val="45"/>
          <w:lang w:eastAsia="it-IT"/>
        </w:rPr>
        <w:t>Template</w:t>
      </w:r>
    </w:p>
    <w:tbl>
      <w:tblPr>
        <w:tblW w:w="16200" w:type="dxa"/>
        <w:shd w:val="clear" w:color="auto" w:fill="FFFFFF"/>
        <w:tblCellMar>
          <w:left w:w="0" w:type="dxa"/>
          <w:right w:w="0" w:type="dxa"/>
        </w:tblCellMar>
        <w:tblLook w:val="04A0" w:firstRow="1" w:lastRow="0" w:firstColumn="1" w:lastColumn="0" w:noHBand="0" w:noVBand="1"/>
      </w:tblPr>
      <w:tblGrid>
        <w:gridCol w:w="8100"/>
        <w:gridCol w:w="8100"/>
      </w:tblGrid>
      <w:tr w:rsidR="00CE2759" w:rsidRPr="00CE2759" w14:paraId="17E628FA" w14:textId="77777777" w:rsidTr="00CE2759">
        <w:tc>
          <w:tcPr>
            <w:tcW w:w="2500" w:type="pct"/>
            <w:shd w:val="clear" w:color="auto" w:fill="FFFFFF"/>
            <w:tcMar>
              <w:top w:w="150" w:type="dxa"/>
              <w:left w:w="150" w:type="dxa"/>
              <w:bottom w:w="150" w:type="dxa"/>
              <w:right w:w="150" w:type="dxa"/>
            </w:tcMar>
            <w:hideMark/>
          </w:tcPr>
          <w:p w14:paraId="040A7A68" w14:textId="77777777" w:rsidR="00CE2759" w:rsidRPr="00CE2759" w:rsidRDefault="00CE2759" w:rsidP="00CE2759">
            <w:pPr>
              <w:rPr>
                <w:rFonts w:ascii="Arial" w:eastAsia="Times New Roman" w:hAnsi="Arial" w:cs="Arial"/>
                <w:color w:val="111111"/>
                <w:sz w:val="18"/>
                <w:szCs w:val="18"/>
                <w:lang w:eastAsia="it-IT"/>
              </w:rPr>
            </w:pPr>
            <w:r w:rsidRPr="00CE2759">
              <w:rPr>
                <w:rFonts w:ascii="Arial" w:eastAsia="Times New Roman" w:hAnsi="Arial" w:cs="Arial"/>
                <w:b/>
                <w:bCs/>
                <w:color w:val="111111"/>
                <w:sz w:val="18"/>
                <w:szCs w:val="18"/>
                <w:lang w:eastAsia="it-IT"/>
              </w:rPr>
              <w:t>Outline</w:t>
            </w:r>
          </w:p>
        </w:tc>
        <w:tc>
          <w:tcPr>
            <w:tcW w:w="2500" w:type="pct"/>
            <w:shd w:val="clear" w:color="auto" w:fill="FFFFFF"/>
            <w:tcMar>
              <w:top w:w="150" w:type="dxa"/>
              <w:left w:w="150" w:type="dxa"/>
              <w:bottom w:w="150" w:type="dxa"/>
              <w:right w:w="150" w:type="dxa"/>
            </w:tcMar>
            <w:hideMark/>
          </w:tcPr>
          <w:p w14:paraId="2106AB4B" w14:textId="77777777" w:rsidR="00CE2759" w:rsidRPr="00CE2759" w:rsidRDefault="00CE2759" w:rsidP="00CE2759">
            <w:pPr>
              <w:rPr>
                <w:rFonts w:ascii="Arial" w:eastAsia="Times New Roman" w:hAnsi="Arial" w:cs="Arial"/>
                <w:color w:val="111111"/>
                <w:sz w:val="18"/>
                <w:szCs w:val="18"/>
                <w:lang w:eastAsia="it-IT"/>
              </w:rPr>
            </w:pPr>
            <w:r w:rsidRPr="00CE2759">
              <w:rPr>
                <w:rFonts w:ascii="Arial" w:eastAsia="Times New Roman" w:hAnsi="Arial" w:cs="Arial"/>
                <w:b/>
                <w:bCs/>
                <w:color w:val="111111"/>
                <w:sz w:val="18"/>
                <w:szCs w:val="18"/>
                <w:lang w:eastAsia="it-IT"/>
              </w:rPr>
              <w:t>Description</w:t>
            </w:r>
          </w:p>
        </w:tc>
      </w:tr>
      <w:tr w:rsidR="00CE2759" w:rsidRPr="00CE2759" w14:paraId="02E90613" w14:textId="77777777" w:rsidTr="00CE2759">
        <w:tc>
          <w:tcPr>
            <w:tcW w:w="2500" w:type="pct"/>
            <w:shd w:val="clear" w:color="auto" w:fill="FFFFFF"/>
            <w:tcMar>
              <w:top w:w="150" w:type="dxa"/>
              <w:left w:w="150" w:type="dxa"/>
              <w:bottom w:w="150" w:type="dxa"/>
              <w:right w:w="150" w:type="dxa"/>
            </w:tcMar>
            <w:hideMark/>
          </w:tcPr>
          <w:p w14:paraId="73BEB24B" w14:textId="77777777" w:rsidR="00CE2759" w:rsidRPr="00CE2759" w:rsidRDefault="00CE2759" w:rsidP="00CE2759">
            <w:pPr>
              <w:rPr>
                <w:rFonts w:ascii="Arial" w:eastAsia="Times New Roman" w:hAnsi="Arial" w:cs="Arial"/>
                <w:color w:val="111111"/>
                <w:sz w:val="18"/>
                <w:szCs w:val="18"/>
                <w:lang w:eastAsia="it-IT"/>
              </w:rPr>
            </w:pPr>
            <w:r w:rsidRPr="00CE2759">
              <w:rPr>
                <w:rFonts w:ascii="Arial" w:eastAsia="Times New Roman" w:hAnsi="Arial" w:cs="Arial"/>
                <w:b/>
                <w:bCs/>
                <w:color w:val="111111"/>
                <w:sz w:val="18"/>
                <w:szCs w:val="18"/>
                <w:lang w:eastAsia="it-IT"/>
              </w:rPr>
              <w:t>1. Introduction</w:t>
            </w:r>
            <w:r w:rsidRPr="00CE2759">
              <w:rPr>
                <w:rFonts w:ascii="Arial" w:eastAsia="Times New Roman" w:hAnsi="Arial" w:cs="Arial"/>
                <w:color w:val="111111"/>
                <w:sz w:val="18"/>
                <w:szCs w:val="18"/>
                <w:lang w:eastAsia="it-IT"/>
              </w:rPr>
              <w:br/>
              <w:t>1.1 Object design trade-offs</w:t>
            </w:r>
            <w:r w:rsidRPr="00CE2759">
              <w:rPr>
                <w:rFonts w:ascii="Arial" w:eastAsia="Times New Roman" w:hAnsi="Arial" w:cs="Arial"/>
                <w:color w:val="111111"/>
                <w:sz w:val="18"/>
                <w:szCs w:val="18"/>
                <w:lang w:eastAsia="it-IT"/>
              </w:rPr>
              <w:br/>
              <w:t>1.2 Interface documentation guidelines</w:t>
            </w:r>
            <w:r w:rsidRPr="00CE2759">
              <w:rPr>
                <w:rFonts w:ascii="Arial" w:eastAsia="Times New Roman" w:hAnsi="Arial" w:cs="Arial"/>
                <w:color w:val="111111"/>
                <w:sz w:val="18"/>
                <w:szCs w:val="18"/>
                <w:lang w:eastAsia="it-IT"/>
              </w:rPr>
              <w:br/>
              <w:t>1.3 Definitions, acronyms, and abbreviations</w:t>
            </w:r>
            <w:r w:rsidRPr="00CE2759">
              <w:rPr>
                <w:rFonts w:ascii="Arial" w:eastAsia="Times New Roman" w:hAnsi="Arial" w:cs="Arial"/>
                <w:color w:val="111111"/>
                <w:sz w:val="18"/>
                <w:szCs w:val="18"/>
                <w:lang w:eastAsia="it-IT"/>
              </w:rPr>
              <w:br/>
              <w:t>1.4 References</w:t>
            </w:r>
          </w:p>
        </w:tc>
        <w:tc>
          <w:tcPr>
            <w:tcW w:w="2500" w:type="pct"/>
            <w:shd w:val="clear" w:color="auto" w:fill="FFFFFF"/>
            <w:tcMar>
              <w:top w:w="150" w:type="dxa"/>
              <w:left w:w="150" w:type="dxa"/>
              <w:bottom w:w="150" w:type="dxa"/>
              <w:right w:w="150" w:type="dxa"/>
            </w:tcMar>
            <w:hideMark/>
          </w:tcPr>
          <w:p w14:paraId="75CADF47" w14:textId="77777777" w:rsidR="00CE2759" w:rsidRPr="00CE2759" w:rsidRDefault="00CE2759" w:rsidP="00CE2759">
            <w:pPr>
              <w:rPr>
                <w:rFonts w:ascii="Arial" w:eastAsia="Times New Roman" w:hAnsi="Arial" w:cs="Arial"/>
                <w:color w:val="111111"/>
                <w:sz w:val="18"/>
                <w:szCs w:val="18"/>
                <w:lang w:eastAsia="it-IT"/>
              </w:rPr>
            </w:pPr>
            <w:r w:rsidRPr="00CE2759">
              <w:rPr>
                <w:rFonts w:ascii="Arial" w:eastAsia="Times New Roman" w:hAnsi="Arial" w:cs="Arial"/>
                <w:i/>
                <w:iCs/>
                <w:color w:val="111111"/>
                <w:sz w:val="18"/>
                <w:szCs w:val="18"/>
                <w:lang w:eastAsia="it-IT"/>
              </w:rPr>
              <w:t>The first section of the ODD is an introduction to the document. It describes the general trade-offs made by developers (e.g., buy vs. build, memory space vs. response time), guidelines and conventions (e.g., naming conventions, boundary cases, exception handling mechanisms), and an overview of the document.</w:t>
            </w:r>
            <w:r w:rsidRPr="00CE2759">
              <w:rPr>
                <w:rFonts w:ascii="Arial" w:eastAsia="Times New Roman" w:hAnsi="Arial" w:cs="Arial"/>
                <w:i/>
                <w:iCs/>
                <w:color w:val="111111"/>
                <w:sz w:val="18"/>
                <w:szCs w:val="18"/>
                <w:lang w:eastAsia="it-IT"/>
              </w:rPr>
              <w:br/>
              <w:t>Interface documentation guidelines and coding conventions are the single most important factor that can improve communication between developers during object design. These include a list of rules that developers should use when designing and naming interfaces. These are examples of such conventions:</w:t>
            </w:r>
          </w:p>
          <w:p w14:paraId="02E4A6B3" w14:textId="77777777" w:rsidR="00CE2759" w:rsidRPr="00CE2759" w:rsidRDefault="00CE2759" w:rsidP="00CE2759">
            <w:pPr>
              <w:numPr>
                <w:ilvl w:val="0"/>
                <w:numId w:val="1"/>
              </w:numPr>
              <w:spacing w:line="300" w:lineRule="atLeast"/>
              <w:ind w:left="375"/>
              <w:rPr>
                <w:rFonts w:ascii="Arial" w:eastAsia="Times New Roman" w:hAnsi="Arial" w:cs="Arial"/>
                <w:color w:val="111111"/>
                <w:sz w:val="18"/>
                <w:szCs w:val="18"/>
                <w:lang w:eastAsia="it-IT"/>
              </w:rPr>
            </w:pPr>
            <w:r w:rsidRPr="00CE2759">
              <w:rPr>
                <w:rFonts w:ascii="Arial" w:eastAsia="Times New Roman" w:hAnsi="Arial" w:cs="Arial"/>
                <w:color w:val="111111"/>
                <w:sz w:val="18"/>
                <w:szCs w:val="18"/>
                <w:lang w:eastAsia="it-IT"/>
              </w:rPr>
              <w:t>Classes are named with singular nouns.</w:t>
            </w:r>
          </w:p>
          <w:p w14:paraId="18DBD6E7" w14:textId="77777777" w:rsidR="00CE2759" w:rsidRPr="00CE2759" w:rsidRDefault="00CE2759" w:rsidP="00CE2759">
            <w:pPr>
              <w:numPr>
                <w:ilvl w:val="0"/>
                <w:numId w:val="1"/>
              </w:numPr>
              <w:spacing w:line="300" w:lineRule="atLeast"/>
              <w:ind w:left="375"/>
              <w:rPr>
                <w:rFonts w:ascii="Arial" w:eastAsia="Times New Roman" w:hAnsi="Arial" w:cs="Arial"/>
                <w:color w:val="111111"/>
                <w:sz w:val="18"/>
                <w:szCs w:val="18"/>
                <w:lang w:eastAsia="it-IT"/>
              </w:rPr>
            </w:pPr>
            <w:r w:rsidRPr="00CE2759">
              <w:rPr>
                <w:rFonts w:ascii="Arial" w:eastAsia="Times New Roman" w:hAnsi="Arial" w:cs="Arial"/>
                <w:color w:val="111111"/>
                <w:sz w:val="18"/>
                <w:szCs w:val="18"/>
                <w:lang w:eastAsia="it-IT"/>
              </w:rPr>
              <w:t>Methods are named with verb phrases, fields, and parameters with noun phrases.</w:t>
            </w:r>
          </w:p>
          <w:p w14:paraId="44D02666" w14:textId="77777777" w:rsidR="00CE2759" w:rsidRPr="00CE2759" w:rsidRDefault="00CE2759" w:rsidP="00CE2759">
            <w:pPr>
              <w:numPr>
                <w:ilvl w:val="0"/>
                <w:numId w:val="1"/>
              </w:numPr>
              <w:spacing w:line="300" w:lineRule="atLeast"/>
              <w:ind w:left="375"/>
              <w:rPr>
                <w:rFonts w:ascii="Arial" w:eastAsia="Times New Roman" w:hAnsi="Arial" w:cs="Arial"/>
                <w:color w:val="111111"/>
                <w:sz w:val="18"/>
                <w:szCs w:val="18"/>
                <w:lang w:eastAsia="it-IT"/>
              </w:rPr>
            </w:pPr>
            <w:r w:rsidRPr="00CE2759">
              <w:rPr>
                <w:rFonts w:ascii="Arial" w:eastAsia="Times New Roman" w:hAnsi="Arial" w:cs="Arial"/>
                <w:color w:val="111111"/>
                <w:sz w:val="18"/>
                <w:szCs w:val="18"/>
                <w:lang w:eastAsia="it-IT"/>
              </w:rPr>
              <w:t>Error status is returned via an exception, not a return value.</w:t>
            </w:r>
          </w:p>
          <w:p w14:paraId="005DF6AB" w14:textId="77777777" w:rsidR="00CE2759" w:rsidRPr="00CE2759" w:rsidRDefault="00CE2759" w:rsidP="00CE2759">
            <w:pPr>
              <w:numPr>
                <w:ilvl w:val="0"/>
                <w:numId w:val="1"/>
              </w:numPr>
              <w:spacing w:line="300" w:lineRule="atLeast"/>
              <w:ind w:left="375"/>
              <w:rPr>
                <w:rFonts w:ascii="Arial" w:eastAsia="Times New Roman" w:hAnsi="Arial" w:cs="Arial"/>
                <w:color w:val="111111"/>
                <w:sz w:val="18"/>
                <w:szCs w:val="18"/>
                <w:lang w:eastAsia="it-IT"/>
              </w:rPr>
            </w:pPr>
            <w:r w:rsidRPr="00CE2759">
              <w:rPr>
                <w:rFonts w:ascii="Arial" w:eastAsia="Times New Roman" w:hAnsi="Arial" w:cs="Arial"/>
                <w:color w:val="111111"/>
                <w:sz w:val="18"/>
                <w:szCs w:val="18"/>
                <w:lang w:eastAsia="it-IT"/>
              </w:rPr>
              <w:t>Collections and containers have an elements() method returning an Enumeration.</w:t>
            </w:r>
          </w:p>
          <w:p w14:paraId="2FCCA8E8" w14:textId="77777777" w:rsidR="00CE2759" w:rsidRPr="00CE2759" w:rsidRDefault="00CE2759" w:rsidP="00CE2759">
            <w:pPr>
              <w:numPr>
                <w:ilvl w:val="0"/>
                <w:numId w:val="2"/>
              </w:numPr>
              <w:spacing w:line="300" w:lineRule="atLeast"/>
              <w:ind w:left="375"/>
              <w:rPr>
                <w:rFonts w:ascii="Arial" w:eastAsia="Times New Roman" w:hAnsi="Arial" w:cs="Arial"/>
                <w:color w:val="111111"/>
                <w:sz w:val="18"/>
                <w:szCs w:val="18"/>
                <w:lang w:eastAsia="it-IT"/>
              </w:rPr>
            </w:pPr>
            <w:r w:rsidRPr="00CE2759">
              <w:rPr>
                <w:rFonts w:ascii="Arial" w:eastAsia="Times New Roman" w:hAnsi="Arial" w:cs="Arial"/>
                <w:i/>
                <w:iCs/>
                <w:color w:val="111111"/>
                <w:sz w:val="18"/>
                <w:szCs w:val="18"/>
                <w:lang w:eastAsia="it-IT"/>
              </w:rPr>
              <w:t>Enumerations returned by elements() methods are robust to element removals.</w:t>
            </w:r>
          </w:p>
          <w:p w14:paraId="59789B42" w14:textId="77777777" w:rsidR="00CE2759" w:rsidRPr="00CE2759" w:rsidRDefault="00CE2759" w:rsidP="00CE2759">
            <w:pPr>
              <w:rPr>
                <w:rFonts w:ascii="Arial" w:eastAsia="Times New Roman" w:hAnsi="Arial" w:cs="Arial"/>
                <w:color w:val="111111"/>
                <w:sz w:val="18"/>
                <w:szCs w:val="18"/>
                <w:lang w:eastAsia="it-IT"/>
              </w:rPr>
            </w:pPr>
            <w:r w:rsidRPr="00CE2759">
              <w:rPr>
                <w:rFonts w:ascii="Arial" w:eastAsia="Times New Roman" w:hAnsi="Arial" w:cs="Arial"/>
                <w:color w:val="111111"/>
                <w:sz w:val="18"/>
                <w:szCs w:val="18"/>
                <w:lang w:eastAsia="it-IT"/>
              </w:rPr>
              <w:t>Such conventions help developers design interfaces consistently, even if many developers contribute to the interface specification. Moreover, making these conventions explicit before object design makes it easier for developers to follow them. In general, these conventions should not evolve during the project.</w:t>
            </w:r>
          </w:p>
        </w:tc>
      </w:tr>
      <w:tr w:rsidR="00CE2759" w:rsidRPr="00CE2759" w14:paraId="0D73AFD1" w14:textId="77777777" w:rsidTr="00CE2759">
        <w:tc>
          <w:tcPr>
            <w:tcW w:w="0" w:type="auto"/>
            <w:gridSpan w:val="2"/>
            <w:shd w:val="clear" w:color="auto" w:fill="FFFFFF"/>
            <w:tcMar>
              <w:top w:w="150" w:type="dxa"/>
              <w:left w:w="150" w:type="dxa"/>
              <w:bottom w:w="150" w:type="dxa"/>
              <w:right w:w="150" w:type="dxa"/>
            </w:tcMar>
            <w:hideMark/>
          </w:tcPr>
          <w:p w14:paraId="409ACB3D" w14:textId="77777777" w:rsidR="00CE2759" w:rsidRPr="00CE2759" w:rsidRDefault="00CE2759" w:rsidP="00CE2759">
            <w:pPr>
              <w:rPr>
                <w:rFonts w:ascii="Arial" w:eastAsia="Times New Roman" w:hAnsi="Arial" w:cs="Arial"/>
                <w:color w:val="111111"/>
                <w:sz w:val="18"/>
                <w:szCs w:val="18"/>
                <w:lang w:eastAsia="it-IT"/>
              </w:rPr>
            </w:pPr>
            <w:r w:rsidRPr="00CE2759">
              <w:rPr>
                <w:rFonts w:ascii="Arial" w:eastAsia="Times New Roman" w:hAnsi="Arial" w:cs="Arial"/>
                <w:color w:val="111111"/>
                <w:sz w:val="18"/>
                <w:szCs w:val="18"/>
                <w:lang w:eastAsia="it-IT"/>
              </w:rPr>
              <w:t> </w:t>
            </w:r>
          </w:p>
        </w:tc>
      </w:tr>
      <w:tr w:rsidR="00CE2759" w:rsidRPr="00CE2759" w14:paraId="4611C559" w14:textId="77777777" w:rsidTr="00CE2759">
        <w:tc>
          <w:tcPr>
            <w:tcW w:w="2500" w:type="pct"/>
            <w:shd w:val="clear" w:color="auto" w:fill="FFFFFF"/>
            <w:tcMar>
              <w:top w:w="150" w:type="dxa"/>
              <w:left w:w="150" w:type="dxa"/>
              <w:bottom w:w="150" w:type="dxa"/>
              <w:right w:w="150" w:type="dxa"/>
            </w:tcMar>
            <w:hideMark/>
          </w:tcPr>
          <w:p w14:paraId="2A2CA870" w14:textId="77777777" w:rsidR="00CE2759" w:rsidRPr="00CE2759" w:rsidRDefault="00CE2759" w:rsidP="00CE2759">
            <w:pPr>
              <w:rPr>
                <w:rFonts w:ascii="Arial" w:eastAsia="Times New Roman" w:hAnsi="Arial" w:cs="Arial"/>
                <w:color w:val="111111"/>
                <w:sz w:val="18"/>
                <w:szCs w:val="18"/>
                <w:lang w:eastAsia="it-IT"/>
              </w:rPr>
            </w:pPr>
            <w:r w:rsidRPr="00CE2759">
              <w:rPr>
                <w:rFonts w:ascii="Arial" w:eastAsia="Times New Roman" w:hAnsi="Arial" w:cs="Arial"/>
                <w:b/>
                <w:bCs/>
                <w:color w:val="111111"/>
                <w:sz w:val="18"/>
                <w:szCs w:val="18"/>
                <w:lang w:eastAsia="it-IT"/>
              </w:rPr>
              <w:t>2. Packages</w:t>
            </w:r>
          </w:p>
        </w:tc>
        <w:tc>
          <w:tcPr>
            <w:tcW w:w="2500" w:type="pct"/>
            <w:shd w:val="clear" w:color="auto" w:fill="FFFFFF"/>
            <w:tcMar>
              <w:top w:w="150" w:type="dxa"/>
              <w:left w:w="150" w:type="dxa"/>
              <w:bottom w:w="150" w:type="dxa"/>
              <w:right w:w="150" w:type="dxa"/>
            </w:tcMar>
            <w:hideMark/>
          </w:tcPr>
          <w:p w14:paraId="0E469D6B" w14:textId="77777777" w:rsidR="00CE2759" w:rsidRPr="00CE2759" w:rsidRDefault="00CE2759" w:rsidP="00CE2759">
            <w:pPr>
              <w:rPr>
                <w:rFonts w:ascii="Arial" w:eastAsia="Times New Roman" w:hAnsi="Arial" w:cs="Arial"/>
                <w:color w:val="111111"/>
                <w:sz w:val="18"/>
                <w:szCs w:val="18"/>
                <w:lang w:eastAsia="it-IT"/>
              </w:rPr>
            </w:pPr>
            <w:r w:rsidRPr="00CE2759">
              <w:rPr>
                <w:rFonts w:ascii="Arial" w:eastAsia="Times New Roman" w:hAnsi="Arial" w:cs="Arial"/>
                <w:i/>
                <w:iCs/>
                <w:color w:val="111111"/>
                <w:sz w:val="18"/>
                <w:szCs w:val="18"/>
                <w:lang w:eastAsia="it-IT"/>
              </w:rPr>
              <w:t>The second section of the ODD, Packages, describes the decomposition of subsystems into packages and the file organization of the code. This includes an overview of each package, its dependencies with other packages, and its expected usage.</w:t>
            </w:r>
          </w:p>
        </w:tc>
      </w:tr>
      <w:tr w:rsidR="00CE2759" w:rsidRPr="00CE2759" w14:paraId="72E234C0" w14:textId="77777777" w:rsidTr="00CE2759">
        <w:tc>
          <w:tcPr>
            <w:tcW w:w="0" w:type="auto"/>
            <w:gridSpan w:val="2"/>
            <w:shd w:val="clear" w:color="auto" w:fill="FFFFFF"/>
            <w:tcMar>
              <w:top w:w="150" w:type="dxa"/>
              <w:left w:w="150" w:type="dxa"/>
              <w:bottom w:w="150" w:type="dxa"/>
              <w:right w:w="150" w:type="dxa"/>
            </w:tcMar>
            <w:hideMark/>
          </w:tcPr>
          <w:p w14:paraId="32CCB901" w14:textId="77777777" w:rsidR="00CE2759" w:rsidRPr="00CE2759" w:rsidRDefault="00CE2759" w:rsidP="00CE2759">
            <w:pPr>
              <w:rPr>
                <w:rFonts w:ascii="Arial" w:eastAsia="Times New Roman" w:hAnsi="Arial" w:cs="Arial"/>
                <w:color w:val="111111"/>
                <w:sz w:val="18"/>
                <w:szCs w:val="18"/>
                <w:lang w:eastAsia="it-IT"/>
              </w:rPr>
            </w:pPr>
            <w:r w:rsidRPr="00CE2759">
              <w:rPr>
                <w:rFonts w:ascii="Arial" w:eastAsia="Times New Roman" w:hAnsi="Arial" w:cs="Arial"/>
                <w:color w:val="111111"/>
                <w:sz w:val="18"/>
                <w:szCs w:val="18"/>
                <w:lang w:eastAsia="it-IT"/>
              </w:rPr>
              <w:t> </w:t>
            </w:r>
          </w:p>
        </w:tc>
      </w:tr>
      <w:tr w:rsidR="00CE2759" w:rsidRPr="00CE2759" w14:paraId="043B047A" w14:textId="77777777" w:rsidTr="00CE2759">
        <w:tc>
          <w:tcPr>
            <w:tcW w:w="2500" w:type="pct"/>
            <w:shd w:val="clear" w:color="auto" w:fill="FFFFFF"/>
            <w:tcMar>
              <w:top w:w="150" w:type="dxa"/>
              <w:left w:w="150" w:type="dxa"/>
              <w:bottom w:w="150" w:type="dxa"/>
              <w:right w:w="150" w:type="dxa"/>
            </w:tcMar>
            <w:hideMark/>
          </w:tcPr>
          <w:p w14:paraId="6B0E9E56" w14:textId="77777777" w:rsidR="00CE2759" w:rsidRPr="00CE2759" w:rsidRDefault="00CE2759" w:rsidP="00CE2759">
            <w:pPr>
              <w:rPr>
                <w:rFonts w:ascii="Arial" w:eastAsia="Times New Roman" w:hAnsi="Arial" w:cs="Arial"/>
                <w:color w:val="111111"/>
                <w:sz w:val="18"/>
                <w:szCs w:val="18"/>
                <w:lang w:eastAsia="it-IT"/>
              </w:rPr>
            </w:pPr>
            <w:r w:rsidRPr="00CE2759">
              <w:rPr>
                <w:rFonts w:ascii="Arial" w:eastAsia="Times New Roman" w:hAnsi="Arial" w:cs="Arial"/>
                <w:b/>
                <w:bCs/>
                <w:color w:val="111111"/>
                <w:sz w:val="18"/>
                <w:szCs w:val="18"/>
                <w:lang w:eastAsia="it-IT"/>
              </w:rPr>
              <w:t>3. Class interfaces</w:t>
            </w:r>
            <w:r w:rsidRPr="00CE2759">
              <w:rPr>
                <w:rFonts w:ascii="Arial" w:eastAsia="Times New Roman" w:hAnsi="Arial" w:cs="Arial"/>
                <w:b/>
                <w:bCs/>
                <w:color w:val="111111"/>
                <w:sz w:val="18"/>
                <w:szCs w:val="18"/>
                <w:lang w:eastAsia="it-IT"/>
              </w:rPr>
              <w:br/>
              <w:t>Glossary</w:t>
            </w:r>
          </w:p>
        </w:tc>
        <w:tc>
          <w:tcPr>
            <w:tcW w:w="2500" w:type="pct"/>
            <w:shd w:val="clear" w:color="auto" w:fill="FFFFFF"/>
            <w:tcMar>
              <w:top w:w="150" w:type="dxa"/>
              <w:left w:w="150" w:type="dxa"/>
              <w:bottom w:w="150" w:type="dxa"/>
              <w:right w:w="150" w:type="dxa"/>
            </w:tcMar>
            <w:hideMark/>
          </w:tcPr>
          <w:p w14:paraId="2ADD3B5C" w14:textId="77777777" w:rsidR="00CE2759" w:rsidRPr="00CE2759" w:rsidRDefault="00CE2759" w:rsidP="00CE2759">
            <w:pPr>
              <w:rPr>
                <w:rFonts w:ascii="Arial" w:eastAsia="Times New Roman" w:hAnsi="Arial" w:cs="Arial"/>
                <w:color w:val="111111"/>
                <w:sz w:val="18"/>
                <w:szCs w:val="18"/>
                <w:lang w:eastAsia="it-IT"/>
              </w:rPr>
            </w:pPr>
            <w:r w:rsidRPr="00CE2759">
              <w:rPr>
                <w:rFonts w:ascii="Arial" w:eastAsia="Times New Roman" w:hAnsi="Arial" w:cs="Arial"/>
                <w:i/>
                <w:iCs/>
                <w:color w:val="111111"/>
                <w:sz w:val="18"/>
                <w:szCs w:val="18"/>
                <w:lang w:eastAsia="it-IT"/>
              </w:rPr>
              <w:t>The third section, Class interfaces, describes the classes and their public interfaces. This includes an overview of each class, its dependencies with other classes and packages, its public attributes, operations, and the exceptions they can raise.</w:t>
            </w:r>
          </w:p>
        </w:tc>
      </w:tr>
    </w:tbl>
    <w:p w14:paraId="026D6C13" w14:textId="77777777" w:rsidR="000E62B9" w:rsidRDefault="000E62B9">
      <w:bookmarkStart w:id="2" w:name="_GoBack"/>
      <w:bookmarkEnd w:id="2"/>
    </w:p>
    <w:sectPr w:rsidR="000E62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7637"/>
    <w:multiLevelType w:val="multilevel"/>
    <w:tmpl w:val="D87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85DF3"/>
    <w:multiLevelType w:val="multilevel"/>
    <w:tmpl w:val="03C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12"/>
    <w:rsid w:val="000E62B9"/>
    <w:rsid w:val="005E0C86"/>
    <w:rsid w:val="00CE2759"/>
    <w:rsid w:val="00D703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FF05D-FF39-42A5-9DC8-EA30E24C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0C86"/>
  </w:style>
  <w:style w:type="paragraph" w:styleId="Titolo2">
    <w:name w:val="heading 2"/>
    <w:basedOn w:val="Normale"/>
    <w:link w:val="Titolo2Carattere"/>
    <w:uiPriority w:val="9"/>
    <w:qFormat/>
    <w:rsid w:val="00CE2759"/>
    <w:pPr>
      <w:spacing w:before="100" w:beforeAutospacing="1" w:after="100" w:afterAutospacing="1"/>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E2759"/>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CE2759"/>
    <w:pPr>
      <w:spacing w:before="100" w:beforeAutospacing="1" w:after="100" w:afterAutospacing="1"/>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E2759"/>
    <w:rPr>
      <w:b/>
      <w:bCs/>
    </w:rPr>
  </w:style>
  <w:style w:type="character" w:styleId="Enfasicorsivo">
    <w:name w:val="Emphasis"/>
    <w:basedOn w:val="Carpredefinitoparagrafo"/>
    <w:uiPriority w:val="20"/>
    <w:qFormat/>
    <w:rsid w:val="00CE27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Fittipaldi</dc:creator>
  <cp:keywords/>
  <dc:description/>
  <cp:lastModifiedBy>Emanuele Fittipaldi</cp:lastModifiedBy>
  <cp:revision>2</cp:revision>
  <dcterms:created xsi:type="dcterms:W3CDTF">2020-10-11T10:12:00Z</dcterms:created>
  <dcterms:modified xsi:type="dcterms:W3CDTF">2020-10-11T10:12:00Z</dcterms:modified>
</cp:coreProperties>
</file>