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EC71A" w14:textId="77777777" w:rsidR="001A3D19" w:rsidRPr="001A3D19" w:rsidRDefault="001A3D19" w:rsidP="001A3D19">
      <w:pPr>
        <w:shd w:val="clear" w:color="auto" w:fill="FFFFFF"/>
        <w:spacing w:before="150" w:after="150" w:line="600" w:lineRule="atLeast"/>
        <w:outlineLvl w:val="1"/>
        <w:rPr>
          <w:rFonts w:ascii="Helvetica" w:eastAsia="Times New Roman" w:hAnsi="Helvetica" w:cs="Helvetica"/>
          <w:b/>
          <w:bCs/>
          <w:color w:val="111111"/>
          <w:sz w:val="45"/>
          <w:szCs w:val="45"/>
          <w:lang w:eastAsia="it-IT"/>
        </w:rPr>
      </w:pPr>
      <w:r w:rsidRPr="001A3D19">
        <w:rPr>
          <w:rFonts w:ascii="Helvetica" w:eastAsia="Times New Roman" w:hAnsi="Helvetica" w:cs="Helvetica"/>
          <w:b/>
          <w:bCs/>
          <w:color w:val="111111"/>
          <w:sz w:val="45"/>
          <w:szCs w:val="45"/>
          <w:lang w:eastAsia="it-IT"/>
        </w:rPr>
        <w:t>Template</w:t>
      </w:r>
    </w:p>
    <w:tbl>
      <w:tblPr>
        <w:tblW w:w="16200" w:type="dxa"/>
        <w:shd w:val="clear" w:color="auto" w:fill="FFFFFF"/>
        <w:tblCellMar>
          <w:left w:w="0" w:type="dxa"/>
          <w:right w:w="0" w:type="dxa"/>
        </w:tblCellMar>
        <w:tblLook w:val="04A0" w:firstRow="1" w:lastRow="0" w:firstColumn="1" w:lastColumn="0" w:noHBand="0" w:noVBand="1"/>
      </w:tblPr>
      <w:tblGrid>
        <w:gridCol w:w="8100"/>
        <w:gridCol w:w="8100"/>
      </w:tblGrid>
      <w:tr w:rsidR="001A3D19" w:rsidRPr="001A3D19" w14:paraId="1B523F45" w14:textId="77777777" w:rsidTr="001A3D19">
        <w:tc>
          <w:tcPr>
            <w:tcW w:w="2500" w:type="pct"/>
            <w:shd w:val="clear" w:color="auto" w:fill="FFFFFF"/>
            <w:tcMar>
              <w:top w:w="150" w:type="dxa"/>
              <w:left w:w="150" w:type="dxa"/>
              <w:bottom w:w="150" w:type="dxa"/>
              <w:right w:w="150" w:type="dxa"/>
            </w:tcMar>
            <w:hideMark/>
          </w:tcPr>
          <w:p w14:paraId="4E5929C1"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b/>
                <w:bCs/>
                <w:color w:val="111111"/>
                <w:sz w:val="18"/>
                <w:szCs w:val="18"/>
                <w:lang w:eastAsia="it-IT"/>
              </w:rPr>
              <w:t>Outline</w:t>
            </w:r>
          </w:p>
        </w:tc>
        <w:tc>
          <w:tcPr>
            <w:tcW w:w="2500" w:type="pct"/>
            <w:shd w:val="clear" w:color="auto" w:fill="FFFFFF"/>
            <w:tcMar>
              <w:top w:w="150" w:type="dxa"/>
              <w:left w:w="150" w:type="dxa"/>
              <w:bottom w:w="150" w:type="dxa"/>
              <w:right w:w="150" w:type="dxa"/>
            </w:tcMar>
            <w:hideMark/>
          </w:tcPr>
          <w:p w14:paraId="4DA3ADE0"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b/>
                <w:bCs/>
                <w:color w:val="111111"/>
                <w:sz w:val="18"/>
                <w:szCs w:val="18"/>
                <w:lang w:eastAsia="it-IT"/>
              </w:rPr>
              <w:t>Description</w:t>
            </w:r>
          </w:p>
        </w:tc>
      </w:tr>
      <w:tr w:rsidR="001A3D19" w:rsidRPr="001A3D19" w14:paraId="17BBDB4B" w14:textId="77777777" w:rsidTr="001A3D19">
        <w:tc>
          <w:tcPr>
            <w:tcW w:w="2500" w:type="pct"/>
            <w:shd w:val="clear" w:color="auto" w:fill="FFFFFF"/>
            <w:tcMar>
              <w:top w:w="150" w:type="dxa"/>
              <w:left w:w="150" w:type="dxa"/>
              <w:bottom w:w="150" w:type="dxa"/>
              <w:right w:w="150" w:type="dxa"/>
            </w:tcMar>
            <w:hideMark/>
          </w:tcPr>
          <w:p w14:paraId="3D520C30"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b/>
                <w:bCs/>
                <w:color w:val="111111"/>
                <w:sz w:val="18"/>
                <w:szCs w:val="18"/>
                <w:lang w:eastAsia="it-IT"/>
              </w:rPr>
              <w:t>1. Test case specification identifier</w:t>
            </w:r>
          </w:p>
        </w:tc>
        <w:tc>
          <w:tcPr>
            <w:tcW w:w="2500" w:type="pct"/>
            <w:shd w:val="clear" w:color="auto" w:fill="FFFFFF"/>
            <w:tcMar>
              <w:top w:w="150" w:type="dxa"/>
              <w:left w:w="150" w:type="dxa"/>
              <w:bottom w:w="150" w:type="dxa"/>
              <w:right w:w="150" w:type="dxa"/>
            </w:tcMar>
            <w:hideMark/>
          </w:tcPr>
          <w:p w14:paraId="0FAA6A47"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i/>
                <w:iCs/>
                <w:color w:val="111111"/>
                <w:sz w:val="18"/>
                <w:szCs w:val="18"/>
                <w:lang w:eastAsia="it-IT"/>
              </w:rPr>
              <w:t>The Test Case Specification identifier is the name of the test case, used to distinguish it from other test cases. Conventions such as naming the test cases from the features or the component being tested allow developers to more easily refer to test cases.</w:t>
            </w:r>
          </w:p>
        </w:tc>
      </w:tr>
      <w:tr w:rsidR="001A3D19" w:rsidRPr="001A3D19" w14:paraId="3CA24019" w14:textId="77777777" w:rsidTr="001A3D19">
        <w:tc>
          <w:tcPr>
            <w:tcW w:w="0" w:type="auto"/>
            <w:gridSpan w:val="2"/>
            <w:shd w:val="clear" w:color="auto" w:fill="FFFFFF"/>
            <w:tcMar>
              <w:top w:w="150" w:type="dxa"/>
              <w:left w:w="150" w:type="dxa"/>
              <w:bottom w:w="150" w:type="dxa"/>
              <w:right w:w="150" w:type="dxa"/>
            </w:tcMar>
            <w:hideMark/>
          </w:tcPr>
          <w:p w14:paraId="1CD89A40"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color w:val="111111"/>
                <w:sz w:val="18"/>
                <w:szCs w:val="18"/>
                <w:lang w:eastAsia="it-IT"/>
              </w:rPr>
              <w:t> </w:t>
            </w:r>
          </w:p>
        </w:tc>
      </w:tr>
      <w:tr w:rsidR="001A3D19" w:rsidRPr="001A3D19" w14:paraId="1E81D45C" w14:textId="77777777" w:rsidTr="001A3D19">
        <w:tc>
          <w:tcPr>
            <w:tcW w:w="2500" w:type="pct"/>
            <w:shd w:val="clear" w:color="auto" w:fill="FFFFFF"/>
            <w:tcMar>
              <w:top w:w="150" w:type="dxa"/>
              <w:left w:w="150" w:type="dxa"/>
              <w:bottom w:w="150" w:type="dxa"/>
              <w:right w:w="150" w:type="dxa"/>
            </w:tcMar>
            <w:hideMark/>
          </w:tcPr>
          <w:p w14:paraId="3781D76C"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b/>
                <w:bCs/>
                <w:color w:val="111111"/>
                <w:sz w:val="18"/>
                <w:szCs w:val="18"/>
                <w:lang w:eastAsia="it-IT"/>
              </w:rPr>
              <w:t>2. Test items</w:t>
            </w:r>
          </w:p>
        </w:tc>
        <w:tc>
          <w:tcPr>
            <w:tcW w:w="2500" w:type="pct"/>
            <w:shd w:val="clear" w:color="auto" w:fill="FFFFFF"/>
            <w:tcMar>
              <w:top w:w="150" w:type="dxa"/>
              <w:left w:w="150" w:type="dxa"/>
              <w:bottom w:w="150" w:type="dxa"/>
              <w:right w:w="150" w:type="dxa"/>
            </w:tcMar>
            <w:hideMark/>
          </w:tcPr>
          <w:p w14:paraId="0B3229FF"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i/>
                <w:iCs/>
                <w:color w:val="111111"/>
                <w:sz w:val="18"/>
                <w:szCs w:val="18"/>
                <w:lang w:eastAsia="it-IT"/>
              </w:rPr>
              <w:t>Section 2 of the TCS lists the components under test and the features being exercised.</w:t>
            </w:r>
          </w:p>
        </w:tc>
      </w:tr>
      <w:tr w:rsidR="001A3D19" w:rsidRPr="001A3D19" w14:paraId="5E8C87FD" w14:textId="77777777" w:rsidTr="001A3D19">
        <w:tc>
          <w:tcPr>
            <w:tcW w:w="0" w:type="auto"/>
            <w:gridSpan w:val="2"/>
            <w:shd w:val="clear" w:color="auto" w:fill="FFFFFF"/>
            <w:tcMar>
              <w:top w:w="150" w:type="dxa"/>
              <w:left w:w="150" w:type="dxa"/>
              <w:bottom w:w="150" w:type="dxa"/>
              <w:right w:w="150" w:type="dxa"/>
            </w:tcMar>
            <w:hideMark/>
          </w:tcPr>
          <w:p w14:paraId="75BC9427"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color w:val="111111"/>
                <w:sz w:val="18"/>
                <w:szCs w:val="18"/>
                <w:lang w:eastAsia="it-IT"/>
              </w:rPr>
              <w:t> </w:t>
            </w:r>
          </w:p>
        </w:tc>
      </w:tr>
      <w:tr w:rsidR="001A3D19" w:rsidRPr="001A3D19" w14:paraId="4C94B432" w14:textId="77777777" w:rsidTr="001A3D19">
        <w:tc>
          <w:tcPr>
            <w:tcW w:w="2500" w:type="pct"/>
            <w:shd w:val="clear" w:color="auto" w:fill="FFFFFF"/>
            <w:tcMar>
              <w:top w:w="150" w:type="dxa"/>
              <w:left w:w="150" w:type="dxa"/>
              <w:bottom w:w="150" w:type="dxa"/>
              <w:right w:w="150" w:type="dxa"/>
            </w:tcMar>
            <w:hideMark/>
          </w:tcPr>
          <w:p w14:paraId="5049DD6F"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b/>
                <w:bCs/>
                <w:color w:val="111111"/>
                <w:sz w:val="18"/>
                <w:szCs w:val="18"/>
                <w:lang w:eastAsia="it-IT"/>
              </w:rPr>
              <w:t>3. Input specifications</w:t>
            </w:r>
          </w:p>
        </w:tc>
        <w:tc>
          <w:tcPr>
            <w:tcW w:w="2500" w:type="pct"/>
            <w:shd w:val="clear" w:color="auto" w:fill="FFFFFF"/>
            <w:tcMar>
              <w:top w:w="150" w:type="dxa"/>
              <w:left w:w="150" w:type="dxa"/>
              <w:bottom w:w="150" w:type="dxa"/>
              <w:right w:w="150" w:type="dxa"/>
            </w:tcMar>
            <w:hideMark/>
          </w:tcPr>
          <w:p w14:paraId="3CC0D413"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i/>
                <w:iCs/>
                <w:color w:val="111111"/>
                <w:sz w:val="18"/>
                <w:szCs w:val="18"/>
                <w:lang w:eastAsia="it-IT"/>
              </w:rPr>
              <w:t>Section 3 lists the inputs required for the test cases.</w:t>
            </w:r>
          </w:p>
        </w:tc>
      </w:tr>
      <w:tr w:rsidR="001A3D19" w:rsidRPr="001A3D19" w14:paraId="29EA3DC6" w14:textId="77777777" w:rsidTr="001A3D19">
        <w:tc>
          <w:tcPr>
            <w:tcW w:w="0" w:type="auto"/>
            <w:gridSpan w:val="2"/>
            <w:shd w:val="clear" w:color="auto" w:fill="FFFFFF"/>
            <w:tcMar>
              <w:top w:w="150" w:type="dxa"/>
              <w:left w:w="150" w:type="dxa"/>
              <w:bottom w:w="150" w:type="dxa"/>
              <w:right w:w="150" w:type="dxa"/>
            </w:tcMar>
            <w:hideMark/>
          </w:tcPr>
          <w:p w14:paraId="7FD1AD17"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color w:val="111111"/>
                <w:sz w:val="18"/>
                <w:szCs w:val="18"/>
                <w:lang w:eastAsia="it-IT"/>
              </w:rPr>
              <w:t> </w:t>
            </w:r>
          </w:p>
        </w:tc>
      </w:tr>
      <w:tr w:rsidR="001A3D19" w:rsidRPr="001A3D19" w14:paraId="3D1231FA" w14:textId="77777777" w:rsidTr="001A3D19">
        <w:tc>
          <w:tcPr>
            <w:tcW w:w="2500" w:type="pct"/>
            <w:shd w:val="clear" w:color="auto" w:fill="FFFFFF"/>
            <w:tcMar>
              <w:top w:w="150" w:type="dxa"/>
              <w:left w:w="150" w:type="dxa"/>
              <w:bottom w:w="150" w:type="dxa"/>
              <w:right w:w="150" w:type="dxa"/>
            </w:tcMar>
            <w:hideMark/>
          </w:tcPr>
          <w:p w14:paraId="1A50967F"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b/>
                <w:bCs/>
                <w:color w:val="111111"/>
                <w:sz w:val="18"/>
                <w:szCs w:val="18"/>
                <w:lang w:eastAsia="it-IT"/>
              </w:rPr>
              <w:t>4. Output specifications</w:t>
            </w:r>
          </w:p>
        </w:tc>
        <w:tc>
          <w:tcPr>
            <w:tcW w:w="2500" w:type="pct"/>
            <w:shd w:val="clear" w:color="auto" w:fill="FFFFFF"/>
            <w:tcMar>
              <w:top w:w="150" w:type="dxa"/>
              <w:left w:w="150" w:type="dxa"/>
              <w:bottom w:w="150" w:type="dxa"/>
              <w:right w:w="150" w:type="dxa"/>
            </w:tcMar>
            <w:hideMark/>
          </w:tcPr>
          <w:p w14:paraId="20AA3724"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i/>
                <w:iCs/>
                <w:color w:val="111111"/>
                <w:sz w:val="18"/>
                <w:szCs w:val="18"/>
                <w:lang w:eastAsia="it-IT"/>
              </w:rPr>
              <w:t>Section 4 lists the expected output. This output is computed manually or with a competing system (such as a legacy system being replaced).</w:t>
            </w:r>
          </w:p>
        </w:tc>
      </w:tr>
      <w:tr w:rsidR="001A3D19" w:rsidRPr="001A3D19" w14:paraId="6213ACF9" w14:textId="77777777" w:rsidTr="001A3D19">
        <w:tc>
          <w:tcPr>
            <w:tcW w:w="0" w:type="auto"/>
            <w:gridSpan w:val="2"/>
            <w:shd w:val="clear" w:color="auto" w:fill="FFFFFF"/>
            <w:tcMar>
              <w:top w:w="150" w:type="dxa"/>
              <w:left w:w="150" w:type="dxa"/>
              <w:bottom w:w="150" w:type="dxa"/>
              <w:right w:w="150" w:type="dxa"/>
            </w:tcMar>
            <w:hideMark/>
          </w:tcPr>
          <w:p w14:paraId="7E140BBF"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color w:val="111111"/>
                <w:sz w:val="18"/>
                <w:szCs w:val="18"/>
                <w:lang w:eastAsia="it-IT"/>
              </w:rPr>
              <w:t> </w:t>
            </w:r>
          </w:p>
        </w:tc>
      </w:tr>
      <w:tr w:rsidR="001A3D19" w:rsidRPr="001A3D19" w14:paraId="466CDD5F" w14:textId="77777777" w:rsidTr="001A3D19">
        <w:tc>
          <w:tcPr>
            <w:tcW w:w="2500" w:type="pct"/>
            <w:shd w:val="clear" w:color="auto" w:fill="FFFFFF"/>
            <w:tcMar>
              <w:top w:w="150" w:type="dxa"/>
              <w:left w:w="150" w:type="dxa"/>
              <w:bottom w:w="150" w:type="dxa"/>
              <w:right w:w="150" w:type="dxa"/>
            </w:tcMar>
            <w:hideMark/>
          </w:tcPr>
          <w:p w14:paraId="27DFBFC6"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b/>
                <w:bCs/>
                <w:color w:val="111111"/>
                <w:sz w:val="18"/>
                <w:szCs w:val="18"/>
                <w:lang w:eastAsia="it-IT"/>
              </w:rPr>
              <w:t>5. Environmental needs</w:t>
            </w:r>
          </w:p>
        </w:tc>
        <w:tc>
          <w:tcPr>
            <w:tcW w:w="2500" w:type="pct"/>
            <w:shd w:val="clear" w:color="auto" w:fill="FFFFFF"/>
            <w:tcMar>
              <w:top w:w="150" w:type="dxa"/>
              <w:left w:w="150" w:type="dxa"/>
              <w:bottom w:w="150" w:type="dxa"/>
              <w:right w:w="150" w:type="dxa"/>
            </w:tcMar>
            <w:hideMark/>
          </w:tcPr>
          <w:p w14:paraId="4DCCD74F"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i/>
                <w:iCs/>
                <w:color w:val="111111"/>
                <w:sz w:val="18"/>
                <w:szCs w:val="18"/>
                <w:lang w:eastAsia="it-IT"/>
              </w:rPr>
              <w:t>Section 5 lists the hardware and software platform needed to execute the test, including any test drivers or stubs.</w:t>
            </w:r>
          </w:p>
        </w:tc>
      </w:tr>
      <w:tr w:rsidR="001A3D19" w:rsidRPr="001A3D19" w14:paraId="06F1B035" w14:textId="77777777" w:rsidTr="001A3D19">
        <w:tc>
          <w:tcPr>
            <w:tcW w:w="0" w:type="auto"/>
            <w:gridSpan w:val="2"/>
            <w:shd w:val="clear" w:color="auto" w:fill="FFFFFF"/>
            <w:tcMar>
              <w:top w:w="150" w:type="dxa"/>
              <w:left w:w="150" w:type="dxa"/>
              <w:bottom w:w="150" w:type="dxa"/>
              <w:right w:w="150" w:type="dxa"/>
            </w:tcMar>
            <w:hideMark/>
          </w:tcPr>
          <w:p w14:paraId="59756006"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color w:val="111111"/>
                <w:sz w:val="18"/>
                <w:szCs w:val="18"/>
                <w:lang w:eastAsia="it-IT"/>
              </w:rPr>
              <w:t> </w:t>
            </w:r>
          </w:p>
        </w:tc>
      </w:tr>
      <w:tr w:rsidR="001A3D19" w:rsidRPr="001A3D19" w14:paraId="266BEF80" w14:textId="77777777" w:rsidTr="001A3D19">
        <w:tc>
          <w:tcPr>
            <w:tcW w:w="2500" w:type="pct"/>
            <w:shd w:val="clear" w:color="auto" w:fill="FFFFFF"/>
            <w:tcMar>
              <w:top w:w="150" w:type="dxa"/>
              <w:left w:w="150" w:type="dxa"/>
              <w:bottom w:w="150" w:type="dxa"/>
              <w:right w:w="150" w:type="dxa"/>
            </w:tcMar>
            <w:hideMark/>
          </w:tcPr>
          <w:p w14:paraId="0101958F"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b/>
                <w:bCs/>
                <w:color w:val="111111"/>
                <w:sz w:val="18"/>
                <w:szCs w:val="18"/>
                <w:lang w:eastAsia="it-IT"/>
              </w:rPr>
              <w:t>6. Special procedural requirements</w:t>
            </w:r>
          </w:p>
        </w:tc>
        <w:tc>
          <w:tcPr>
            <w:tcW w:w="2500" w:type="pct"/>
            <w:shd w:val="clear" w:color="auto" w:fill="FFFFFF"/>
            <w:tcMar>
              <w:top w:w="150" w:type="dxa"/>
              <w:left w:w="150" w:type="dxa"/>
              <w:bottom w:w="150" w:type="dxa"/>
              <w:right w:w="150" w:type="dxa"/>
            </w:tcMar>
            <w:hideMark/>
          </w:tcPr>
          <w:p w14:paraId="34D33A2F"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i/>
                <w:iCs/>
                <w:color w:val="111111"/>
                <w:sz w:val="18"/>
                <w:szCs w:val="18"/>
                <w:lang w:eastAsia="it-IT"/>
              </w:rPr>
              <w:t>Section 6 lists any constraints needed to execute the test such as timing, load, or operator intervention.</w:t>
            </w:r>
          </w:p>
        </w:tc>
      </w:tr>
      <w:tr w:rsidR="001A3D19" w:rsidRPr="001A3D19" w14:paraId="5CF87592" w14:textId="77777777" w:rsidTr="001A3D19">
        <w:tc>
          <w:tcPr>
            <w:tcW w:w="0" w:type="auto"/>
            <w:gridSpan w:val="2"/>
            <w:shd w:val="clear" w:color="auto" w:fill="FFFFFF"/>
            <w:tcMar>
              <w:top w:w="150" w:type="dxa"/>
              <w:left w:w="150" w:type="dxa"/>
              <w:bottom w:w="150" w:type="dxa"/>
              <w:right w:w="150" w:type="dxa"/>
            </w:tcMar>
            <w:hideMark/>
          </w:tcPr>
          <w:p w14:paraId="15CFB8FD"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color w:val="111111"/>
                <w:sz w:val="18"/>
                <w:szCs w:val="18"/>
                <w:lang w:eastAsia="it-IT"/>
              </w:rPr>
              <w:t> </w:t>
            </w:r>
          </w:p>
        </w:tc>
      </w:tr>
      <w:tr w:rsidR="001A3D19" w:rsidRPr="001A3D19" w14:paraId="6F9616F9" w14:textId="77777777" w:rsidTr="001A3D19">
        <w:tc>
          <w:tcPr>
            <w:tcW w:w="2500" w:type="pct"/>
            <w:shd w:val="clear" w:color="auto" w:fill="FFFFFF"/>
            <w:tcMar>
              <w:top w:w="150" w:type="dxa"/>
              <w:left w:w="150" w:type="dxa"/>
              <w:bottom w:w="150" w:type="dxa"/>
              <w:right w:w="150" w:type="dxa"/>
            </w:tcMar>
            <w:hideMark/>
          </w:tcPr>
          <w:p w14:paraId="42C35850"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b/>
                <w:bCs/>
                <w:color w:val="111111"/>
                <w:sz w:val="18"/>
                <w:szCs w:val="18"/>
                <w:lang w:eastAsia="it-IT"/>
              </w:rPr>
              <w:t>7. Intercase dependencies</w:t>
            </w:r>
          </w:p>
        </w:tc>
        <w:tc>
          <w:tcPr>
            <w:tcW w:w="2500" w:type="pct"/>
            <w:shd w:val="clear" w:color="auto" w:fill="FFFFFF"/>
            <w:tcMar>
              <w:top w:w="150" w:type="dxa"/>
              <w:left w:w="150" w:type="dxa"/>
              <w:bottom w:w="150" w:type="dxa"/>
              <w:right w:w="150" w:type="dxa"/>
            </w:tcMar>
            <w:hideMark/>
          </w:tcPr>
          <w:p w14:paraId="5B1FD75E" w14:textId="77777777" w:rsidR="001A3D19" w:rsidRPr="001A3D19" w:rsidRDefault="001A3D19" w:rsidP="001A3D19">
            <w:pPr>
              <w:rPr>
                <w:rFonts w:ascii="Arial" w:eastAsia="Times New Roman" w:hAnsi="Arial" w:cs="Arial"/>
                <w:color w:val="111111"/>
                <w:sz w:val="18"/>
                <w:szCs w:val="18"/>
                <w:lang w:eastAsia="it-IT"/>
              </w:rPr>
            </w:pPr>
            <w:r w:rsidRPr="001A3D19">
              <w:rPr>
                <w:rFonts w:ascii="Arial" w:eastAsia="Times New Roman" w:hAnsi="Arial" w:cs="Arial"/>
                <w:i/>
                <w:iCs/>
                <w:color w:val="111111"/>
                <w:sz w:val="18"/>
                <w:szCs w:val="18"/>
                <w:lang w:eastAsia="it-IT"/>
              </w:rPr>
              <w:t>Section 7 lists the dependencies with other test cases.</w:t>
            </w:r>
          </w:p>
        </w:tc>
      </w:tr>
    </w:tbl>
    <w:p w14:paraId="14D4C6F5" w14:textId="77777777" w:rsidR="000E62B9" w:rsidRDefault="000E62B9">
      <w:bookmarkStart w:id="0" w:name="_GoBack"/>
      <w:bookmarkEnd w:id="0"/>
    </w:p>
    <w:sectPr w:rsidR="000E62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EE"/>
    <w:rsid w:val="000E62B9"/>
    <w:rsid w:val="001A3D19"/>
    <w:rsid w:val="005E0C86"/>
    <w:rsid w:val="00E07C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6F47E-C477-42D3-BAA2-160A93B1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0C86"/>
  </w:style>
  <w:style w:type="paragraph" w:styleId="Titolo2">
    <w:name w:val="heading 2"/>
    <w:basedOn w:val="Normale"/>
    <w:link w:val="Titolo2Carattere"/>
    <w:uiPriority w:val="9"/>
    <w:qFormat/>
    <w:rsid w:val="001A3D19"/>
    <w:pPr>
      <w:spacing w:before="100" w:beforeAutospacing="1" w:after="100" w:afterAutospacing="1"/>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A3D19"/>
    <w:rPr>
      <w:rFonts w:ascii="Times New Roman" w:eastAsia="Times New Roman" w:hAnsi="Times New Roman" w:cs="Times New Roman"/>
      <w:b/>
      <w:bCs/>
      <w:sz w:val="36"/>
      <w:szCs w:val="36"/>
      <w:lang w:eastAsia="it-IT"/>
    </w:rPr>
  </w:style>
  <w:style w:type="character" w:styleId="Enfasigrassetto">
    <w:name w:val="Strong"/>
    <w:basedOn w:val="Carpredefinitoparagrafo"/>
    <w:uiPriority w:val="22"/>
    <w:qFormat/>
    <w:rsid w:val="001A3D19"/>
    <w:rPr>
      <w:b/>
      <w:bCs/>
    </w:rPr>
  </w:style>
  <w:style w:type="character" w:styleId="Enfasicorsivo">
    <w:name w:val="Emphasis"/>
    <w:basedOn w:val="Carpredefinitoparagrafo"/>
    <w:uiPriority w:val="20"/>
    <w:qFormat/>
    <w:rsid w:val="001A3D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Fittipaldi</dc:creator>
  <cp:keywords/>
  <dc:description/>
  <cp:lastModifiedBy>Emanuele Fittipaldi</cp:lastModifiedBy>
  <cp:revision>2</cp:revision>
  <dcterms:created xsi:type="dcterms:W3CDTF">2020-10-11T10:14:00Z</dcterms:created>
  <dcterms:modified xsi:type="dcterms:W3CDTF">2020-10-11T10:14:00Z</dcterms:modified>
</cp:coreProperties>
</file>