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DC6" w:rsidRPr="0069124D" w:rsidRDefault="00121E32">
      <w:pPr>
        <w:rPr>
          <w:rFonts w:ascii="Arial" w:hAnsi="Arial" w:cs="Arial"/>
        </w:rPr>
      </w:pPr>
      <w:r w:rsidRPr="0069124D">
        <w:rPr>
          <w:rFonts w:ascii="Arial" w:hAnsi="Arial" w:cs="Arial"/>
          <w:noProof/>
          <w:lang w:eastAsia="es-CO"/>
        </w:rPr>
        <w:drawing>
          <wp:inline distT="0" distB="0" distL="0" distR="0" wp14:anchorId="4A79A1CA" wp14:editId="3740AA62">
            <wp:extent cx="2446096" cy="297412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028" cy="29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32" w:rsidRPr="0069124D" w:rsidRDefault="00121E32">
      <w:pPr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 xml:space="preserve">Menú Inicio: </w:t>
      </w:r>
    </w:p>
    <w:p w:rsidR="00121E32" w:rsidRPr="0069124D" w:rsidRDefault="00121E32" w:rsidP="00121E32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Empsii</w:t>
      </w:r>
    </w:p>
    <w:p w:rsidR="00121E32" w:rsidRPr="0069124D" w:rsidRDefault="00121E32" w:rsidP="00121E32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Nuestros clientes</w:t>
      </w:r>
    </w:p>
    <w:p w:rsidR="00121E32" w:rsidRPr="0069124D" w:rsidRDefault="00121E32" w:rsidP="00121E32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Contacto</w:t>
      </w:r>
    </w:p>
    <w:p w:rsidR="00121E32" w:rsidRPr="0069124D" w:rsidRDefault="00121E32" w:rsidP="00121E32">
      <w:pPr>
        <w:pStyle w:val="Prrafodelista"/>
        <w:numPr>
          <w:ilvl w:val="0"/>
          <w:numId w:val="1"/>
        </w:numPr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Mapa</w:t>
      </w:r>
    </w:p>
    <w:p w:rsidR="00121E32" w:rsidRPr="0069124D" w:rsidRDefault="00121E32">
      <w:pPr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Sub Menú003A</w:t>
      </w:r>
    </w:p>
    <w:p w:rsidR="00121E32" w:rsidRPr="0069124D" w:rsidRDefault="00121E32" w:rsidP="00121E32">
      <w:pPr>
        <w:pStyle w:val="Prrafodelista"/>
        <w:numPr>
          <w:ilvl w:val="0"/>
          <w:numId w:val="2"/>
        </w:numPr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Mithra</w:t>
      </w:r>
    </w:p>
    <w:p w:rsidR="00121E32" w:rsidRPr="0069124D" w:rsidRDefault="00121E32" w:rsidP="00121E32">
      <w:pPr>
        <w:pStyle w:val="Prrafodelista"/>
        <w:numPr>
          <w:ilvl w:val="0"/>
          <w:numId w:val="2"/>
        </w:numPr>
        <w:rPr>
          <w:rFonts w:ascii="Arial" w:eastAsia="Times New Roman" w:hAnsi="Arial" w:cs="Arial"/>
          <w:lang w:eastAsia="es-CO"/>
        </w:rPr>
      </w:pPr>
      <w:proofErr w:type="spellStart"/>
      <w:r w:rsidRPr="0069124D">
        <w:rPr>
          <w:rFonts w:ascii="Arial" w:eastAsia="Times New Roman" w:hAnsi="Arial" w:cs="Arial"/>
          <w:lang w:eastAsia="es-CO"/>
        </w:rPr>
        <w:t>Thellius</w:t>
      </w:r>
      <w:proofErr w:type="spellEnd"/>
    </w:p>
    <w:p w:rsidR="00121E32" w:rsidRPr="0069124D" w:rsidRDefault="00121E32" w:rsidP="00121E32">
      <w:pPr>
        <w:pStyle w:val="Prrafodelista"/>
        <w:numPr>
          <w:ilvl w:val="0"/>
          <w:numId w:val="2"/>
        </w:numPr>
        <w:rPr>
          <w:rFonts w:ascii="Arial" w:eastAsia="Times New Roman" w:hAnsi="Arial" w:cs="Arial"/>
          <w:lang w:eastAsia="es-CO"/>
        </w:rPr>
      </w:pPr>
      <w:proofErr w:type="spellStart"/>
      <w:r w:rsidRPr="0069124D">
        <w:rPr>
          <w:rFonts w:ascii="Arial" w:eastAsia="Times New Roman" w:hAnsi="Arial" w:cs="Arial"/>
          <w:lang w:eastAsia="es-CO"/>
        </w:rPr>
        <w:t>Reports</w:t>
      </w:r>
      <w:proofErr w:type="spellEnd"/>
    </w:p>
    <w:p w:rsidR="00121E32" w:rsidRPr="0069124D" w:rsidRDefault="00121E32" w:rsidP="00121E32">
      <w:pPr>
        <w:pStyle w:val="Prrafodelista"/>
        <w:numPr>
          <w:ilvl w:val="0"/>
          <w:numId w:val="2"/>
        </w:numPr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Consultoría</w:t>
      </w:r>
    </w:p>
    <w:p w:rsidR="00121E32" w:rsidRPr="0069124D" w:rsidRDefault="00121E32" w:rsidP="00121E32">
      <w:p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Mithra News</w:t>
      </w:r>
    </w:p>
    <w:p w:rsidR="00121E32" w:rsidRPr="0069124D" w:rsidRDefault="00121E32" w:rsidP="00121E32">
      <w:pPr>
        <w:spacing w:after="0" w:line="240" w:lineRule="auto"/>
        <w:rPr>
          <w:rFonts w:ascii="Arial" w:eastAsia="Times New Roman" w:hAnsi="Arial" w:cs="Arial"/>
          <w:lang w:eastAsia="es-CO"/>
        </w:rPr>
      </w:pPr>
    </w:p>
    <w:p w:rsidR="00121E32" w:rsidRPr="0069124D" w:rsidRDefault="00121E32" w:rsidP="00121E32">
      <w:p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La empresa ELECTROHUILA S.A E.S.P ha firmado contrato para la implementación del sistema MITHRA. Empsii inicia proyecto a partir de Enero del 2011. Le damos la bienvenida a nuestro nuevo cliente.</w:t>
      </w:r>
      <w:r w:rsidRPr="0069124D">
        <w:rPr>
          <w:rFonts w:ascii="Arial" w:eastAsia="Times New Roman" w:hAnsi="Arial" w:cs="Arial"/>
          <w:lang w:eastAsia="es-CO"/>
        </w:rPr>
        <w:br/>
        <w:t xml:space="preserve">La empresa ENERMONT S.A </w:t>
      </w:r>
      <w:proofErr w:type="spellStart"/>
      <w:r w:rsidRPr="0069124D">
        <w:rPr>
          <w:rFonts w:ascii="Arial" w:eastAsia="Times New Roman" w:hAnsi="Arial" w:cs="Arial"/>
          <w:lang w:eastAsia="es-CO"/>
        </w:rPr>
        <w:t>E.S.Pha</w:t>
      </w:r>
      <w:proofErr w:type="spellEnd"/>
      <w:r w:rsidRPr="0069124D">
        <w:rPr>
          <w:rFonts w:ascii="Arial" w:eastAsia="Times New Roman" w:hAnsi="Arial" w:cs="Arial"/>
          <w:lang w:eastAsia="es-CO"/>
        </w:rPr>
        <w:t xml:space="preserve"> firmado contrato para la implementación del sistema MITHRA. Empsii inicia proyecto a partir de Enero del 2011. Le damos la bienvenida a nuestro nuevo cliente.</w:t>
      </w:r>
    </w:p>
    <w:p w:rsidR="00121E32" w:rsidRPr="0069124D" w:rsidRDefault="00121E32" w:rsidP="00121E32">
      <w:pPr>
        <w:rPr>
          <w:rFonts w:ascii="Arial" w:eastAsia="Times New Roman" w:hAnsi="Arial" w:cs="Arial"/>
          <w:lang w:eastAsia="es-CO"/>
        </w:rPr>
      </w:pPr>
    </w:p>
    <w:p w:rsidR="00121E32" w:rsidRPr="0069124D" w:rsidRDefault="00121E32" w:rsidP="00121E32">
      <w:pPr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Noticias Del sector: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8"/>
      </w:tblGrid>
      <w:tr w:rsidR="00121E32" w:rsidRPr="0069124D" w:rsidTr="00121E32">
        <w:trPr>
          <w:tblCellSpacing w:w="0" w:type="dxa"/>
        </w:trPr>
        <w:tc>
          <w:tcPr>
            <w:tcW w:w="0" w:type="auto"/>
            <w:vAlign w:val="center"/>
            <w:hideMark/>
          </w:tcPr>
          <w:p w:rsidR="00121E32" w:rsidRPr="0069124D" w:rsidRDefault="00121E32" w:rsidP="00121E32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Entre enero y marzo de 2011 ISA duplicó ganancias y elevó ingresos en 33,7%</w:t>
            </w:r>
            <w:r w:rsidRPr="0069124D">
              <w:rPr>
                <w:rFonts w:ascii="Arial" w:eastAsia="Times New Roman" w:hAnsi="Arial" w:cs="Arial"/>
                <w:lang w:eastAsia="es-CO"/>
              </w:rPr>
              <w:br/>
              <w:t>Balances empresariales primer trimestre.</w:t>
            </w:r>
            <w:r w:rsidRPr="0069124D">
              <w:rPr>
                <w:rFonts w:ascii="Arial" w:eastAsia="Times New Roman" w:hAnsi="Arial" w:cs="Arial"/>
                <w:lang w:eastAsia="es-CO"/>
              </w:rPr>
              <w:br/>
              <w:t xml:space="preserve">La utilidad neta fue de $160.000 millones en los tres primeros meses del año, cuando entre enero y marzo de 2010 había logrado $78,472 millones. Los ingresos operacionales </w:t>
            </w:r>
            <w:r w:rsidRPr="0069124D">
              <w:rPr>
                <w:rFonts w:ascii="Arial" w:eastAsia="Times New Roman" w:hAnsi="Arial" w:cs="Arial"/>
                <w:lang w:eastAsia="es-CO"/>
              </w:rPr>
              <w:lastRenderedPageBreak/>
              <w:t xml:space="preserve">consolidados fueron de $1,1 billones y el </w:t>
            </w: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Ebitda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 acumuló $807.101 millones, con un margen de 72.9%. ...</w:t>
            </w:r>
            <w:r w:rsidRPr="0069124D">
              <w:rPr>
                <w:rFonts w:ascii="Arial" w:eastAsia="Times New Roman" w:hAnsi="Arial" w:cs="Arial"/>
                <w:lang w:eastAsia="es-CO"/>
              </w:rPr>
              <w:br/>
              <w:t>Más información.</w:t>
            </w:r>
            <w:r w:rsidRPr="0069124D">
              <w:rPr>
                <w:rFonts w:ascii="Arial" w:eastAsia="Times New Roman" w:hAnsi="Arial" w:cs="Arial"/>
                <w:lang w:eastAsia="es-CO"/>
              </w:rPr>
              <w:br/>
            </w:r>
            <w:hyperlink r:id="rId7" w:history="1">
              <w:r w:rsidRPr="0069124D">
                <w:rPr>
                  <w:rFonts w:ascii="Arial" w:eastAsia="Times New Roman" w:hAnsi="Arial" w:cs="Arial"/>
                  <w:lang w:eastAsia="es-CO"/>
                </w:rPr>
                <w:t>ver más</w:t>
              </w:r>
            </w:hyperlink>
          </w:p>
        </w:tc>
      </w:tr>
      <w:tr w:rsidR="00121E32" w:rsidRPr="0069124D" w:rsidTr="00121E32">
        <w:trPr>
          <w:tblCellSpacing w:w="0" w:type="dxa"/>
        </w:trPr>
        <w:tc>
          <w:tcPr>
            <w:tcW w:w="0" w:type="auto"/>
            <w:vAlign w:val="center"/>
            <w:hideMark/>
          </w:tcPr>
          <w:p w:rsidR="00121E32" w:rsidRPr="0069124D" w:rsidRDefault="00121E32" w:rsidP="00121E32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lastRenderedPageBreak/>
              <w:t>Listo software para estimar costo del plan de pérdidas de energía no técnicas </w:t>
            </w:r>
            <w:r w:rsidRPr="0069124D">
              <w:rPr>
                <w:rFonts w:ascii="Arial" w:eastAsia="Times New Roman" w:hAnsi="Arial" w:cs="Arial"/>
                <w:lang w:eastAsia="es-CO"/>
              </w:rPr>
              <w:br/>
              <w:t>La última semana de abril estará listo el software con el cual los Operadores de Red (OR) podrán estimar el costo total del plan de reducción de pérdidas no técnicas.</w:t>
            </w:r>
            <w:r w:rsidRPr="0069124D">
              <w:rPr>
                <w:rFonts w:ascii="Arial" w:eastAsia="Times New Roman" w:hAnsi="Arial" w:cs="Arial"/>
                <w:lang w:eastAsia="es-CO"/>
              </w:rPr>
              <w:br/>
              <w:t>En tal sentido, la Comisión de Regulación de Energía y Gas (CREG) publica los documentos del informe final del estudio Programa Computacional y Modelo de Estimación del Costo Total del Plan de Reducción de Pérdidas No Técnicas, realizado por la Universidad Tecnológica de Pereira (UTP). </w:t>
            </w:r>
            <w:r w:rsidRPr="0069124D">
              <w:rPr>
                <w:rFonts w:ascii="Arial" w:eastAsia="Times New Roman" w:hAnsi="Arial" w:cs="Arial"/>
                <w:lang w:eastAsia="es-CO"/>
              </w:rPr>
              <w:br/>
              <w:t>Así mismo, realizó la presentación del informe y de la aplicación de software este martes 12 de abril en el Auditorio Jorge Roa Martínez de la Biblioteca Central de UTP. </w:t>
            </w:r>
            <w:r w:rsidRPr="0069124D">
              <w:rPr>
                <w:rFonts w:ascii="Arial" w:eastAsia="Times New Roman" w:hAnsi="Arial" w:cs="Arial"/>
                <w:lang w:eastAsia="es-CO"/>
              </w:rPr>
              <w:br/>
              <w:t>Para poder acceder a este software, el OR deberá enviar a la CREG (</w:t>
            </w: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Av.calle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 116 No.7-5 </w:t>
            </w: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Int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. 2 Oficina 901 Edificio </w:t>
            </w: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Cusezar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>) una carta suscrita por su representante legal. </w:t>
            </w:r>
            <w:r w:rsidRPr="0069124D">
              <w:rPr>
                <w:rFonts w:ascii="Arial" w:eastAsia="Times New Roman" w:hAnsi="Arial" w:cs="Arial"/>
                <w:lang w:eastAsia="es-CO"/>
              </w:rPr>
              <w:br/>
              <w:t>Una vez aprobada la solicitud, a cada Operador se le dará un usuario y una clave, con la cual podrá ingresar al vínculo dispuesto para tal fin en la sección usuarios registrados del portal web de la CREG.</w:t>
            </w:r>
            <w:r w:rsidRPr="0069124D">
              <w:rPr>
                <w:rFonts w:ascii="Arial" w:eastAsia="Times New Roman" w:hAnsi="Arial" w:cs="Arial"/>
                <w:lang w:eastAsia="es-CO"/>
              </w:rPr>
              <w:br/>
              <w:t>ver más</w:t>
            </w:r>
          </w:p>
        </w:tc>
      </w:tr>
    </w:tbl>
    <w:p w:rsidR="00121E32" w:rsidRPr="0069124D" w:rsidRDefault="00121E32" w:rsidP="00121E32">
      <w:pPr>
        <w:rPr>
          <w:rFonts w:ascii="Arial" w:hAnsi="Arial" w:cs="Arial"/>
        </w:rPr>
      </w:pPr>
    </w:p>
    <w:p w:rsidR="00121E32" w:rsidRPr="0069124D" w:rsidRDefault="00121E32" w:rsidP="00121E32">
      <w:pPr>
        <w:rPr>
          <w:rFonts w:ascii="Arial" w:hAnsi="Arial" w:cs="Arial"/>
        </w:rPr>
      </w:pPr>
      <w:r w:rsidRPr="0069124D">
        <w:rPr>
          <w:rFonts w:ascii="Arial" w:hAnsi="Arial" w:cs="Arial"/>
        </w:rPr>
        <w:t>Links:</w:t>
      </w:r>
    </w:p>
    <w:p w:rsidR="00121E32" w:rsidRPr="0069124D" w:rsidRDefault="00121E32" w:rsidP="00121E3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69124D">
        <w:rPr>
          <w:rFonts w:ascii="Arial" w:hAnsi="Arial" w:cs="Arial"/>
        </w:rPr>
        <w:t>Creg</w:t>
      </w:r>
      <w:proofErr w:type="spellEnd"/>
    </w:p>
    <w:p w:rsidR="00121E32" w:rsidRPr="0069124D" w:rsidRDefault="00121E32" w:rsidP="00121E3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69124D">
        <w:rPr>
          <w:rFonts w:ascii="Arial" w:hAnsi="Arial" w:cs="Arial"/>
        </w:rPr>
        <w:t>Isa</w:t>
      </w:r>
    </w:p>
    <w:p w:rsidR="00121E32" w:rsidRPr="0069124D" w:rsidRDefault="00121E32" w:rsidP="00121E3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69124D">
        <w:rPr>
          <w:rFonts w:ascii="Arial" w:hAnsi="Arial" w:cs="Arial"/>
        </w:rPr>
        <w:t>CSMEN</w:t>
      </w:r>
    </w:p>
    <w:p w:rsidR="00121E32" w:rsidRPr="0069124D" w:rsidRDefault="00121E32" w:rsidP="00121E32">
      <w:pPr>
        <w:rPr>
          <w:rFonts w:ascii="Arial" w:hAnsi="Arial" w:cs="Arial"/>
        </w:rPr>
      </w:pPr>
    </w:p>
    <w:p w:rsidR="00AD427B" w:rsidRPr="0069124D" w:rsidRDefault="00AD427B" w:rsidP="00121E32">
      <w:pPr>
        <w:jc w:val="center"/>
        <w:rPr>
          <w:rFonts w:ascii="Arial" w:hAnsi="Arial" w:cs="Arial"/>
          <w:b/>
        </w:rPr>
      </w:pPr>
    </w:p>
    <w:p w:rsidR="00AD427B" w:rsidRPr="0069124D" w:rsidRDefault="00AD427B" w:rsidP="00121E32">
      <w:pPr>
        <w:jc w:val="center"/>
        <w:rPr>
          <w:rFonts w:ascii="Arial" w:hAnsi="Arial" w:cs="Arial"/>
          <w:b/>
        </w:rPr>
      </w:pPr>
    </w:p>
    <w:p w:rsidR="00AD427B" w:rsidRPr="0069124D" w:rsidRDefault="00AD427B" w:rsidP="00121E32">
      <w:pPr>
        <w:jc w:val="center"/>
        <w:rPr>
          <w:rFonts w:ascii="Arial" w:hAnsi="Arial" w:cs="Arial"/>
          <w:b/>
        </w:rPr>
      </w:pPr>
    </w:p>
    <w:p w:rsidR="00AD427B" w:rsidRPr="0069124D" w:rsidRDefault="00AD427B" w:rsidP="00121E32">
      <w:pPr>
        <w:jc w:val="center"/>
        <w:rPr>
          <w:rFonts w:ascii="Arial" w:hAnsi="Arial" w:cs="Arial"/>
          <w:b/>
        </w:rPr>
      </w:pPr>
    </w:p>
    <w:p w:rsidR="00AD427B" w:rsidRPr="0069124D" w:rsidRDefault="00AD427B" w:rsidP="00121E32">
      <w:pPr>
        <w:jc w:val="center"/>
        <w:rPr>
          <w:rFonts w:ascii="Arial" w:hAnsi="Arial" w:cs="Arial"/>
          <w:b/>
        </w:rPr>
      </w:pPr>
    </w:p>
    <w:p w:rsidR="00AD427B" w:rsidRPr="0069124D" w:rsidRDefault="00AD427B" w:rsidP="00121E32">
      <w:pPr>
        <w:jc w:val="center"/>
        <w:rPr>
          <w:rFonts w:ascii="Arial" w:hAnsi="Arial" w:cs="Arial"/>
          <w:b/>
        </w:rPr>
      </w:pPr>
    </w:p>
    <w:p w:rsidR="00AD427B" w:rsidRPr="0069124D" w:rsidRDefault="00AD427B" w:rsidP="00121E32">
      <w:pPr>
        <w:jc w:val="center"/>
        <w:rPr>
          <w:rFonts w:ascii="Arial" w:hAnsi="Arial" w:cs="Arial"/>
          <w:b/>
        </w:rPr>
      </w:pPr>
    </w:p>
    <w:p w:rsidR="00AD427B" w:rsidRPr="0069124D" w:rsidRDefault="00AD427B" w:rsidP="00121E32">
      <w:pPr>
        <w:jc w:val="center"/>
        <w:rPr>
          <w:rFonts w:ascii="Arial" w:hAnsi="Arial" w:cs="Arial"/>
          <w:b/>
        </w:rPr>
      </w:pPr>
    </w:p>
    <w:p w:rsidR="00AD427B" w:rsidRPr="0069124D" w:rsidRDefault="00AD427B" w:rsidP="00121E32">
      <w:pPr>
        <w:jc w:val="center"/>
        <w:rPr>
          <w:rFonts w:ascii="Arial" w:hAnsi="Arial" w:cs="Arial"/>
          <w:b/>
        </w:rPr>
      </w:pPr>
    </w:p>
    <w:p w:rsidR="00AD427B" w:rsidRPr="0069124D" w:rsidRDefault="00AD427B" w:rsidP="00121E32">
      <w:pPr>
        <w:jc w:val="center"/>
        <w:rPr>
          <w:rFonts w:ascii="Arial" w:hAnsi="Arial" w:cs="Arial"/>
          <w:b/>
        </w:rPr>
      </w:pPr>
    </w:p>
    <w:p w:rsidR="00AD427B" w:rsidRPr="0069124D" w:rsidRDefault="00AD427B" w:rsidP="00121E32">
      <w:pPr>
        <w:jc w:val="center"/>
        <w:rPr>
          <w:rFonts w:ascii="Arial" w:hAnsi="Arial" w:cs="Arial"/>
          <w:b/>
        </w:rPr>
      </w:pPr>
    </w:p>
    <w:p w:rsidR="00121E32" w:rsidRPr="0069124D" w:rsidRDefault="00121E32" w:rsidP="00121E32">
      <w:pPr>
        <w:jc w:val="center"/>
        <w:rPr>
          <w:rFonts w:ascii="Arial" w:hAnsi="Arial" w:cs="Arial"/>
          <w:b/>
        </w:rPr>
      </w:pPr>
      <w:r w:rsidRPr="0069124D">
        <w:rPr>
          <w:rFonts w:ascii="Arial" w:hAnsi="Arial" w:cs="Arial"/>
          <w:b/>
        </w:rPr>
        <w:lastRenderedPageBreak/>
        <w:t>Menú Principal</w:t>
      </w:r>
    </w:p>
    <w:p w:rsidR="00121E32" w:rsidRPr="0069124D" w:rsidRDefault="00121E32" w:rsidP="00121E32">
      <w:pPr>
        <w:rPr>
          <w:rFonts w:ascii="Arial" w:hAnsi="Arial" w:cs="Arial"/>
        </w:rPr>
      </w:pPr>
      <w:r w:rsidRPr="0069124D">
        <w:rPr>
          <w:rFonts w:ascii="Arial" w:hAnsi="Arial" w:cs="Arial"/>
          <w:noProof/>
          <w:lang w:eastAsia="es-CO"/>
        </w:rPr>
        <w:drawing>
          <wp:inline distT="0" distB="0" distL="0" distR="0" wp14:anchorId="46D54FF0" wp14:editId="006877F8">
            <wp:extent cx="3017249" cy="388198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872" cy="38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32" w:rsidRPr="0069124D" w:rsidRDefault="00121E32" w:rsidP="00121E32">
      <w:pPr>
        <w:rPr>
          <w:rFonts w:ascii="Arial" w:hAnsi="Arial" w:cs="Arial"/>
          <w:b/>
        </w:rPr>
      </w:pPr>
      <w:r w:rsidRPr="0069124D">
        <w:rPr>
          <w:rFonts w:ascii="Arial" w:hAnsi="Arial" w:cs="Arial"/>
          <w:b/>
        </w:rPr>
        <w:t>Empsii</w:t>
      </w:r>
    </w:p>
    <w:p w:rsidR="00121E32" w:rsidRPr="0069124D" w:rsidRDefault="00121E32" w:rsidP="00121E32">
      <w:pPr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>EMPSII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  <w:shd w:val="clear" w:color="auto" w:fill="FFFFFF"/>
        </w:rPr>
        <w:t>es una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Style w:val="Textoennegrita"/>
          <w:rFonts w:ascii="Arial" w:hAnsi="Arial" w:cs="Arial"/>
          <w:shd w:val="clear" w:color="auto" w:fill="FFFFFF"/>
        </w:rPr>
        <w:t>Empresa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  <w:shd w:val="clear" w:color="auto" w:fill="FFFFFF"/>
        </w:rPr>
        <w:t>de origen colombiano con más de 8 años de trayectoria, dedicada al suministro de soluciones integrales de Tecnología Informática – TI en las áreas de software, servicios y consultoría funcional y especializada en el negocio del sector energético.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Nuestra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Style w:val="Textoennegrita"/>
          <w:rFonts w:ascii="Arial" w:hAnsi="Arial" w:cs="Arial"/>
          <w:shd w:val="clear" w:color="auto" w:fill="FFFFFF"/>
        </w:rPr>
        <w:t>Compañía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  <w:shd w:val="clear" w:color="auto" w:fill="FFFFFF"/>
        </w:rPr>
        <w:t>es el resultado de la experiencia de un grupo de profesionales de la ingeniería que aprovechando su amplia y reconocida trayectoria, conocimientos en gerencia de proyectos, aspectos relacionados con el entorno regulatorio, tarifario, comercial y técnico del Sector Energético y minero colombiano, ofrecen su experiencia y resultados probados para nuestros servicios y productos.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Para la prestación de nuestros servicios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Style w:val="Textoennegrita"/>
          <w:rFonts w:ascii="Arial" w:hAnsi="Arial" w:cs="Arial"/>
          <w:shd w:val="clear" w:color="auto" w:fill="FFFFFF"/>
        </w:rPr>
        <w:t>EMPSII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  <w:shd w:val="clear" w:color="auto" w:fill="FFFFFF"/>
        </w:rPr>
        <w:t>ha consolidado una fuerte relación de negocios con muchas empresas del sector energético y minero, contando con una participación del 35% del mercado activo en Colombia, este hecho nos posiciona en el primer lugar de las empresas de nuestro mercado en el país.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El conocimiento, la experiencia operativa y comercial sumada con un grupo de soluciones y herramientas informáticas, hacen de nuestros servicios, aportes que generan valor a nuestros clientes.</w:t>
      </w:r>
    </w:p>
    <w:p w:rsidR="00121E32" w:rsidRPr="0069124D" w:rsidRDefault="00121E32" w:rsidP="00121E32">
      <w:pPr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</w:rPr>
        <w:lastRenderedPageBreak/>
        <w:t>Se han desarrollado alianzas estratégicas con proveedores de categoría mundial como SAP, ORACLE e INFOR, compañías grandes a nivel mundial en software operativo</w:t>
      </w:r>
    </w:p>
    <w:p w:rsidR="00121E32" w:rsidRPr="0069124D" w:rsidRDefault="00121E32" w:rsidP="00121E32">
      <w:pPr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>Misión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</w:rPr>
        <w:br/>
      </w:r>
      <w:r w:rsidRPr="0069124D">
        <w:rPr>
          <w:rStyle w:val="Textoennegrita"/>
          <w:rFonts w:ascii="Arial" w:hAnsi="Arial" w:cs="Arial"/>
          <w:shd w:val="clear" w:color="auto" w:fill="FFFFFF"/>
        </w:rPr>
        <w:t>EMPSII SAS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  <w:shd w:val="clear" w:color="auto" w:fill="FFFFFF"/>
        </w:rPr>
        <w:t>es una empresa creada para satisfacer las necesidades de productos, servicios de consultoría y soporte, existentes en los negocios surgidos alrededor de la Generación, Distribución y Comercialización de energía eléctrica en el mercado nacional colombiano.</w:t>
      </w:r>
    </w:p>
    <w:p w:rsidR="00121E32" w:rsidRPr="0069124D" w:rsidRDefault="00121E32" w:rsidP="00121E32">
      <w:pPr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>Visión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Para el año 2010,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Style w:val="Textoennegrita"/>
          <w:rFonts w:ascii="Arial" w:hAnsi="Arial" w:cs="Arial"/>
          <w:shd w:val="clear" w:color="auto" w:fill="FFFFFF"/>
        </w:rPr>
        <w:t>EMPSII SAS</w:t>
      </w:r>
      <w:r w:rsidRPr="0069124D">
        <w:rPr>
          <w:rStyle w:val="apple-converted-space"/>
          <w:rFonts w:ascii="Arial" w:hAnsi="Arial" w:cs="Arial"/>
          <w:b/>
          <w:bCs/>
          <w:shd w:val="clear" w:color="auto" w:fill="FFFFFF"/>
        </w:rPr>
        <w:t> </w:t>
      </w:r>
      <w:r w:rsidRPr="0069124D">
        <w:rPr>
          <w:rFonts w:ascii="Arial" w:hAnsi="Arial" w:cs="Arial"/>
          <w:shd w:val="clear" w:color="auto" w:fill="FFFFFF"/>
        </w:rPr>
        <w:t>consolidará su liderazgo nacional e internacional al ofrecer consultoría especializada y soluciones tecnológicas de calidad para los negocios asociados al Sector Energético, basado en el compromiso con el servicio al cliente, desarrollo y bienestar de su personal y en el mejoramiento continuo de sus procesos.</w:t>
      </w:r>
    </w:p>
    <w:p w:rsidR="00121E32" w:rsidRPr="0069124D" w:rsidRDefault="00121E32" w:rsidP="00121E32">
      <w:pPr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>Valores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Ayuda mutua.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Responsabilidad propia.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Democracia.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Igualdad.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Equidad.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Solidaridad.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Honestidad y transparencia.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Responsabilidad y vocación social</w:t>
      </w:r>
    </w:p>
    <w:p w:rsidR="00121E32" w:rsidRPr="0069124D" w:rsidRDefault="00121E32" w:rsidP="00121E32">
      <w:pPr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>Políticas de Calidad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</w:rPr>
        <w:br/>
      </w:r>
      <w:r w:rsidRPr="0069124D">
        <w:rPr>
          <w:rStyle w:val="Textoennegrita"/>
          <w:rFonts w:ascii="Arial" w:hAnsi="Arial" w:cs="Arial"/>
          <w:shd w:val="clear" w:color="auto" w:fill="FFFFFF"/>
        </w:rPr>
        <w:t>EMPSII SAS</w:t>
      </w:r>
      <w:r w:rsidRPr="0069124D">
        <w:rPr>
          <w:rFonts w:ascii="Arial" w:hAnsi="Arial" w:cs="Arial"/>
          <w:shd w:val="clear" w:color="auto" w:fill="FFFFFF"/>
        </w:rPr>
        <w:t>, se compromete a lograr el cumplimiento de los requisitos y la satisfacción de sus clientes y partes interesadas con servicios y productos que cubran los procesos funcionales del negocio de energía eléctrica, herramientas efectivas que agreguen valor a los clientes, integración con cualquier sistema externo, conocimiento de temas regulatorios que rigen el sector, mediante una solución informática especializada, experiencia real, personal altamente competente y una metodología de implementación; encaminados hacia un mejoramiento continuo, que asegurará nuestra permanencia como líderes en el mercado de energía eléctrica.</w:t>
      </w:r>
    </w:p>
    <w:p w:rsidR="00121E32" w:rsidRPr="0069124D" w:rsidRDefault="00121E32" w:rsidP="00121E32">
      <w:p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b/>
          <w:bCs/>
          <w:shd w:val="clear" w:color="auto" w:fill="FFFFFF"/>
          <w:lang w:eastAsia="es-CO"/>
        </w:rPr>
        <w:t>Objetivos de Calidad</w:t>
      </w:r>
      <w:r w:rsidRPr="0069124D">
        <w:rPr>
          <w:rFonts w:ascii="Arial" w:eastAsia="Times New Roman" w:hAnsi="Arial" w:cs="Arial"/>
          <w:lang w:eastAsia="es-CO"/>
        </w:rPr>
        <w:br/>
      </w:r>
      <w:r w:rsidRPr="0069124D">
        <w:rPr>
          <w:rFonts w:ascii="Arial" w:eastAsia="Times New Roman" w:hAnsi="Arial" w:cs="Arial"/>
          <w:lang w:eastAsia="es-CO"/>
        </w:rPr>
        <w:br/>
      </w:r>
    </w:p>
    <w:p w:rsidR="00121E32" w:rsidRPr="0069124D" w:rsidRDefault="00121E32" w:rsidP="00AD427B">
      <w:pPr>
        <w:pStyle w:val="Prrafodelista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Lograr un alto nivel de Satisfacción del Cliente.</w:t>
      </w:r>
    </w:p>
    <w:p w:rsidR="00121E32" w:rsidRPr="0069124D" w:rsidRDefault="00121E32" w:rsidP="00AD427B">
      <w:pPr>
        <w:pStyle w:val="Prrafodelista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Obtener una alta efectividad en la ejecución de los proyectos.</w:t>
      </w:r>
    </w:p>
    <w:p w:rsidR="00121E32" w:rsidRPr="0069124D" w:rsidRDefault="00121E32" w:rsidP="00AD427B">
      <w:pPr>
        <w:pStyle w:val="Prrafodelista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Incrementar las ventas de productos y servicios.</w:t>
      </w:r>
    </w:p>
    <w:p w:rsidR="00121E32" w:rsidRPr="0069124D" w:rsidRDefault="00121E32" w:rsidP="00AD427B">
      <w:pPr>
        <w:pStyle w:val="Prrafodelista"/>
        <w:numPr>
          <w:ilvl w:val="0"/>
          <w:numId w:val="3"/>
        </w:numPr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lastRenderedPageBreak/>
        <w:t>Fortalecer las competencias del talento humano.</w:t>
      </w:r>
    </w:p>
    <w:p w:rsidR="00121E32" w:rsidRPr="0069124D" w:rsidRDefault="00121E32" w:rsidP="00121E32">
      <w:pPr>
        <w:rPr>
          <w:rStyle w:val="texgen"/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>Recurso Humano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</w:rPr>
        <w:br/>
      </w:r>
      <w:r w:rsidRPr="0069124D">
        <w:rPr>
          <w:rStyle w:val="texgen"/>
          <w:rFonts w:ascii="Arial" w:hAnsi="Arial" w:cs="Arial"/>
          <w:shd w:val="clear" w:color="auto" w:fill="FFFFFF"/>
        </w:rPr>
        <w:t>Además del respaldo de nuestros aliados,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Style w:val="Textoennegrita"/>
          <w:rFonts w:ascii="Arial" w:hAnsi="Arial" w:cs="Arial"/>
          <w:shd w:val="clear" w:color="auto" w:fill="FFFFFF"/>
        </w:rPr>
        <w:t>EMPSII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Style w:val="texgen"/>
          <w:rFonts w:ascii="Arial" w:hAnsi="Arial" w:cs="Arial"/>
          <w:shd w:val="clear" w:color="auto" w:fill="FFFFFF"/>
        </w:rPr>
        <w:t>cuenta con un capital humano de alto desempeño, certificado en las distintas áreas que conforman nuestro portafolio; a través de quienes se garantiza la experiencia y conocimiento para la gestión de proyectos y administración de servicios informáticos, acorde a las mejores prácticas de TI, así como también en prácticas de Gerencia de proyectos basados en PMI.</w:t>
      </w:r>
    </w:p>
    <w:p w:rsidR="00121E32" w:rsidRDefault="00121E32" w:rsidP="00121E32">
      <w:pPr>
        <w:rPr>
          <w:rFonts w:ascii="Arial" w:hAnsi="Arial" w:cs="Arial"/>
          <w:b/>
          <w:bCs/>
          <w:shd w:val="clear" w:color="auto" w:fill="FFFFFF"/>
        </w:rPr>
      </w:pPr>
      <w:r w:rsidRPr="0069124D">
        <w:rPr>
          <w:rFonts w:ascii="Arial" w:hAnsi="Arial" w:cs="Arial"/>
          <w:b/>
          <w:bCs/>
          <w:shd w:val="clear" w:color="auto" w:fill="FFFFFF"/>
        </w:rPr>
        <w:t>El conocimiento la experiencia operativa y comercial sumada con un grupo de soluciones y herramientas informáticas, hacen de nuestros servicios, aportes que generan valor  a nuestros clientes</w:t>
      </w: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981A52" w:rsidRPr="0069124D" w:rsidRDefault="00981A52" w:rsidP="00121E32">
      <w:pPr>
        <w:rPr>
          <w:rFonts w:ascii="Arial" w:hAnsi="Arial" w:cs="Arial"/>
          <w:b/>
          <w:bCs/>
          <w:shd w:val="clear" w:color="auto" w:fill="FFFFFF"/>
        </w:rPr>
      </w:pPr>
    </w:p>
    <w:p w:rsidR="00121E32" w:rsidRPr="0069124D" w:rsidRDefault="00121E32" w:rsidP="00121E32">
      <w:pPr>
        <w:rPr>
          <w:rFonts w:ascii="Arial" w:hAnsi="Arial" w:cs="Arial"/>
        </w:rPr>
      </w:pPr>
      <w:r w:rsidRPr="0069124D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42CF0709" wp14:editId="1B4DC8FA">
            <wp:extent cx="4013036" cy="3752402"/>
            <wp:effectExtent l="0" t="0" r="698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2149" cy="375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32" w:rsidRPr="0069124D" w:rsidRDefault="00121E32" w:rsidP="00121E32">
      <w:pPr>
        <w:pStyle w:val="NormalWeb"/>
        <w:shd w:val="clear" w:color="auto" w:fill="FFFFFF"/>
        <w:rPr>
          <w:rStyle w:val="Textoennegrita"/>
          <w:rFonts w:ascii="Arial" w:hAnsi="Arial" w:cs="Arial"/>
          <w:sz w:val="22"/>
          <w:szCs w:val="22"/>
        </w:rPr>
      </w:pPr>
    </w:p>
    <w:p w:rsidR="00121E32" w:rsidRPr="0069124D" w:rsidRDefault="00121E32" w:rsidP="00121E32">
      <w:pPr>
        <w:pStyle w:val="NormalWeb"/>
        <w:shd w:val="clear" w:color="auto" w:fill="FFFFFF"/>
        <w:rPr>
          <w:rStyle w:val="Textoennegrita"/>
          <w:rFonts w:ascii="Arial" w:hAnsi="Arial" w:cs="Arial"/>
          <w:sz w:val="22"/>
          <w:szCs w:val="22"/>
        </w:rPr>
      </w:pPr>
      <w:r w:rsidRPr="0069124D">
        <w:rPr>
          <w:rStyle w:val="Textoennegrita"/>
          <w:rFonts w:ascii="Arial" w:hAnsi="Arial" w:cs="Arial"/>
          <w:sz w:val="22"/>
          <w:szCs w:val="22"/>
        </w:rPr>
        <w:t>Nuestros Clientes</w:t>
      </w:r>
    </w:p>
    <w:p w:rsidR="00121E32" w:rsidRPr="0069124D" w:rsidRDefault="00121E32" w:rsidP="00121E32">
      <w:pPr>
        <w:pStyle w:val="NormalWeb"/>
        <w:shd w:val="clear" w:color="auto" w:fill="FFFFFF"/>
        <w:rPr>
          <w:rFonts w:ascii="Arial" w:hAnsi="Arial" w:cs="Arial"/>
          <w:sz w:val="22"/>
          <w:szCs w:val="22"/>
        </w:rPr>
      </w:pPr>
      <w:r w:rsidRPr="0069124D">
        <w:rPr>
          <w:rStyle w:val="Textoennegrita"/>
          <w:rFonts w:ascii="Arial" w:hAnsi="Arial" w:cs="Arial"/>
          <w:sz w:val="22"/>
          <w:szCs w:val="22"/>
        </w:rPr>
        <w:t>Desde el año 2001 a la fecha las siguientes empresas han confiado en nuestros productos y servicios.</w:t>
      </w:r>
    </w:p>
    <w:p w:rsidR="00121E32" w:rsidRPr="0069124D" w:rsidRDefault="00121E32" w:rsidP="00121E32">
      <w:pPr>
        <w:pStyle w:val="NormalWeb"/>
        <w:shd w:val="clear" w:color="auto" w:fill="FFFFFF"/>
        <w:rPr>
          <w:rFonts w:ascii="Arial" w:hAnsi="Arial" w:cs="Arial"/>
          <w:sz w:val="22"/>
          <w:szCs w:val="22"/>
        </w:rPr>
      </w:pPr>
      <w:r w:rsidRPr="0069124D">
        <w:rPr>
          <w:rStyle w:val="Textoennegrita"/>
          <w:rFonts w:ascii="Arial" w:hAnsi="Arial" w:cs="Arial"/>
          <w:sz w:val="22"/>
          <w:szCs w:val="22"/>
        </w:rPr>
        <w:t xml:space="preserve">Gracias a esta confianza Empsii hace </w:t>
      </w:r>
      <w:proofErr w:type="spellStart"/>
      <w:r w:rsidRPr="0069124D">
        <w:rPr>
          <w:rStyle w:val="Textoennegrita"/>
          <w:rFonts w:ascii="Arial" w:hAnsi="Arial" w:cs="Arial"/>
          <w:sz w:val="22"/>
          <w:szCs w:val="22"/>
        </w:rPr>
        <w:t>presensencia</w:t>
      </w:r>
      <w:proofErr w:type="spellEnd"/>
      <w:r w:rsidRPr="0069124D">
        <w:rPr>
          <w:rStyle w:val="Textoennegrita"/>
          <w:rFonts w:ascii="Arial" w:hAnsi="Arial" w:cs="Arial"/>
          <w:sz w:val="22"/>
          <w:szCs w:val="22"/>
        </w:rPr>
        <w:t xml:space="preserve"> en gran parte del territorio Colombiano</w:t>
      </w:r>
    </w:p>
    <w:tbl>
      <w:tblPr>
        <w:tblW w:w="3450" w:type="dxa"/>
        <w:tblCellSpacing w:w="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0"/>
      </w:tblGrid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Electrificadora de Santander S.A. E.S.P.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e2 Energía Eficiente S.A. E.S.P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 xml:space="preserve">AES </w:t>
            </w: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Chivor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 S.A. E.S.P.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Conenergía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 S.A. ESP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Cencol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 S.A. E.S.P.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Termotasajero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 S.A. E.S.P.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lastRenderedPageBreak/>
              <w:t>Genercauca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 S.A. E.S.P.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Cedenar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 S.A E.S.P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 xml:space="preserve">Centrales </w:t>
            </w: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Electricas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 de Norte de Santander - CENS S.A. E.S.P.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Electrificadora del Caqueta S.A. E.S.P.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Electrificadora de Boyacá S.A. E.S.P.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Enerca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 S.A. E.S.P.</w:t>
            </w:r>
          </w:p>
        </w:tc>
      </w:tr>
      <w:tr w:rsidR="00121E32" w:rsidRPr="0069124D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ElectroHuila</w:t>
            </w:r>
            <w:proofErr w:type="spellEnd"/>
            <w:r w:rsidRPr="0069124D">
              <w:rPr>
                <w:rFonts w:ascii="Arial" w:eastAsia="Times New Roman" w:hAnsi="Arial" w:cs="Arial"/>
                <w:lang w:eastAsia="es-CO"/>
              </w:rPr>
              <w:t xml:space="preserve"> S.A. E.S.P.</w:t>
            </w:r>
          </w:p>
        </w:tc>
      </w:tr>
      <w:tr w:rsidR="00121E32" w:rsidRPr="00FC3F76" w:rsidTr="00121E32">
        <w:trPr>
          <w:tblCellSpacing w:w="7" w:type="dxa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E32" w:rsidRPr="0069124D" w:rsidRDefault="00121E32" w:rsidP="00B64FB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lang w:val="en-US" w:eastAsia="es-CO"/>
              </w:rPr>
            </w:pPr>
            <w:proofErr w:type="spellStart"/>
            <w:r w:rsidRPr="0069124D">
              <w:rPr>
                <w:rFonts w:ascii="Arial" w:eastAsia="Times New Roman" w:hAnsi="Arial" w:cs="Arial"/>
                <w:lang w:val="en-US" w:eastAsia="es-CO"/>
              </w:rPr>
              <w:t>Enermont</w:t>
            </w:r>
            <w:proofErr w:type="spellEnd"/>
            <w:r w:rsidRPr="0069124D">
              <w:rPr>
                <w:rFonts w:ascii="Arial" w:eastAsia="Times New Roman" w:hAnsi="Arial" w:cs="Arial"/>
                <w:lang w:val="en-US" w:eastAsia="es-CO"/>
              </w:rPr>
              <w:t xml:space="preserve"> S.A. E.S.P.</w:t>
            </w:r>
          </w:p>
        </w:tc>
      </w:tr>
    </w:tbl>
    <w:p w:rsidR="00121E32" w:rsidRPr="0069124D" w:rsidRDefault="00121E32" w:rsidP="00121E32">
      <w:pPr>
        <w:rPr>
          <w:rFonts w:ascii="Arial" w:hAnsi="Arial" w:cs="Arial"/>
          <w:lang w:val="en-US"/>
        </w:rPr>
      </w:pPr>
    </w:p>
    <w:p w:rsidR="00121E32" w:rsidRPr="0069124D" w:rsidRDefault="00121E32" w:rsidP="00121E32">
      <w:pPr>
        <w:rPr>
          <w:rFonts w:ascii="Arial" w:hAnsi="Arial" w:cs="Arial"/>
          <w:lang w:val="en-US"/>
        </w:rPr>
      </w:pPr>
      <w:r w:rsidRPr="0069124D">
        <w:rPr>
          <w:rFonts w:ascii="Arial" w:hAnsi="Arial" w:cs="Arial"/>
          <w:noProof/>
          <w:lang w:eastAsia="es-CO"/>
        </w:rPr>
        <w:drawing>
          <wp:inline distT="0" distB="0" distL="0" distR="0" wp14:anchorId="1223E57B" wp14:editId="06275E2D">
            <wp:extent cx="5147189" cy="345650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499" cy="34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32" w:rsidRPr="0069124D" w:rsidRDefault="00121E32" w:rsidP="0069124D">
      <w:r w:rsidRPr="0069124D">
        <w:t>Comuníquese a nuestra oficina directamente con uno de nuestros funcionarios</w:t>
      </w:r>
    </w:p>
    <w:p w:rsidR="00121E32" w:rsidRPr="0069124D" w:rsidRDefault="00121E32" w:rsidP="00121E32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69124D">
        <w:rPr>
          <w:rFonts w:ascii="Arial" w:hAnsi="Arial" w:cs="Arial"/>
          <w:b/>
          <w:bCs/>
          <w:sz w:val="22"/>
          <w:szCs w:val="22"/>
        </w:rPr>
        <w:t>Oficina Principal</w:t>
      </w:r>
    </w:p>
    <w:p w:rsidR="00121E32" w:rsidRPr="0069124D" w:rsidRDefault="00121E32" w:rsidP="00121E32">
      <w:pPr>
        <w:pStyle w:val="NormalWeb"/>
        <w:rPr>
          <w:rFonts w:ascii="Arial" w:hAnsi="Arial" w:cs="Arial"/>
          <w:b/>
          <w:bCs/>
          <w:sz w:val="22"/>
          <w:szCs w:val="22"/>
        </w:rPr>
      </w:pPr>
      <w:r w:rsidRPr="0069124D">
        <w:rPr>
          <w:rFonts w:ascii="Arial" w:hAnsi="Arial" w:cs="Arial"/>
          <w:b/>
          <w:bCs/>
          <w:sz w:val="22"/>
          <w:szCs w:val="22"/>
        </w:rPr>
        <w:t>Tel: 57-2 3701098 / 54-2 6661023</w:t>
      </w:r>
      <w:r w:rsidRPr="0069124D">
        <w:rPr>
          <w:rFonts w:ascii="Arial" w:hAnsi="Arial" w:cs="Arial"/>
          <w:b/>
          <w:bCs/>
          <w:sz w:val="22"/>
          <w:szCs w:val="22"/>
        </w:rPr>
        <w:br/>
      </w:r>
      <w:proofErr w:type="spellStart"/>
      <w:r w:rsidRPr="0069124D">
        <w:rPr>
          <w:rFonts w:ascii="Arial" w:hAnsi="Arial" w:cs="Arial"/>
          <w:b/>
          <w:bCs/>
          <w:sz w:val="22"/>
          <w:szCs w:val="22"/>
        </w:rPr>
        <w:t>Centroempresa</w:t>
      </w:r>
      <w:proofErr w:type="spellEnd"/>
      <w:r w:rsidRPr="0069124D">
        <w:rPr>
          <w:rFonts w:ascii="Arial" w:hAnsi="Arial" w:cs="Arial"/>
          <w:b/>
          <w:bCs/>
          <w:sz w:val="22"/>
          <w:szCs w:val="22"/>
        </w:rPr>
        <w:br/>
      </w:r>
      <w:r w:rsidRPr="0069124D">
        <w:rPr>
          <w:rFonts w:ascii="Arial" w:hAnsi="Arial" w:cs="Arial"/>
          <w:b/>
          <w:bCs/>
          <w:sz w:val="22"/>
          <w:szCs w:val="22"/>
        </w:rPr>
        <w:lastRenderedPageBreak/>
        <w:t>Calle 64 N # 5BN-146 Of 304 A</w:t>
      </w:r>
      <w:r w:rsidRPr="0069124D">
        <w:rPr>
          <w:rFonts w:ascii="Arial" w:hAnsi="Arial" w:cs="Arial"/>
          <w:b/>
          <w:bCs/>
          <w:sz w:val="22"/>
          <w:szCs w:val="22"/>
        </w:rPr>
        <w:br/>
        <w:t>Cali Colombia</w:t>
      </w:r>
    </w:p>
    <w:p w:rsidR="00121E32" w:rsidRPr="0069124D" w:rsidRDefault="00121E32" w:rsidP="00121E32">
      <w:pPr>
        <w:pStyle w:val="NormalWeb"/>
        <w:rPr>
          <w:rFonts w:ascii="Arial" w:hAnsi="Arial" w:cs="Arial"/>
          <w:sz w:val="22"/>
          <w:szCs w:val="22"/>
        </w:rPr>
      </w:pPr>
      <w:r w:rsidRPr="0069124D">
        <w:rPr>
          <w:rFonts w:ascii="Arial" w:hAnsi="Arial" w:cs="Arial"/>
          <w:sz w:val="22"/>
          <w:szCs w:val="22"/>
        </w:rPr>
        <w:t>Mauricio Perlaza</w:t>
      </w:r>
      <w:r w:rsidRPr="0069124D">
        <w:rPr>
          <w:rFonts w:ascii="Arial" w:hAnsi="Arial" w:cs="Arial"/>
          <w:sz w:val="22"/>
          <w:szCs w:val="22"/>
        </w:rPr>
        <w:br/>
      </w:r>
      <w:r w:rsidRPr="0069124D">
        <w:rPr>
          <w:rStyle w:val="Textoennegrita"/>
          <w:rFonts w:ascii="Arial" w:hAnsi="Arial" w:cs="Arial"/>
          <w:sz w:val="22"/>
          <w:szCs w:val="22"/>
        </w:rPr>
        <w:t>Gerente General</w:t>
      </w:r>
    </w:p>
    <w:p w:rsidR="00121E32" w:rsidRPr="0069124D" w:rsidRDefault="00121E32" w:rsidP="00121E32">
      <w:pPr>
        <w:pStyle w:val="NormalWeb"/>
        <w:rPr>
          <w:rFonts w:ascii="Arial" w:hAnsi="Arial" w:cs="Arial"/>
          <w:sz w:val="22"/>
          <w:szCs w:val="22"/>
        </w:rPr>
      </w:pPr>
      <w:r w:rsidRPr="0069124D">
        <w:rPr>
          <w:rFonts w:ascii="Arial" w:hAnsi="Arial" w:cs="Arial"/>
          <w:sz w:val="22"/>
          <w:szCs w:val="22"/>
        </w:rPr>
        <w:t>Sandra Mejia</w:t>
      </w:r>
      <w:r w:rsidRPr="0069124D">
        <w:rPr>
          <w:rFonts w:ascii="Arial" w:hAnsi="Arial" w:cs="Arial"/>
          <w:sz w:val="22"/>
          <w:szCs w:val="22"/>
        </w:rPr>
        <w:br/>
      </w:r>
      <w:r w:rsidRPr="0069124D">
        <w:rPr>
          <w:rStyle w:val="Textoennegrita"/>
          <w:rFonts w:ascii="Arial" w:hAnsi="Arial" w:cs="Arial"/>
          <w:sz w:val="22"/>
          <w:szCs w:val="22"/>
        </w:rPr>
        <w:t>Gerente Administrativo</w:t>
      </w:r>
    </w:p>
    <w:p w:rsidR="00121E32" w:rsidRPr="0069124D" w:rsidRDefault="00121E32" w:rsidP="00121E32">
      <w:pPr>
        <w:pStyle w:val="NormalWeb"/>
        <w:rPr>
          <w:rFonts w:ascii="Arial" w:hAnsi="Arial" w:cs="Arial"/>
          <w:sz w:val="22"/>
          <w:szCs w:val="22"/>
        </w:rPr>
      </w:pPr>
      <w:r w:rsidRPr="0069124D">
        <w:rPr>
          <w:rStyle w:val="Textoennegrita"/>
          <w:rFonts w:ascii="Arial" w:hAnsi="Arial" w:cs="Arial"/>
          <w:sz w:val="22"/>
          <w:szCs w:val="22"/>
        </w:rPr>
        <w:t>Soporte y Mantenimiento</w:t>
      </w:r>
      <w:r w:rsidRPr="0069124D">
        <w:rPr>
          <w:rFonts w:ascii="Arial" w:hAnsi="Arial" w:cs="Arial"/>
          <w:sz w:val="22"/>
          <w:szCs w:val="22"/>
        </w:rPr>
        <w:br/>
        <w:t>Mauricio Caicedo</w:t>
      </w:r>
      <w:r w:rsidRPr="0069124D">
        <w:rPr>
          <w:rFonts w:ascii="Arial" w:hAnsi="Arial" w:cs="Arial"/>
          <w:sz w:val="22"/>
          <w:szCs w:val="22"/>
        </w:rPr>
        <w:br/>
        <w:t xml:space="preserve">Diego Fernando </w:t>
      </w:r>
      <w:proofErr w:type="spellStart"/>
      <w:r w:rsidRPr="0069124D">
        <w:rPr>
          <w:rFonts w:ascii="Arial" w:hAnsi="Arial" w:cs="Arial"/>
          <w:sz w:val="22"/>
          <w:szCs w:val="22"/>
        </w:rPr>
        <w:t>Martinez</w:t>
      </w:r>
      <w:proofErr w:type="spellEnd"/>
      <w:r w:rsidRPr="0069124D">
        <w:rPr>
          <w:rFonts w:ascii="Arial" w:hAnsi="Arial" w:cs="Arial"/>
          <w:sz w:val="22"/>
          <w:szCs w:val="22"/>
        </w:rPr>
        <w:br/>
      </w:r>
      <w:proofErr w:type="spellStart"/>
      <w:r w:rsidRPr="0069124D">
        <w:rPr>
          <w:rFonts w:ascii="Arial" w:hAnsi="Arial" w:cs="Arial"/>
          <w:sz w:val="22"/>
          <w:szCs w:val="22"/>
        </w:rPr>
        <w:t>Ivan</w:t>
      </w:r>
      <w:proofErr w:type="spellEnd"/>
      <w:r w:rsidRPr="0069124D">
        <w:rPr>
          <w:rFonts w:ascii="Arial" w:hAnsi="Arial" w:cs="Arial"/>
          <w:sz w:val="22"/>
          <w:szCs w:val="22"/>
        </w:rPr>
        <w:t xml:space="preserve"> Vejarano</w:t>
      </w:r>
    </w:p>
    <w:p w:rsidR="00121E32" w:rsidRPr="000840DA" w:rsidRDefault="00121E32" w:rsidP="000840DA">
      <w:pPr>
        <w:rPr>
          <w:rFonts w:ascii="Arial" w:eastAsia="Times New Roman" w:hAnsi="Arial" w:cs="Arial"/>
          <w:lang w:eastAsia="es-CO"/>
        </w:rPr>
      </w:pPr>
      <w:proofErr w:type="spellStart"/>
      <w:r w:rsidRPr="000840DA">
        <w:rPr>
          <w:rFonts w:ascii="Arial" w:eastAsia="Times New Roman" w:hAnsi="Arial" w:cs="Arial"/>
          <w:lang w:eastAsia="es-CO"/>
        </w:rPr>
        <w:t>Envienos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 su solicitud o consulta </w:t>
      </w:r>
      <w:proofErr w:type="spellStart"/>
      <w:r w:rsidRPr="000840DA">
        <w:rPr>
          <w:rFonts w:ascii="Arial" w:eastAsia="Times New Roman" w:hAnsi="Arial" w:cs="Arial"/>
          <w:lang w:eastAsia="es-CO"/>
        </w:rPr>
        <w:t>via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 E-mail</w:t>
      </w:r>
    </w:p>
    <w:tbl>
      <w:tblPr>
        <w:tblW w:w="10155" w:type="dxa"/>
        <w:tblCellSpacing w:w="15" w:type="dxa"/>
        <w:shd w:val="clear" w:color="auto" w:fill="FFFFFF"/>
        <w:tblCellMar>
          <w:top w:w="120" w:type="dxa"/>
          <w:left w:w="120" w:type="dxa"/>
          <w:bottom w:w="120" w:type="dxa"/>
          <w:right w:w="15" w:type="dxa"/>
        </w:tblCellMar>
        <w:tblLook w:val="04A0" w:firstRow="1" w:lastRow="0" w:firstColumn="1" w:lastColumn="0" w:noHBand="0" w:noVBand="1"/>
      </w:tblPr>
      <w:tblGrid>
        <w:gridCol w:w="3375"/>
        <w:gridCol w:w="6780"/>
      </w:tblGrid>
      <w:tr w:rsidR="00121E32" w:rsidRPr="0069124D" w:rsidTr="00121E32">
        <w:trPr>
          <w:gridAfter w:val="1"/>
          <w:wAfter w:w="6630" w:type="dxa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</w:p>
        </w:tc>
      </w:tr>
      <w:tr w:rsidR="00121E32" w:rsidRPr="0069124D" w:rsidTr="00121E32">
        <w:trPr>
          <w:tblCellSpacing w:w="15" w:type="dxa"/>
        </w:trPr>
        <w:tc>
          <w:tcPr>
            <w:tcW w:w="3300" w:type="dxa"/>
            <w:shd w:val="clear" w:color="auto" w:fill="F3F0E9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Nombre Completo</w:t>
            </w:r>
          </w:p>
        </w:tc>
        <w:tc>
          <w:tcPr>
            <w:tcW w:w="6675" w:type="dxa"/>
            <w:shd w:val="clear" w:color="auto" w:fill="FFFFFF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1" type="#_x0000_t75" style="width:198.7pt;height:17.85pt" o:ole="">
                  <v:imagedata r:id="rId11" o:title=""/>
                </v:shape>
                <w:control r:id="rId12" w:name="DefaultOcxName" w:shapeid="_x0000_i1041"/>
              </w:object>
            </w:r>
          </w:p>
        </w:tc>
      </w:tr>
      <w:tr w:rsidR="00121E32" w:rsidRPr="0069124D" w:rsidTr="00121E32">
        <w:trPr>
          <w:tblCellSpacing w:w="15" w:type="dxa"/>
        </w:trPr>
        <w:tc>
          <w:tcPr>
            <w:tcW w:w="0" w:type="auto"/>
            <w:shd w:val="clear" w:color="auto" w:fill="ECE8DD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Nombre de Empresa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</w:rPr>
              <w:object w:dxaOrig="1440" w:dyaOrig="1440">
                <v:shape id="_x0000_i1044" type="#_x0000_t75" style="width:198.7pt;height:17.85pt" o:ole="">
                  <v:imagedata r:id="rId11" o:title=""/>
                </v:shape>
                <w:control r:id="rId13" w:name="DefaultOcxName1" w:shapeid="_x0000_i1044"/>
              </w:object>
            </w:r>
          </w:p>
        </w:tc>
      </w:tr>
      <w:tr w:rsidR="00121E32" w:rsidRPr="0069124D" w:rsidTr="00121E32">
        <w:trPr>
          <w:tblCellSpacing w:w="15" w:type="dxa"/>
        </w:trPr>
        <w:tc>
          <w:tcPr>
            <w:tcW w:w="0" w:type="auto"/>
            <w:shd w:val="clear" w:color="auto" w:fill="F3F0E9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Ciudad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</w:rPr>
              <w:object w:dxaOrig="1440" w:dyaOrig="1440">
                <v:shape id="_x0000_i1047" type="#_x0000_t75" style="width:198.7pt;height:17.85pt" o:ole="">
                  <v:imagedata r:id="rId11" o:title=""/>
                </v:shape>
                <w:control r:id="rId14" w:name="DefaultOcxName2" w:shapeid="_x0000_i1047"/>
              </w:object>
            </w:r>
          </w:p>
        </w:tc>
      </w:tr>
      <w:tr w:rsidR="00121E32" w:rsidRPr="0069124D" w:rsidTr="00121E32">
        <w:trPr>
          <w:tblCellSpacing w:w="15" w:type="dxa"/>
        </w:trPr>
        <w:tc>
          <w:tcPr>
            <w:tcW w:w="0" w:type="auto"/>
            <w:shd w:val="clear" w:color="auto" w:fill="ECE8DD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proofErr w:type="spellStart"/>
            <w:r w:rsidRPr="0069124D">
              <w:rPr>
                <w:rFonts w:ascii="Arial" w:eastAsia="Times New Roman" w:hAnsi="Arial" w:cs="Arial"/>
                <w:lang w:eastAsia="es-CO"/>
              </w:rPr>
              <w:t>Pais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</w:rPr>
              <w:object w:dxaOrig="1440" w:dyaOrig="1440">
                <v:shape id="_x0000_i1050" type="#_x0000_t75" style="width:198.7pt;height:17.85pt" o:ole="">
                  <v:imagedata r:id="rId11" o:title=""/>
                </v:shape>
                <w:control r:id="rId15" w:name="DefaultOcxName3" w:shapeid="_x0000_i1050"/>
              </w:object>
            </w:r>
          </w:p>
        </w:tc>
      </w:tr>
      <w:tr w:rsidR="00121E32" w:rsidRPr="0069124D" w:rsidTr="00121E32">
        <w:trPr>
          <w:tblCellSpacing w:w="15" w:type="dxa"/>
        </w:trPr>
        <w:tc>
          <w:tcPr>
            <w:tcW w:w="0" w:type="auto"/>
            <w:shd w:val="clear" w:color="auto" w:fill="F3F0E9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Dirección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</w:rPr>
              <w:object w:dxaOrig="1440" w:dyaOrig="1440">
                <v:shape id="_x0000_i1053" type="#_x0000_t75" style="width:198.7pt;height:17.85pt" o:ole="">
                  <v:imagedata r:id="rId11" o:title=""/>
                </v:shape>
                <w:control r:id="rId16" w:name="DefaultOcxName4" w:shapeid="_x0000_i1053"/>
              </w:object>
            </w:r>
          </w:p>
        </w:tc>
      </w:tr>
      <w:tr w:rsidR="00121E32" w:rsidRPr="0069124D" w:rsidTr="00121E32">
        <w:trPr>
          <w:tblCellSpacing w:w="15" w:type="dxa"/>
        </w:trPr>
        <w:tc>
          <w:tcPr>
            <w:tcW w:w="0" w:type="auto"/>
            <w:shd w:val="clear" w:color="auto" w:fill="ECE8DD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Teléfono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</w:rPr>
              <w:object w:dxaOrig="1440" w:dyaOrig="1440">
                <v:shape id="_x0000_i1056" type="#_x0000_t75" style="width:198.7pt;height:17.85pt" o:ole="">
                  <v:imagedata r:id="rId11" o:title=""/>
                </v:shape>
                <w:control r:id="rId17" w:name="DefaultOcxName5" w:shapeid="_x0000_i1056"/>
              </w:object>
            </w:r>
          </w:p>
        </w:tc>
      </w:tr>
      <w:tr w:rsidR="00121E32" w:rsidRPr="0069124D" w:rsidTr="00121E32">
        <w:trPr>
          <w:tblCellSpacing w:w="15" w:type="dxa"/>
        </w:trPr>
        <w:tc>
          <w:tcPr>
            <w:tcW w:w="0" w:type="auto"/>
            <w:shd w:val="clear" w:color="auto" w:fill="F3F0E9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E-mail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</w:rPr>
              <w:object w:dxaOrig="1440" w:dyaOrig="1440">
                <v:shape id="_x0000_i1059" type="#_x0000_t75" style="width:198.7pt;height:17.85pt" o:ole="">
                  <v:imagedata r:id="rId11" o:title=""/>
                </v:shape>
                <w:control r:id="rId18" w:name="DefaultOcxName6" w:shapeid="_x0000_i1059"/>
              </w:object>
            </w:r>
          </w:p>
        </w:tc>
      </w:tr>
      <w:tr w:rsidR="00121E32" w:rsidRPr="0069124D" w:rsidTr="00121E32">
        <w:trPr>
          <w:tblCellSpacing w:w="15" w:type="dxa"/>
        </w:trPr>
        <w:tc>
          <w:tcPr>
            <w:tcW w:w="0" w:type="auto"/>
            <w:shd w:val="clear" w:color="auto" w:fill="ECE8DD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Mensaje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21E32" w:rsidRPr="0069124D" w:rsidRDefault="00121E32" w:rsidP="00121E32">
            <w:pPr>
              <w:spacing w:after="0" w:line="240" w:lineRule="auto"/>
              <w:rPr>
                <w:rFonts w:ascii="Arial" w:eastAsia="Times New Roman" w:hAnsi="Arial" w:cs="Arial"/>
                <w:lang w:eastAsia="es-CO"/>
              </w:rPr>
            </w:pPr>
          </w:p>
        </w:tc>
      </w:tr>
    </w:tbl>
    <w:p w:rsidR="00121E32" w:rsidRPr="0069124D" w:rsidRDefault="00121E32" w:rsidP="00121E32">
      <w:pPr>
        <w:rPr>
          <w:rFonts w:ascii="Arial" w:hAnsi="Arial" w:cs="Arial"/>
        </w:rPr>
      </w:pPr>
    </w:p>
    <w:p w:rsidR="001B6F25" w:rsidRDefault="001B6F25" w:rsidP="00121E32">
      <w:pPr>
        <w:jc w:val="center"/>
        <w:rPr>
          <w:rFonts w:ascii="Arial" w:hAnsi="Arial" w:cs="Arial"/>
          <w:b/>
        </w:rPr>
      </w:pPr>
    </w:p>
    <w:p w:rsidR="001B6F25" w:rsidRDefault="001B6F25" w:rsidP="00121E32">
      <w:pPr>
        <w:jc w:val="center"/>
        <w:rPr>
          <w:rFonts w:ascii="Arial" w:hAnsi="Arial" w:cs="Arial"/>
          <w:b/>
        </w:rPr>
      </w:pPr>
    </w:p>
    <w:p w:rsidR="001B6F25" w:rsidRDefault="001B6F25" w:rsidP="00121E32">
      <w:pPr>
        <w:jc w:val="center"/>
        <w:rPr>
          <w:rFonts w:ascii="Arial" w:hAnsi="Arial" w:cs="Arial"/>
          <w:b/>
        </w:rPr>
      </w:pPr>
    </w:p>
    <w:p w:rsidR="001B6F25" w:rsidRDefault="001B6F25" w:rsidP="00121E32">
      <w:pPr>
        <w:jc w:val="center"/>
        <w:rPr>
          <w:rFonts w:ascii="Arial" w:hAnsi="Arial" w:cs="Arial"/>
          <w:b/>
        </w:rPr>
      </w:pPr>
    </w:p>
    <w:p w:rsidR="001B6F25" w:rsidRDefault="001B6F25" w:rsidP="00121E32">
      <w:pPr>
        <w:jc w:val="center"/>
        <w:rPr>
          <w:rFonts w:ascii="Arial" w:hAnsi="Arial" w:cs="Arial"/>
          <w:b/>
        </w:rPr>
      </w:pPr>
    </w:p>
    <w:p w:rsidR="001B6F25" w:rsidRDefault="001B6F25" w:rsidP="00121E32">
      <w:pPr>
        <w:jc w:val="center"/>
        <w:rPr>
          <w:rFonts w:ascii="Arial" w:hAnsi="Arial" w:cs="Arial"/>
          <w:b/>
        </w:rPr>
      </w:pPr>
    </w:p>
    <w:p w:rsidR="00121E32" w:rsidRPr="0069124D" w:rsidRDefault="00121E32" w:rsidP="00121E32">
      <w:pPr>
        <w:jc w:val="center"/>
        <w:rPr>
          <w:rFonts w:ascii="Arial" w:hAnsi="Arial" w:cs="Arial"/>
          <w:b/>
        </w:rPr>
      </w:pPr>
      <w:r w:rsidRPr="0069124D">
        <w:rPr>
          <w:rFonts w:ascii="Arial" w:hAnsi="Arial" w:cs="Arial"/>
          <w:b/>
        </w:rPr>
        <w:lastRenderedPageBreak/>
        <w:t>Sub Menú</w:t>
      </w:r>
    </w:p>
    <w:p w:rsidR="00121E32" w:rsidRPr="0069124D" w:rsidRDefault="00121E32" w:rsidP="00121E32">
      <w:pPr>
        <w:jc w:val="center"/>
        <w:rPr>
          <w:rFonts w:ascii="Arial" w:hAnsi="Arial" w:cs="Arial"/>
          <w:b/>
        </w:rPr>
      </w:pPr>
      <w:r w:rsidRPr="0069124D">
        <w:rPr>
          <w:rFonts w:ascii="Arial" w:hAnsi="Arial" w:cs="Arial"/>
          <w:noProof/>
          <w:lang w:eastAsia="es-CO"/>
        </w:rPr>
        <w:drawing>
          <wp:inline distT="0" distB="0" distL="0" distR="0" wp14:anchorId="2F54AA8F" wp14:editId="5E1FEAFE">
            <wp:extent cx="4816898" cy="4959694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5808" cy="495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8D" w:rsidRPr="0069124D" w:rsidRDefault="00540E8D" w:rsidP="00540E8D">
      <w:pPr>
        <w:jc w:val="both"/>
        <w:rPr>
          <w:rFonts w:ascii="Arial" w:hAnsi="Arial" w:cs="Arial"/>
        </w:rPr>
      </w:pPr>
      <w:proofErr w:type="spellStart"/>
      <w:r w:rsidRPr="0069124D">
        <w:rPr>
          <w:rFonts w:ascii="Arial" w:hAnsi="Arial" w:cs="Arial"/>
        </w:rPr>
        <w:t>Baner</w:t>
      </w:r>
      <w:proofErr w:type="spellEnd"/>
      <w:r w:rsidRPr="0069124D">
        <w:rPr>
          <w:rFonts w:ascii="Arial" w:hAnsi="Arial" w:cs="Arial"/>
        </w:rPr>
        <w:t>:</w:t>
      </w:r>
    </w:p>
    <w:p w:rsidR="00540E8D" w:rsidRPr="0069124D" w:rsidRDefault="00540E8D" w:rsidP="00540E8D">
      <w:pPr>
        <w:jc w:val="both"/>
        <w:rPr>
          <w:rFonts w:ascii="Arial" w:hAnsi="Arial" w:cs="Arial"/>
        </w:rPr>
      </w:pPr>
      <w:r w:rsidRPr="0069124D">
        <w:rPr>
          <w:rFonts w:ascii="Arial" w:hAnsi="Arial" w:cs="Arial"/>
        </w:rPr>
        <w:t>Mithra: Sistema de Información y Consultoría de Valor agregado orientados a la gestión de procesos, integrando la operación al conocimiento del negocio.</w:t>
      </w:r>
    </w:p>
    <w:p w:rsidR="00540E8D" w:rsidRPr="0069124D" w:rsidRDefault="00540E8D" w:rsidP="00540E8D">
      <w:pPr>
        <w:jc w:val="both"/>
        <w:rPr>
          <w:rFonts w:ascii="Arial" w:hAnsi="Arial" w:cs="Arial"/>
        </w:rPr>
      </w:pPr>
      <w:r w:rsidRPr="0069124D">
        <w:rPr>
          <w:rFonts w:ascii="Arial" w:hAnsi="Arial" w:cs="Arial"/>
        </w:rPr>
        <w:t>Lado Derecho Superior:</w:t>
      </w:r>
    </w:p>
    <w:p w:rsidR="00540E8D" w:rsidRPr="0069124D" w:rsidRDefault="00540E8D" w:rsidP="00540E8D">
      <w:pPr>
        <w:jc w:val="both"/>
        <w:rPr>
          <w:rStyle w:val="style1"/>
          <w:rFonts w:ascii="Arial" w:hAnsi="Arial" w:cs="Arial"/>
          <w:b/>
          <w:bCs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Cubre las necesidades para los diferentes negocios de energía eléctrica;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Style w:val="style1"/>
          <w:rFonts w:ascii="Arial" w:hAnsi="Arial" w:cs="Arial"/>
          <w:b/>
          <w:bCs/>
          <w:shd w:val="clear" w:color="auto" w:fill="FFFFFF"/>
        </w:rPr>
        <w:t>Generación Distribución y Comercialización</w:t>
      </w:r>
    </w:p>
    <w:p w:rsidR="00540E8D" w:rsidRPr="0069124D" w:rsidRDefault="00540E8D" w:rsidP="00540E8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0986F136" wp14:editId="18E05D6A">
            <wp:simplePos x="0" y="0"/>
            <wp:positionH relativeFrom="column">
              <wp:posOffset>28575</wp:posOffset>
            </wp:positionH>
            <wp:positionV relativeFrom="paragraph">
              <wp:posOffset>207645</wp:posOffset>
            </wp:positionV>
            <wp:extent cx="474345" cy="474345"/>
            <wp:effectExtent l="0" t="0" r="1905" b="1905"/>
            <wp:wrapNone/>
            <wp:docPr id="6" name="Imagen 6" descr="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124D">
        <w:rPr>
          <w:rFonts w:ascii="Arial" w:hAnsi="Arial" w:cs="Arial"/>
          <w:shd w:val="clear" w:color="auto" w:fill="FFFFFF"/>
        </w:rPr>
        <w:t>Ver Brochure</w:t>
      </w:r>
    </w:p>
    <w:p w:rsidR="00540E8D" w:rsidRPr="0069124D" w:rsidRDefault="00540E8D" w:rsidP="00540E8D">
      <w:pPr>
        <w:jc w:val="both"/>
        <w:rPr>
          <w:rFonts w:ascii="Arial" w:hAnsi="Arial" w:cs="Arial"/>
          <w:shd w:val="clear" w:color="auto" w:fill="FFFFFF"/>
        </w:rPr>
      </w:pPr>
    </w:p>
    <w:p w:rsidR="00540E8D" w:rsidRPr="0069124D" w:rsidRDefault="00540E8D" w:rsidP="00540E8D">
      <w:pPr>
        <w:jc w:val="both"/>
        <w:rPr>
          <w:rFonts w:ascii="Arial" w:hAnsi="Arial" w:cs="Arial"/>
          <w:shd w:val="clear" w:color="auto" w:fill="FFFFFF"/>
        </w:rPr>
      </w:pPr>
    </w:p>
    <w:p w:rsidR="00540E8D" w:rsidRPr="0069124D" w:rsidRDefault="00540E8D" w:rsidP="00540E8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Style w:val="texgentitulo"/>
          <w:rFonts w:ascii="Arial" w:hAnsi="Arial" w:cs="Arial"/>
          <w:shd w:val="clear" w:color="auto" w:fill="FFFFFF"/>
        </w:rPr>
        <w:lastRenderedPageBreak/>
        <w:t xml:space="preserve">Desde el punto de vista operación </w:t>
      </w:r>
      <w:r w:rsidRPr="0069124D">
        <w:rPr>
          <w:rStyle w:val="texgenresaltado"/>
          <w:rFonts w:ascii="Arial" w:hAnsi="Arial" w:cs="Arial"/>
          <w:b/>
          <w:bCs/>
          <w:shd w:val="clear" w:color="auto" w:fill="FFFFFF"/>
        </w:rPr>
        <w:t>cada uno de los módulos de manera integral cubre todos los procesos propios de información: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 xml:space="preserve">Administración base de clientes, Calculo de tarifas para cualquier mercado de comercialización, Control de tele medida y lecturas, Facturación, cartera y recaudo usuario final, control de compras y ventas de contratos, Gestión del mercado </w:t>
      </w:r>
      <w:proofErr w:type="spellStart"/>
      <w:r w:rsidRPr="0069124D">
        <w:rPr>
          <w:rFonts w:ascii="Arial" w:hAnsi="Arial" w:cs="Arial"/>
          <w:shd w:val="clear" w:color="auto" w:fill="FFFFFF"/>
        </w:rPr>
        <w:t>Mem</w:t>
      </w:r>
      <w:proofErr w:type="spellEnd"/>
      <w:r w:rsidRPr="0069124D">
        <w:rPr>
          <w:rFonts w:ascii="Arial" w:hAnsi="Arial" w:cs="Arial"/>
          <w:shd w:val="clear" w:color="auto" w:fill="FFFFFF"/>
        </w:rPr>
        <w:t xml:space="preserve">, Control de </w:t>
      </w:r>
      <w:proofErr w:type="spellStart"/>
      <w:r w:rsidRPr="0069124D">
        <w:rPr>
          <w:rFonts w:ascii="Arial" w:hAnsi="Arial" w:cs="Arial"/>
          <w:shd w:val="clear" w:color="auto" w:fill="FFFFFF"/>
        </w:rPr>
        <w:t>PQR's</w:t>
      </w:r>
      <w:proofErr w:type="spellEnd"/>
      <w:r w:rsidRPr="0069124D">
        <w:rPr>
          <w:rFonts w:ascii="Arial" w:hAnsi="Arial" w:cs="Arial"/>
          <w:shd w:val="clear" w:color="auto" w:fill="FFFFFF"/>
        </w:rPr>
        <w:t>, Interfaces con otros sistemas.</w:t>
      </w:r>
    </w:p>
    <w:p w:rsidR="00540E8D" w:rsidRPr="0069124D" w:rsidRDefault="00540E8D" w:rsidP="00540E8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Desde el punto de vista gestión genera valor agregado para el análisis de cada negocio basado en escenarios a partir de procesos claramente definidos convirtiendo datos en información.</w:t>
      </w:r>
      <w:r w:rsidRPr="0069124D">
        <w:rPr>
          <w:rFonts w:ascii="Arial" w:eastAsia="Times New Roman" w:hAnsi="Arial" w:cs="Arial"/>
          <w:lang w:eastAsia="es-CO"/>
        </w:rPr>
        <w:br/>
      </w:r>
      <w:r w:rsidRPr="0069124D">
        <w:rPr>
          <w:rFonts w:ascii="Arial" w:eastAsia="Times New Roman" w:hAnsi="Arial" w:cs="Arial"/>
          <w:b/>
          <w:bCs/>
          <w:lang w:eastAsia="es-CO"/>
        </w:rPr>
        <w:t>Es un sistema que integra módulos dentro de su funcionamiento bien sea a través de procesos automáticos o de actualización de variables.</w:t>
      </w:r>
      <w:r w:rsidRPr="0069124D">
        <w:rPr>
          <w:rFonts w:ascii="Arial" w:eastAsia="Times New Roman" w:hAnsi="Arial" w:cs="Arial"/>
          <w:lang w:eastAsia="es-CO"/>
        </w:rPr>
        <w:br/>
        <w:t>Tiene como característica generar procesos de validación de la consistencia de datos e integridad de los mismos en cada uno de los módulos.</w:t>
      </w:r>
    </w:p>
    <w:tbl>
      <w:tblPr>
        <w:tblW w:w="345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0"/>
      </w:tblGrid>
      <w:tr w:rsidR="00540E8D" w:rsidRPr="0069124D" w:rsidTr="00540E8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540E8D" w:rsidRPr="0069124D" w:rsidRDefault="00540E8D" w:rsidP="00540E8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CO"/>
              </w:rPr>
            </w:pPr>
            <w:r w:rsidRPr="0069124D">
              <w:rPr>
                <w:rFonts w:ascii="Arial" w:eastAsia="Times New Roman" w:hAnsi="Arial" w:cs="Arial"/>
                <w:lang w:eastAsia="es-CO"/>
              </w:rPr>
              <w:t>Soportado para Oracle DB 11g r2 y Oracle Linux 5.5</w:t>
            </w:r>
          </w:p>
        </w:tc>
      </w:tr>
      <w:tr w:rsidR="00540E8D" w:rsidRPr="0069124D" w:rsidTr="00540E8D">
        <w:trPr>
          <w:tblCellSpacing w:w="15" w:type="dxa"/>
          <w:jc w:val="center"/>
        </w:trPr>
        <w:tc>
          <w:tcPr>
            <w:tcW w:w="0" w:type="auto"/>
            <w:vAlign w:val="center"/>
          </w:tcPr>
          <w:p w:rsidR="00540E8D" w:rsidRPr="0069124D" w:rsidRDefault="00540E8D" w:rsidP="00540E8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CO"/>
              </w:rPr>
            </w:pPr>
          </w:p>
          <w:p w:rsidR="00540E8D" w:rsidRPr="0069124D" w:rsidRDefault="00540E8D" w:rsidP="00540E8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CO"/>
              </w:rPr>
            </w:pPr>
          </w:p>
          <w:p w:rsidR="00540E8D" w:rsidRPr="0069124D" w:rsidRDefault="00540E8D" w:rsidP="00540E8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es-CO"/>
              </w:rPr>
            </w:pPr>
          </w:p>
        </w:tc>
      </w:tr>
    </w:tbl>
    <w:p w:rsidR="00540E8D" w:rsidRPr="0069124D" w:rsidRDefault="00540E8D" w:rsidP="00540E8D">
      <w:pPr>
        <w:jc w:val="both"/>
        <w:rPr>
          <w:rFonts w:ascii="Arial" w:hAnsi="Arial" w:cs="Arial"/>
          <w:noProof/>
          <w:lang w:eastAsia="es-CO"/>
        </w:rPr>
      </w:pPr>
      <w:r w:rsidRPr="0069124D">
        <w:rPr>
          <w:rFonts w:ascii="Arial" w:hAnsi="Arial" w:cs="Arial"/>
          <w:noProof/>
          <w:lang w:eastAsia="es-CO"/>
        </w:rPr>
        <w:t>Esta imagen contiene un Vinculo que abre:</w:t>
      </w:r>
    </w:p>
    <w:p w:rsidR="00540E8D" w:rsidRPr="0069124D" w:rsidRDefault="00540E8D" w:rsidP="00540E8D">
      <w:pPr>
        <w:jc w:val="both"/>
        <w:rPr>
          <w:rFonts w:ascii="Arial" w:hAnsi="Arial" w:cs="Arial"/>
        </w:rPr>
      </w:pPr>
      <w:r w:rsidRPr="0069124D">
        <w:rPr>
          <w:rFonts w:ascii="Arial" w:hAnsi="Arial" w:cs="Arial"/>
          <w:noProof/>
          <w:lang w:eastAsia="es-CO"/>
        </w:rPr>
        <w:drawing>
          <wp:inline distT="0" distB="0" distL="0" distR="0" wp14:anchorId="726C7935" wp14:editId="4672CDF4">
            <wp:extent cx="2168102" cy="1610351"/>
            <wp:effectExtent l="0" t="0" r="381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9838" cy="161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8D" w:rsidRPr="0069124D" w:rsidRDefault="00540E8D" w:rsidP="00540E8D">
      <w:pPr>
        <w:jc w:val="both"/>
        <w:rPr>
          <w:rFonts w:ascii="Arial" w:hAnsi="Arial" w:cs="Arial"/>
        </w:rPr>
      </w:pPr>
    </w:p>
    <w:p w:rsidR="009C16A6" w:rsidRPr="0069124D" w:rsidRDefault="009C16A6" w:rsidP="00540E8D">
      <w:pPr>
        <w:jc w:val="both"/>
        <w:rPr>
          <w:rFonts w:ascii="Arial" w:hAnsi="Arial" w:cs="Arial"/>
        </w:rPr>
      </w:pPr>
    </w:p>
    <w:p w:rsidR="009C16A6" w:rsidRPr="0069124D" w:rsidRDefault="009C16A6" w:rsidP="00540E8D">
      <w:pPr>
        <w:jc w:val="both"/>
        <w:rPr>
          <w:rFonts w:ascii="Arial" w:hAnsi="Arial" w:cs="Arial"/>
        </w:rPr>
      </w:pPr>
      <w:r w:rsidRPr="0069124D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3D53F277" wp14:editId="58899D7D">
            <wp:extent cx="4685715" cy="6333334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6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16" w:rsidRPr="0069124D" w:rsidRDefault="00946416" w:rsidP="00540E8D">
      <w:pPr>
        <w:jc w:val="both"/>
        <w:rPr>
          <w:rFonts w:ascii="Arial" w:hAnsi="Arial" w:cs="Arial"/>
        </w:rPr>
      </w:pPr>
      <w:r w:rsidRPr="0069124D">
        <w:rPr>
          <w:rFonts w:ascii="Arial" w:hAnsi="Arial" w:cs="Arial"/>
        </w:rPr>
        <w:t>Menú Vertical:</w:t>
      </w:r>
    </w:p>
    <w:tbl>
      <w:tblPr>
        <w:tblW w:w="3450" w:type="dxa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0"/>
      </w:tblGrid>
      <w:tr w:rsidR="00946416" w:rsidRPr="0069124D" w:rsidTr="00946416">
        <w:trPr>
          <w:trHeight w:val="330"/>
          <w:tblCellSpacing w:w="7" w:type="dxa"/>
        </w:trPr>
        <w:tc>
          <w:tcPr>
            <w:tcW w:w="0" w:type="auto"/>
            <w:tcMar>
              <w:top w:w="45" w:type="dxa"/>
              <w:left w:w="330" w:type="dxa"/>
              <w:bottom w:w="30" w:type="dxa"/>
              <w:right w:w="30" w:type="dxa"/>
            </w:tcMar>
            <w:hideMark/>
          </w:tcPr>
          <w:p w:rsidR="00946416" w:rsidRPr="0069124D" w:rsidRDefault="00FC3F76" w:rsidP="0094641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CO"/>
              </w:rPr>
            </w:pPr>
            <w:hyperlink r:id="rId23" w:anchor="gestion" w:history="1">
              <w:r w:rsidR="00946416" w:rsidRPr="0069124D">
                <w:rPr>
                  <w:rFonts w:ascii="Arial" w:eastAsia="Times New Roman" w:hAnsi="Arial" w:cs="Arial"/>
                  <w:b/>
                  <w:bCs/>
                  <w:u w:val="single"/>
                  <w:lang w:eastAsia="es-CO"/>
                </w:rPr>
                <w:br/>
                <w:t>Gestión Comercial</w:t>
              </w:r>
            </w:hyperlink>
          </w:p>
        </w:tc>
      </w:tr>
      <w:tr w:rsidR="00946416" w:rsidRPr="0069124D" w:rsidTr="00946416">
        <w:trPr>
          <w:trHeight w:val="330"/>
          <w:tblCellSpacing w:w="7" w:type="dxa"/>
        </w:trPr>
        <w:tc>
          <w:tcPr>
            <w:tcW w:w="0" w:type="auto"/>
            <w:tcMar>
              <w:top w:w="45" w:type="dxa"/>
              <w:left w:w="330" w:type="dxa"/>
              <w:bottom w:w="30" w:type="dxa"/>
              <w:right w:w="30" w:type="dxa"/>
            </w:tcMar>
            <w:hideMark/>
          </w:tcPr>
          <w:p w:rsidR="00946416" w:rsidRPr="0069124D" w:rsidRDefault="00FC3F76" w:rsidP="0094641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CO"/>
              </w:rPr>
            </w:pPr>
            <w:hyperlink r:id="rId24" w:anchor="tarifas" w:history="1">
              <w:r w:rsidR="00946416" w:rsidRPr="0069124D">
                <w:rPr>
                  <w:rFonts w:ascii="Arial" w:eastAsia="Times New Roman" w:hAnsi="Arial" w:cs="Arial"/>
                  <w:b/>
                  <w:bCs/>
                  <w:u w:val="single"/>
                  <w:lang w:eastAsia="es-CO"/>
                </w:rPr>
                <w:t>Tarifas</w:t>
              </w:r>
            </w:hyperlink>
          </w:p>
        </w:tc>
      </w:tr>
      <w:tr w:rsidR="00946416" w:rsidRPr="0069124D" w:rsidTr="00946416">
        <w:trPr>
          <w:trHeight w:val="330"/>
          <w:tblCellSpacing w:w="7" w:type="dxa"/>
        </w:trPr>
        <w:tc>
          <w:tcPr>
            <w:tcW w:w="0" w:type="auto"/>
            <w:tcMar>
              <w:top w:w="45" w:type="dxa"/>
              <w:left w:w="330" w:type="dxa"/>
              <w:bottom w:w="30" w:type="dxa"/>
              <w:right w:w="30" w:type="dxa"/>
            </w:tcMar>
            <w:hideMark/>
          </w:tcPr>
          <w:p w:rsidR="00946416" w:rsidRPr="0069124D" w:rsidRDefault="00FC3F76" w:rsidP="0094641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CO"/>
              </w:rPr>
            </w:pPr>
            <w:hyperlink r:id="rId25" w:anchor="mercado" w:history="1">
              <w:r w:rsidR="00946416" w:rsidRPr="0069124D">
                <w:rPr>
                  <w:rFonts w:ascii="Arial" w:eastAsia="Times New Roman" w:hAnsi="Arial" w:cs="Arial"/>
                  <w:b/>
                  <w:bCs/>
                  <w:u w:val="single"/>
                  <w:lang w:eastAsia="es-CO"/>
                </w:rPr>
                <w:t>Mercado de Energía Mayorista</w:t>
              </w:r>
            </w:hyperlink>
          </w:p>
        </w:tc>
      </w:tr>
      <w:tr w:rsidR="00946416" w:rsidRPr="0069124D" w:rsidTr="00946416">
        <w:trPr>
          <w:trHeight w:val="330"/>
          <w:tblCellSpacing w:w="7" w:type="dxa"/>
        </w:trPr>
        <w:tc>
          <w:tcPr>
            <w:tcW w:w="0" w:type="auto"/>
            <w:tcMar>
              <w:top w:w="45" w:type="dxa"/>
              <w:left w:w="330" w:type="dxa"/>
              <w:bottom w:w="30" w:type="dxa"/>
              <w:right w:w="30" w:type="dxa"/>
            </w:tcMar>
            <w:hideMark/>
          </w:tcPr>
          <w:p w:rsidR="00946416" w:rsidRPr="0069124D" w:rsidRDefault="00FC3F76" w:rsidP="0094641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CO"/>
              </w:rPr>
            </w:pPr>
            <w:hyperlink r:id="rId26" w:anchor="mediciones" w:history="1">
              <w:r w:rsidR="00946416" w:rsidRPr="0069124D">
                <w:rPr>
                  <w:rFonts w:ascii="Arial" w:eastAsia="Times New Roman" w:hAnsi="Arial" w:cs="Arial"/>
                  <w:b/>
                  <w:bCs/>
                  <w:u w:val="single"/>
                  <w:lang w:eastAsia="es-CO"/>
                </w:rPr>
                <w:t>Mediciones</w:t>
              </w:r>
            </w:hyperlink>
          </w:p>
        </w:tc>
      </w:tr>
      <w:tr w:rsidR="00946416" w:rsidRPr="0069124D" w:rsidTr="00946416">
        <w:trPr>
          <w:trHeight w:val="330"/>
          <w:tblCellSpacing w:w="7" w:type="dxa"/>
        </w:trPr>
        <w:tc>
          <w:tcPr>
            <w:tcW w:w="0" w:type="auto"/>
            <w:tcMar>
              <w:top w:w="45" w:type="dxa"/>
              <w:left w:w="330" w:type="dxa"/>
              <w:bottom w:w="30" w:type="dxa"/>
              <w:right w:w="30" w:type="dxa"/>
            </w:tcMar>
            <w:hideMark/>
          </w:tcPr>
          <w:p w:rsidR="00946416" w:rsidRPr="0069124D" w:rsidRDefault="00FC3F76" w:rsidP="0094641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CO"/>
              </w:rPr>
            </w:pPr>
            <w:hyperlink r:id="rId27" w:anchor="facturacion" w:history="1">
              <w:r w:rsidR="00946416" w:rsidRPr="0069124D">
                <w:rPr>
                  <w:rFonts w:ascii="Arial" w:eastAsia="Times New Roman" w:hAnsi="Arial" w:cs="Arial"/>
                  <w:b/>
                  <w:bCs/>
                  <w:u w:val="single"/>
                  <w:lang w:eastAsia="es-CO"/>
                </w:rPr>
                <w:t>Facturación Cartera y Recaudo</w:t>
              </w:r>
            </w:hyperlink>
          </w:p>
        </w:tc>
      </w:tr>
      <w:tr w:rsidR="00946416" w:rsidRPr="0069124D" w:rsidTr="00946416">
        <w:trPr>
          <w:trHeight w:val="330"/>
          <w:tblCellSpacing w:w="7" w:type="dxa"/>
        </w:trPr>
        <w:tc>
          <w:tcPr>
            <w:tcW w:w="0" w:type="auto"/>
            <w:tcMar>
              <w:top w:w="45" w:type="dxa"/>
              <w:left w:w="330" w:type="dxa"/>
              <w:bottom w:w="30" w:type="dxa"/>
              <w:right w:w="30" w:type="dxa"/>
            </w:tcMar>
            <w:hideMark/>
          </w:tcPr>
          <w:p w:rsidR="00946416" w:rsidRPr="0069124D" w:rsidRDefault="00FC3F76" w:rsidP="0094641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CO"/>
              </w:rPr>
            </w:pPr>
            <w:hyperlink r:id="rId28" w:anchor="cliente" w:history="1">
              <w:r w:rsidR="00946416" w:rsidRPr="0069124D">
                <w:rPr>
                  <w:rFonts w:ascii="Arial" w:eastAsia="Times New Roman" w:hAnsi="Arial" w:cs="Arial"/>
                  <w:b/>
                  <w:bCs/>
                  <w:u w:val="single"/>
                  <w:lang w:eastAsia="es-CO"/>
                </w:rPr>
                <w:t>Atención al Cliente</w:t>
              </w:r>
            </w:hyperlink>
          </w:p>
        </w:tc>
      </w:tr>
      <w:tr w:rsidR="00946416" w:rsidRPr="0069124D" w:rsidTr="00946416">
        <w:trPr>
          <w:trHeight w:val="330"/>
          <w:tblCellSpacing w:w="7" w:type="dxa"/>
        </w:trPr>
        <w:tc>
          <w:tcPr>
            <w:tcW w:w="0" w:type="auto"/>
            <w:tcMar>
              <w:top w:w="45" w:type="dxa"/>
              <w:left w:w="330" w:type="dxa"/>
              <w:bottom w:w="30" w:type="dxa"/>
              <w:right w:w="30" w:type="dxa"/>
            </w:tcMar>
            <w:hideMark/>
          </w:tcPr>
          <w:p w:rsidR="00946416" w:rsidRPr="0069124D" w:rsidRDefault="00FC3F76" w:rsidP="0094641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CO"/>
              </w:rPr>
            </w:pPr>
            <w:hyperlink r:id="rId29" w:anchor="interfaces" w:history="1">
              <w:r w:rsidR="00946416" w:rsidRPr="0069124D">
                <w:rPr>
                  <w:rFonts w:ascii="Arial" w:eastAsia="Times New Roman" w:hAnsi="Arial" w:cs="Arial"/>
                  <w:b/>
                  <w:bCs/>
                  <w:u w:val="single"/>
                  <w:lang w:eastAsia="es-CO"/>
                </w:rPr>
                <w:t>Interfaces</w:t>
              </w:r>
            </w:hyperlink>
          </w:p>
        </w:tc>
      </w:tr>
    </w:tbl>
    <w:p w:rsidR="00946416" w:rsidRPr="0069124D" w:rsidRDefault="00946416" w:rsidP="00540E8D">
      <w:pPr>
        <w:jc w:val="both"/>
        <w:rPr>
          <w:rFonts w:ascii="Arial" w:hAnsi="Arial" w:cs="Arial"/>
        </w:rPr>
      </w:pPr>
    </w:p>
    <w:p w:rsidR="009C16A6" w:rsidRPr="000840DA" w:rsidRDefault="009C16A6" w:rsidP="00540E8D">
      <w:pPr>
        <w:jc w:val="both"/>
        <w:rPr>
          <w:rFonts w:ascii="Arial" w:hAnsi="Arial" w:cs="Arial"/>
          <w:b/>
          <w:shd w:val="clear" w:color="auto" w:fill="FFFFFF"/>
        </w:rPr>
      </w:pPr>
      <w:r w:rsidRPr="000840DA">
        <w:rPr>
          <w:rFonts w:ascii="Arial" w:hAnsi="Arial" w:cs="Arial"/>
          <w:b/>
          <w:shd w:val="clear" w:color="auto" w:fill="FFFFFF"/>
        </w:rPr>
        <w:t>Módulo de Gestión Comercial</w:t>
      </w:r>
    </w:p>
    <w:p w:rsidR="009C16A6" w:rsidRPr="0069124D" w:rsidRDefault="009C16A6" w:rsidP="00540E8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Gestiona los procesos comerciales y técnicos de venta de energía a usuario final (regulados y grandes clientes).</w:t>
      </w:r>
    </w:p>
    <w:p w:rsidR="009C16A6" w:rsidRPr="0069124D" w:rsidRDefault="009C16A6" w:rsidP="009C16A6">
      <w:p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b/>
          <w:bCs/>
          <w:shd w:val="clear" w:color="auto" w:fill="FFFFFF"/>
          <w:lang w:eastAsia="es-CO"/>
        </w:rPr>
        <w:t>Características funcionales</w:t>
      </w:r>
      <w:r w:rsidRPr="0069124D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Base de datos comercial y técnica de clientes.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Registro de contacto de clientes.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Estructuración sistema eléctrico del cliente y operador de red.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Proceso de incorporación de clientes. 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Actas de instalación y cambio de comercializador.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Creación de opciones para simulación de ofertas con precio de bolsa, pisos, techos, etc.</w:t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Simulación de ofertas comerciales mercado regulado y mercado no regulado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Bitácora técnica comercial de clientes. Registro de novedades y acciones 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Reportes e indicadores de gestión proceso comercial de incorporación de clientes.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Acuerdos y contratos mercado no regulado.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Modelo multiempresa.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8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Consultas y reportes</w:t>
      </w:r>
    </w:p>
    <w:p w:rsidR="009C16A6" w:rsidRPr="000840DA" w:rsidRDefault="009C16A6" w:rsidP="009C16A6">
      <w:pPr>
        <w:jc w:val="both"/>
        <w:rPr>
          <w:rFonts w:ascii="Arial" w:hAnsi="Arial" w:cs="Arial"/>
          <w:b/>
          <w:shd w:val="clear" w:color="auto" w:fill="FFFFFF"/>
        </w:rPr>
      </w:pPr>
      <w:r w:rsidRPr="000840DA">
        <w:rPr>
          <w:rFonts w:ascii="Arial" w:hAnsi="Arial" w:cs="Arial"/>
          <w:b/>
          <w:shd w:val="clear" w:color="auto" w:fill="FFFFFF"/>
        </w:rPr>
        <w:t>Módulo de Tarifas</w:t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b/>
          <w:bCs/>
          <w:shd w:val="clear" w:color="auto" w:fill="FFFFFF"/>
          <w:lang w:eastAsia="es-CO"/>
        </w:rPr>
        <w:t>Principales Funcionalidades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Altamente parametrizable permitiendo una adaptación rápida a los cambios regulatorios relacionados con el modelo tarifario.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proofErr w:type="spellStart"/>
      <w:r w:rsidRPr="000840DA">
        <w:rPr>
          <w:rFonts w:ascii="Arial" w:eastAsia="Times New Roman" w:hAnsi="Arial" w:cs="Arial"/>
          <w:lang w:eastAsia="es-CO"/>
        </w:rPr>
        <w:t>Parametrización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 y liquidación de tarifas para cualquier mercado de comercialización.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lastRenderedPageBreak/>
        <w:t>Liquidación automática de cada componente tarifario (</w:t>
      </w:r>
      <w:proofErr w:type="spellStart"/>
      <w:r w:rsidRPr="000840DA">
        <w:rPr>
          <w:rFonts w:ascii="Arial" w:eastAsia="Times New Roman" w:hAnsi="Arial" w:cs="Arial"/>
          <w:lang w:eastAsia="es-CO"/>
        </w:rPr>
        <w:t>Gmt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, D, T, Pr, </w:t>
      </w:r>
      <w:proofErr w:type="spellStart"/>
      <w:r w:rsidRPr="000840DA">
        <w:rPr>
          <w:rFonts w:ascii="Arial" w:eastAsia="Times New Roman" w:hAnsi="Arial" w:cs="Arial"/>
          <w:lang w:eastAsia="es-CO"/>
        </w:rPr>
        <w:t>Crs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, </w:t>
      </w:r>
      <w:proofErr w:type="spellStart"/>
      <w:r w:rsidRPr="000840DA">
        <w:rPr>
          <w:rFonts w:ascii="Arial" w:eastAsia="Times New Roman" w:hAnsi="Arial" w:cs="Arial"/>
          <w:lang w:eastAsia="es-CO"/>
        </w:rPr>
        <w:t>Cv</w:t>
      </w:r>
      <w:proofErr w:type="spellEnd"/>
      <w:r w:rsidRPr="000840DA">
        <w:rPr>
          <w:rFonts w:ascii="Arial" w:eastAsia="Times New Roman" w:hAnsi="Arial" w:cs="Arial"/>
          <w:lang w:eastAsia="es-CO"/>
        </w:rPr>
        <w:t>, Cu) para el mercado regulado según ultima regulación vigente.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Análisis de publicación de tarifas según última regulación vigente.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Reportes de tarifas a entidades de control.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Análisis estadístico y gráfico comportamiento componentes tarifarios.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Generación archivo de publicación de tarifas.</w:t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proofErr w:type="spellStart"/>
      <w:r w:rsidRPr="000840DA">
        <w:rPr>
          <w:rFonts w:ascii="Arial" w:eastAsia="Times New Roman" w:hAnsi="Arial" w:cs="Arial"/>
          <w:lang w:eastAsia="es-CO"/>
        </w:rPr>
        <w:t>Parametrización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 modelo de liquidación de tarifas para grandes clientes mercado no regulado.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Modelo de opciones liquidación de la Generación, Comercialización grandes clientes asociando variables como bolsas, pisos, techos, primas, etc.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Liquidación diaria horaria de tarifas para cada mercado de comercialización y nivel de tensión.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Modelo multiempresa.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Consultas y reportes a la medida.</w:t>
      </w:r>
    </w:p>
    <w:p w:rsidR="009C16A6" w:rsidRPr="000840DA" w:rsidRDefault="009C16A6" w:rsidP="009C16A6">
      <w:pPr>
        <w:jc w:val="both"/>
        <w:rPr>
          <w:rFonts w:ascii="Arial" w:hAnsi="Arial" w:cs="Arial"/>
          <w:b/>
          <w:shd w:val="clear" w:color="auto" w:fill="FFFFFF"/>
        </w:rPr>
      </w:pPr>
      <w:r w:rsidRPr="000840DA">
        <w:rPr>
          <w:rFonts w:ascii="Arial" w:hAnsi="Arial" w:cs="Arial"/>
          <w:b/>
          <w:shd w:val="clear" w:color="auto" w:fill="FFFFFF"/>
        </w:rPr>
        <w:t>Módulo de Mercado de Energía Mayorista</w:t>
      </w:r>
    </w:p>
    <w:p w:rsidR="009C16A6" w:rsidRPr="0069124D" w:rsidRDefault="009C16A6" w:rsidP="009C16A6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Módulo que gestiona, controla y administra todas las transacciones comerciales de compra y venta de energía propias y del mercado.</w:t>
      </w:r>
    </w:p>
    <w:p w:rsidR="009C16A6" w:rsidRPr="0069124D" w:rsidRDefault="009C16A6" w:rsidP="009C16A6">
      <w:p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b/>
          <w:bCs/>
          <w:shd w:val="clear" w:color="auto" w:fill="FFFFFF"/>
          <w:lang w:eastAsia="es-CO"/>
        </w:rPr>
        <w:t>Principales funcionalidades</w:t>
      </w:r>
      <w:r w:rsidRPr="0069124D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proofErr w:type="spellStart"/>
      <w:r w:rsidRPr="000840DA">
        <w:rPr>
          <w:rFonts w:ascii="Arial" w:eastAsia="Times New Roman" w:hAnsi="Arial" w:cs="Arial"/>
          <w:lang w:eastAsia="es-CO"/>
        </w:rPr>
        <w:t>Parametrización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 de contratos de compra y venta de energía.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Flujo de caja de contratos.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Simulación de despacho de contratos mediante la proyección de variables y creación de escenarios.</w:t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Despacho y liquidación de contratos.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 xml:space="preserve">Facturación de contratos y </w:t>
      </w:r>
      <w:proofErr w:type="spellStart"/>
      <w:r w:rsidRPr="000840DA">
        <w:rPr>
          <w:rFonts w:ascii="Arial" w:eastAsia="Times New Roman" w:hAnsi="Arial" w:cs="Arial"/>
          <w:lang w:eastAsia="es-CO"/>
        </w:rPr>
        <w:t>prefacturas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 de compra de contratos. Liquidación de impuestos.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Recaudo y cartera de contratos.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 xml:space="preserve">Interface con archivos publicados por </w:t>
      </w:r>
      <w:proofErr w:type="spellStart"/>
      <w:r w:rsidRPr="000840DA">
        <w:rPr>
          <w:rFonts w:ascii="Arial" w:eastAsia="Times New Roman" w:hAnsi="Arial" w:cs="Arial"/>
          <w:lang w:eastAsia="es-CO"/>
        </w:rPr>
        <w:t>Xm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 (</w:t>
      </w:r>
      <w:proofErr w:type="spellStart"/>
      <w:r w:rsidRPr="000840DA">
        <w:rPr>
          <w:rFonts w:ascii="Arial" w:eastAsia="Times New Roman" w:hAnsi="Arial" w:cs="Arial"/>
          <w:lang w:eastAsia="es-CO"/>
        </w:rPr>
        <w:t>Tgrl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, </w:t>
      </w:r>
      <w:proofErr w:type="spellStart"/>
      <w:r w:rsidRPr="000840DA">
        <w:rPr>
          <w:rFonts w:ascii="Arial" w:eastAsia="Times New Roman" w:hAnsi="Arial" w:cs="Arial"/>
          <w:lang w:eastAsia="es-CO"/>
        </w:rPr>
        <w:t>Afac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, </w:t>
      </w:r>
      <w:proofErr w:type="spellStart"/>
      <w:r w:rsidRPr="000840DA">
        <w:rPr>
          <w:rFonts w:ascii="Arial" w:eastAsia="Times New Roman" w:hAnsi="Arial" w:cs="Arial"/>
          <w:lang w:eastAsia="es-CO"/>
        </w:rPr>
        <w:t>Tctr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, </w:t>
      </w:r>
      <w:proofErr w:type="spellStart"/>
      <w:r w:rsidRPr="000840DA">
        <w:rPr>
          <w:rFonts w:ascii="Arial" w:eastAsia="Times New Roman" w:hAnsi="Arial" w:cs="Arial"/>
          <w:lang w:eastAsia="es-CO"/>
        </w:rPr>
        <w:t>Trsd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, </w:t>
      </w:r>
      <w:proofErr w:type="spellStart"/>
      <w:r w:rsidRPr="000840DA">
        <w:rPr>
          <w:rFonts w:ascii="Arial" w:eastAsia="Times New Roman" w:hAnsi="Arial" w:cs="Arial"/>
          <w:lang w:eastAsia="es-CO"/>
        </w:rPr>
        <w:t>Aenc</w:t>
      </w:r>
      <w:proofErr w:type="spellEnd"/>
      <w:r w:rsidRPr="000840DA">
        <w:rPr>
          <w:rFonts w:ascii="Arial" w:eastAsia="Times New Roman" w:hAnsi="Arial" w:cs="Arial"/>
          <w:lang w:eastAsia="es-CO"/>
        </w:rPr>
        <w:t xml:space="preserve">, </w:t>
      </w:r>
      <w:proofErr w:type="spellStart"/>
      <w:r w:rsidRPr="000840DA">
        <w:rPr>
          <w:rFonts w:ascii="Arial" w:eastAsia="Times New Roman" w:hAnsi="Arial" w:cs="Arial"/>
          <w:lang w:eastAsia="es-CO"/>
        </w:rPr>
        <w:t>etc</w:t>
      </w:r>
      <w:proofErr w:type="spellEnd"/>
      <w:r w:rsidRPr="000840DA">
        <w:rPr>
          <w:rFonts w:ascii="Arial" w:eastAsia="Times New Roman" w:hAnsi="Arial" w:cs="Arial"/>
          <w:lang w:eastAsia="es-CO"/>
        </w:rPr>
        <w:t>).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 xml:space="preserve">Balance de transacciones comerciales (contratos, bolsa, restricciones, otros cargos, </w:t>
      </w:r>
      <w:proofErr w:type="spellStart"/>
      <w:r w:rsidRPr="000840DA">
        <w:rPr>
          <w:rFonts w:ascii="Arial" w:eastAsia="Times New Roman" w:hAnsi="Arial" w:cs="Arial"/>
          <w:lang w:eastAsia="es-CO"/>
        </w:rPr>
        <w:t>etc</w:t>
      </w:r>
      <w:proofErr w:type="spellEnd"/>
      <w:r w:rsidRPr="000840DA">
        <w:rPr>
          <w:rFonts w:ascii="Arial" w:eastAsia="Times New Roman" w:hAnsi="Arial" w:cs="Arial"/>
          <w:lang w:eastAsia="es-CO"/>
        </w:rPr>
        <w:t>).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lastRenderedPageBreak/>
        <w:t>Auditoría de demandas y despacho de contratos.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Balance de demandas y transacciones en bolsa.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Calculo indicador de perdidas (comercializador y distribuidor).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Reportes entidades de control.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Liquidación y conciliación de peajes.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Integración modulo de tarifa</w:t>
      </w:r>
    </w:p>
    <w:p w:rsidR="009C16A6" w:rsidRPr="000840DA" w:rsidRDefault="009C16A6" w:rsidP="009C16A6">
      <w:pPr>
        <w:jc w:val="both"/>
        <w:rPr>
          <w:rFonts w:ascii="Arial" w:hAnsi="Arial" w:cs="Arial"/>
          <w:b/>
          <w:shd w:val="clear" w:color="auto" w:fill="FFFFFF"/>
        </w:rPr>
      </w:pPr>
      <w:r w:rsidRPr="000840DA">
        <w:rPr>
          <w:rFonts w:ascii="Arial" w:hAnsi="Arial" w:cs="Arial"/>
          <w:b/>
          <w:shd w:val="clear" w:color="auto" w:fill="FFFFFF"/>
        </w:rPr>
        <w:t>Módulo de Mediciones</w:t>
      </w:r>
    </w:p>
    <w:p w:rsidR="009C16A6" w:rsidRPr="0069124D" w:rsidRDefault="009C16A6" w:rsidP="009C16A6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Permite la gestión de las medidas tanto de fronteras comerciales como de usuarios regulados.</w:t>
      </w:r>
    </w:p>
    <w:p w:rsidR="009C16A6" w:rsidRPr="0069124D" w:rsidRDefault="009C16A6" w:rsidP="009C16A6">
      <w:p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b/>
          <w:bCs/>
          <w:shd w:val="clear" w:color="auto" w:fill="FFFFFF"/>
          <w:lang w:eastAsia="es-CO"/>
        </w:rPr>
        <w:t>Principales funcionalidades</w:t>
      </w:r>
      <w:r w:rsidRPr="0069124D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Integración con cualquier marca de medidor electrónico.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Integración terminales portátiles.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Análisis y validación de desviaciones, máxima datos inválidos.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Auditoría de demandas y lecturas.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Pre crítica de consumos.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Generación de reporte CR (Reporte al Sic) y análisis de indicadores de envió del reporte.</w:t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Visualización de matriz de consumo activa, reactiva, factor de potencia y energía penalizada de fronteras comerciales. Visualización gráfica.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Análisis energía reactiva penalizada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Indicadores DES/FES y calculo de compensación. Fuente operador de red y fuente medidor.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Registro de novedades y eventos técnicos bitácora de clientes.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Consultas y reportes. Visualización gráfica de información.</w:t>
      </w:r>
    </w:p>
    <w:p w:rsidR="009C16A6" w:rsidRPr="000840DA" w:rsidRDefault="009C16A6" w:rsidP="009C16A6">
      <w:pPr>
        <w:jc w:val="both"/>
        <w:rPr>
          <w:rFonts w:ascii="Arial" w:hAnsi="Arial" w:cs="Arial"/>
          <w:b/>
          <w:shd w:val="clear" w:color="auto" w:fill="FFFFFF"/>
        </w:rPr>
      </w:pPr>
      <w:r w:rsidRPr="000840DA">
        <w:rPr>
          <w:rFonts w:ascii="Arial" w:hAnsi="Arial" w:cs="Arial"/>
          <w:b/>
          <w:shd w:val="clear" w:color="auto" w:fill="FFFFFF"/>
        </w:rPr>
        <w:t>Módulo Facturación Cartera y Recaudo</w:t>
      </w:r>
    </w:p>
    <w:p w:rsidR="009C16A6" w:rsidRPr="0069124D" w:rsidRDefault="009C16A6" w:rsidP="009C16A6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Módulo que gestiona y controla todos los procesos asociados a la facturación de energía y otros cobros, recaudo y cartera de clientes.</w:t>
      </w:r>
    </w:p>
    <w:p w:rsidR="009C16A6" w:rsidRPr="0069124D" w:rsidRDefault="009C16A6" w:rsidP="009C16A6">
      <w:p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b/>
          <w:bCs/>
          <w:shd w:val="clear" w:color="auto" w:fill="FFFFFF"/>
          <w:lang w:eastAsia="es-CO"/>
        </w:rPr>
        <w:t>Características funcionales</w:t>
      </w:r>
      <w:r w:rsidRPr="0069124D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lastRenderedPageBreak/>
        <w:t>Facturación de clientes regulados y cliente no regulados.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Proceso de validación y análisis de los insumos necesarios y suficientes para la liquidación de facturas de usuarios finales.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Liquidación de diferentes tipos de facturas por tipo de usuario (fronteras, usuarios regulado, alumbrado publico, peajes, contados, financiamientos)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Liquidación de cualquier concepto de facturación (energía, alumbrado público, alquileres, ventas, otros cobros).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 xml:space="preserve">Reportes entidades de control (SUI, Ministerio, </w:t>
      </w:r>
      <w:proofErr w:type="spellStart"/>
      <w:r w:rsidRPr="000840DA">
        <w:rPr>
          <w:rFonts w:ascii="Arial" w:eastAsia="Times New Roman" w:hAnsi="Arial" w:cs="Arial"/>
          <w:lang w:eastAsia="es-CO"/>
        </w:rPr>
        <w:t>Creg</w:t>
      </w:r>
      <w:proofErr w:type="spellEnd"/>
      <w:r w:rsidRPr="000840DA">
        <w:rPr>
          <w:rFonts w:ascii="Arial" w:eastAsia="Times New Roman" w:hAnsi="Arial" w:cs="Arial"/>
          <w:lang w:eastAsia="es-CO"/>
        </w:rPr>
        <w:t>, SSPD)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Gestión de recaudo e interface con sistema financiero.</w:t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Registro y aplicación de notas contables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Liquidación de ajustes en facturación.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Reporte de saldos de cartera y estado de cuenta.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Otros cobros (alumbrado publico, subsidios, seguridad ciudadana, descuentos, etc.).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Financiamientos y acuerdos de pago.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Estado del servicio (Suspensiones, Cortes y Reconexiones)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Reporte entidades de control (SSPD, SUI, Min Minas)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Reporte y consultas (Estadísticas y gráficas)</w:t>
      </w:r>
    </w:p>
    <w:p w:rsidR="009C16A6" w:rsidRPr="000840DA" w:rsidRDefault="009C16A6" w:rsidP="009C16A6">
      <w:pPr>
        <w:jc w:val="both"/>
        <w:rPr>
          <w:rFonts w:ascii="Arial" w:hAnsi="Arial" w:cs="Arial"/>
          <w:b/>
          <w:shd w:val="clear" w:color="auto" w:fill="FFFFFF"/>
        </w:rPr>
      </w:pPr>
      <w:r w:rsidRPr="000840DA">
        <w:rPr>
          <w:rFonts w:ascii="Arial" w:hAnsi="Arial" w:cs="Arial"/>
          <w:b/>
          <w:shd w:val="clear" w:color="auto" w:fill="FFFFFF"/>
        </w:rPr>
        <w:t>Módulo de Atención al cliente</w:t>
      </w:r>
    </w:p>
    <w:p w:rsidR="009C16A6" w:rsidRPr="0069124D" w:rsidRDefault="009C16A6" w:rsidP="009C16A6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Permite la gestión y control de todos los procesos asociados a la atención de los clientes propios de la empresa así como el cliente interno, A través de funcionalidades orientadas a la gestión y visualización de datos e información de valor agregado para el conocimiento del mercado y los clientes.</w:t>
      </w:r>
    </w:p>
    <w:p w:rsidR="009C16A6" w:rsidRPr="0069124D" w:rsidRDefault="009C16A6" w:rsidP="009C16A6">
      <w:p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b/>
          <w:bCs/>
          <w:shd w:val="clear" w:color="auto" w:fill="FFFFFF"/>
          <w:lang w:eastAsia="es-CO"/>
        </w:rPr>
        <w:t>Principales funcionalidades</w:t>
      </w:r>
      <w:r w:rsidRPr="0069124D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Registro de peticiones, quejas y reclamos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 xml:space="preserve">Seguimiento solución de </w:t>
      </w:r>
      <w:proofErr w:type="spellStart"/>
      <w:r w:rsidRPr="000840DA">
        <w:rPr>
          <w:rFonts w:ascii="Arial" w:eastAsia="Times New Roman" w:hAnsi="Arial" w:cs="Arial"/>
          <w:lang w:eastAsia="es-CO"/>
        </w:rPr>
        <w:t>PQR’s</w:t>
      </w:r>
      <w:proofErr w:type="spellEnd"/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Integración sistema correo electrónico.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 xml:space="preserve">Registro de bitácora de solución de </w:t>
      </w:r>
      <w:proofErr w:type="spellStart"/>
      <w:r w:rsidRPr="000840DA">
        <w:rPr>
          <w:rFonts w:ascii="Arial" w:eastAsia="Times New Roman" w:hAnsi="Arial" w:cs="Arial"/>
          <w:lang w:eastAsia="es-CO"/>
        </w:rPr>
        <w:t>PQR’s</w:t>
      </w:r>
      <w:proofErr w:type="spellEnd"/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Reportes entidades de control.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lastRenderedPageBreak/>
        <w:t xml:space="preserve">Reporte indicadores de gestión </w:t>
      </w:r>
      <w:proofErr w:type="spellStart"/>
      <w:r w:rsidRPr="000840DA">
        <w:rPr>
          <w:rFonts w:ascii="Arial" w:eastAsia="Times New Roman" w:hAnsi="Arial" w:cs="Arial"/>
          <w:lang w:eastAsia="es-CO"/>
        </w:rPr>
        <w:t>PQR’s</w:t>
      </w:r>
      <w:proofErr w:type="spellEnd"/>
      <w:r w:rsidRPr="000840DA">
        <w:rPr>
          <w:rFonts w:ascii="Arial" w:eastAsia="Times New Roman" w:hAnsi="Arial" w:cs="Arial"/>
          <w:lang w:eastAsia="es-CO"/>
        </w:rPr>
        <w:t>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 xml:space="preserve">Alarmas solución de </w:t>
      </w:r>
      <w:proofErr w:type="spellStart"/>
      <w:r w:rsidRPr="000840DA">
        <w:rPr>
          <w:rFonts w:ascii="Arial" w:eastAsia="Times New Roman" w:hAnsi="Arial" w:cs="Arial"/>
          <w:lang w:eastAsia="es-CO"/>
        </w:rPr>
        <w:t>PQR’s</w:t>
      </w:r>
      <w:proofErr w:type="spellEnd"/>
      <w:r w:rsidRPr="000840DA">
        <w:rPr>
          <w:rFonts w:ascii="Arial" w:eastAsia="Times New Roman" w:hAnsi="Arial" w:cs="Arial"/>
          <w:lang w:eastAsia="es-CO"/>
        </w:rPr>
        <w:t>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Consultas y reportes conocimiento de clientes (facturación, cartera, recaudo, mediciones)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Elaboración de encuestas satisfacciones de clientes.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 xml:space="preserve">Integración con </w:t>
      </w:r>
      <w:proofErr w:type="spellStart"/>
      <w:r w:rsidRPr="000840DA">
        <w:rPr>
          <w:rFonts w:ascii="Arial" w:eastAsia="Times New Roman" w:hAnsi="Arial" w:cs="Arial"/>
          <w:lang w:eastAsia="es-CO"/>
        </w:rPr>
        <w:t>Call</w:t>
      </w:r>
      <w:proofErr w:type="spellEnd"/>
      <w:r w:rsidRPr="000840DA">
        <w:rPr>
          <w:rFonts w:ascii="Arial" w:eastAsia="Times New Roman" w:hAnsi="Arial" w:cs="Arial"/>
          <w:lang w:eastAsia="es-CO"/>
        </w:rPr>
        <w:t>-Center</w:t>
      </w:r>
    </w:p>
    <w:p w:rsidR="009C16A6" w:rsidRPr="000840DA" w:rsidRDefault="009C16A6" w:rsidP="009C16A6">
      <w:pPr>
        <w:jc w:val="both"/>
        <w:rPr>
          <w:rFonts w:ascii="Arial" w:hAnsi="Arial" w:cs="Arial"/>
          <w:b/>
          <w:shd w:val="clear" w:color="auto" w:fill="FFFFFF"/>
        </w:rPr>
      </w:pPr>
      <w:r w:rsidRPr="000840DA">
        <w:rPr>
          <w:rFonts w:ascii="Arial" w:hAnsi="Arial" w:cs="Arial"/>
          <w:b/>
          <w:shd w:val="clear" w:color="auto" w:fill="FFFFFF"/>
        </w:rPr>
        <w:t>Módulo de Interfaces</w:t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Integración con cualquier archivo externo estructurado.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Integración con cualquier base de datos externa.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Interface contable sistema ERP mediante traductor contable.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9C16A6" w:rsidRPr="000840DA" w:rsidRDefault="009C16A6" w:rsidP="000840DA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Interface financiera (presupuesto, contabilidad y tesorería).</w:t>
      </w:r>
      <w:r w:rsidRPr="000840DA">
        <w:rPr>
          <w:rFonts w:ascii="Arial" w:eastAsia="Times New Roman" w:hAnsi="Arial" w:cs="Arial"/>
          <w:lang w:eastAsia="es-CO"/>
        </w:rPr>
        <w:br/>
      </w:r>
    </w:p>
    <w:p w:rsidR="003D0725" w:rsidRPr="000840DA" w:rsidRDefault="009C16A6" w:rsidP="000840DA">
      <w:pPr>
        <w:pStyle w:val="Prrafodelista"/>
        <w:numPr>
          <w:ilvl w:val="0"/>
          <w:numId w:val="11"/>
        </w:numPr>
        <w:jc w:val="both"/>
        <w:rPr>
          <w:rFonts w:ascii="Arial" w:eastAsia="Times New Roman" w:hAnsi="Arial" w:cs="Arial"/>
          <w:lang w:eastAsia="es-CO"/>
        </w:rPr>
      </w:pPr>
      <w:r w:rsidRPr="000840DA">
        <w:rPr>
          <w:rFonts w:ascii="Arial" w:eastAsia="Times New Roman" w:hAnsi="Arial" w:cs="Arial"/>
          <w:lang w:eastAsia="es-CO"/>
        </w:rPr>
        <w:t>Automatización de interfaces</w:t>
      </w:r>
    </w:p>
    <w:p w:rsidR="003D0725" w:rsidRPr="0069124D" w:rsidRDefault="003D0725" w:rsidP="009C16A6">
      <w:pPr>
        <w:jc w:val="both"/>
        <w:rPr>
          <w:rFonts w:ascii="Arial" w:eastAsia="Times New Roman" w:hAnsi="Arial" w:cs="Arial"/>
          <w:lang w:eastAsia="es-CO"/>
        </w:rPr>
      </w:pPr>
    </w:p>
    <w:p w:rsidR="003D0725" w:rsidRPr="0069124D" w:rsidRDefault="003D0725" w:rsidP="009C16A6">
      <w:pPr>
        <w:jc w:val="both"/>
        <w:rPr>
          <w:rFonts w:ascii="Arial" w:eastAsia="Times New Roman" w:hAnsi="Arial" w:cs="Arial"/>
          <w:lang w:eastAsia="es-CO"/>
        </w:rPr>
      </w:pPr>
    </w:p>
    <w:p w:rsidR="009C16A6" w:rsidRPr="0069124D" w:rsidRDefault="003D0725" w:rsidP="009C16A6">
      <w:pPr>
        <w:jc w:val="both"/>
        <w:rPr>
          <w:rFonts w:ascii="Arial" w:eastAsia="Times New Roman" w:hAnsi="Arial" w:cs="Arial"/>
          <w:lang w:eastAsia="es-CO"/>
        </w:rPr>
      </w:pPr>
      <w:r w:rsidRPr="0069124D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326BB195" wp14:editId="68886D8E">
            <wp:extent cx="2266667" cy="6228572"/>
            <wp:effectExtent l="0" t="0" r="63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6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A6" w:rsidRPr="0069124D">
        <w:rPr>
          <w:rFonts w:ascii="Arial" w:eastAsia="Times New Roman" w:hAnsi="Arial" w:cs="Arial"/>
          <w:lang w:eastAsia="es-CO"/>
        </w:rPr>
        <w:t>.</w:t>
      </w:r>
    </w:p>
    <w:p w:rsidR="003D0725" w:rsidRPr="0069124D" w:rsidRDefault="003D0725" w:rsidP="009C16A6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Optimiza la gestión de administración para entrada y salida del carbón desde la mina hasta su entrega final en patios</w:t>
      </w:r>
    </w:p>
    <w:p w:rsidR="003D0725" w:rsidRPr="0069124D" w:rsidRDefault="003D0725" w:rsidP="009C16A6">
      <w:pPr>
        <w:jc w:val="both"/>
        <w:rPr>
          <w:rStyle w:val="style1"/>
          <w:rFonts w:ascii="Arial" w:hAnsi="Arial" w:cs="Arial"/>
          <w:b/>
          <w:bCs/>
          <w:shd w:val="clear" w:color="auto" w:fill="FFFFFF"/>
        </w:rPr>
      </w:pPr>
      <w:r w:rsidRPr="0069124D">
        <w:rPr>
          <w:rFonts w:ascii="Arial" w:hAnsi="Arial" w:cs="Arial"/>
          <w:noProof/>
          <w:lang w:eastAsia="es-CO"/>
        </w:rPr>
        <w:drawing>
          <wp:inline distT="0" distB="0" distL="0" distR="0" wp14:anchorId="54DFC4EA" wp14:editId="2792272A">
            <wp:extent cx="2030730" cy="1021080"/>
            <wp:effectExtent l="0" t="0" r="7620" b="7620"/>
            <wp:docPr id="10" name="Imagen 10" descr="GPRS/D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PRS/DS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25" w:rsidRPr="0069124D" w:rsidRDefault="003D0725" w:rsidP="009C16A6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Style w:val="style1"/>
          <w:rFonts w:ascii="Arial" w:hAnsi="Arial" w:cs="Arial"/>
          <w:b/>
          <w:bCs/>
          <w:shd w:val="clear" w:color="auto" w:fill="FFFFFF"/>
        </w:rPr>
        <w:lastRenderedPageBreak/>
        <w:t>Rastreo y Monitoreo Vehicular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Mediante un dispositivo inteligente para rastreo, la administración y control de activos móviles es en tiempo real. Sus características únicas lo hace la solución perfecta para cualquier aplicación de localización automática de vehículos, control de logística y supervisión de cargas.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La precisión del GPS en combinación con la cobertura y flexibilidad de GPRS/GSM, hacen de Antares la mejor solución para rastreo y monitoreo vehicular</w:t>
      </w:r>
    </w:p>
    <w:p w:rsidR="003D0725" w:rsidRPr="0069124D" w:rsidRDefault="003D0725" w:rsidP="009C16A6">
      <w:pPr>
        <w:jc w:val="both"/>
        <w:rPr>
          <w:rFonts w:ascii="Arial" w:hAnsi="Arial" w:cs="Arial"/>
        </w:rPr>
      </w:pPr>
      <w:r w:rsidRPr="0069124D">
        <w:rPr>
          <w:rFonts w:ascii="Arial" w:hAnsi="Arial" w:cs="Arial"/>
          <w:noProof/>
          <w:lang w:eastAsia="es-CO"/>
        </w:rPr>
        <w:drawing>
          <wp:inline distT="0" distB="0" distL="0" distR="0" wp14:anchorId="2CF54E26" wp14:editId="59C3E41D">
            <wp:extent cx="2030730" cy="985520"/>
            <wp:effectExtent l="0" t="0" r="7620" b="5080"/>
            <wp:docPr id="11" name="Imagen 11" descr="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ontro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25" w:rsidRPr="0069124D" w:rsidRDefault="003D0725" w:rsidP="009C16A6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Style w:val="style1"/>
          <w:rFonts w:ascii="Arial" w:hAnsi="Arial" w:cs="Arial"/>
          <w:b/>
          <w:bCs/>
          <w:shd w:val="clear" w:color="auto" w:fill="FFFFFF"/>
        </w:rPr>
        <w:t>La Integración de Procesos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comercial y logístico dan la oportunidad eficaz de controlar y gestionar la operación general del negocio. Permitiendo una vista cercana del ciclo de vida del negocio que finalmente se traduce en el cumplimiento de objetivos y verificación constante de indicadores que permiten optimizar en tiempo real la operación del negocio.</w:t>
      </w:r>
    </w:p>
    <w:p w:rsidR="003D0725" w:rsidRPr="0069124D" w:rsidRDefault="003D0725" w:rsidP="003D072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b/>
          <w:bCs/>
          <w:lang w:eastAsia="es-CO"/>
        </w:rPr>
        <w:t xml:space="preserve">Módulos componentes del sistema </w:t>
      </w:r>
      <w:proofErr w:type="spellStart"/>
      <w:r w:rsidRPr="0069124D">
        <w:rPr>
          <w:rFonts w:ascii="Arial" w:eastAsia="Times New Roman" w:hAnsi="Arial" w:cs="Arial"/>
          <w:b/>
          <w:bCs/>
          <w:lang w:eastAsia="es-CO"/>
        </w:rPr>
        <w:t>Thellius</w:t>
      </w:r>
      <w:proofErr w:type="spellEnd"/>
    </w:p>
    <w:p w:rsidR="003D0725" w:rsidRPr="0069124D" w:rsidRDefault="003D0725" w:rsidP="003D072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Parámetros y Seguridad</w:t>
      </w:r>
      <w:r w:rsidRPr="0069124D">
        <w:rPr>
          <w:rFonts w:ascii="Arial" w:eastAsia="Times New Roman" w:hAnsi="Arial" w:cs="Arial"/>
          <w:lang w:eastAsia="es-CO"/>
        </w:rPr>
        <w:br/>
      </w:r>
      <w:proofErr w:type="spellStart"/>
      <w:r w:rsidRPr="0069124D">
        <w:rPr>
          <w:rFonts w:ascii="Arial" w:eastAsia="Times New Roman" w:hAnsi="Arial" w:cs="Arial"/>
          <w:lang w:eastAsia="es-CO"/>
        </w:rPr>
        <w:t>Gestion</w:t>
      </w:r>
      <w:proofErr w:type="spellEnd"/>
      <w:r w:rsidRPr="0069124D">
        <w:rPr>
          <w:rFonts w:ascii="Arial" w:eastAsia="Times New Roman" w:hAnsi="Arial" w:cs="Arial"/>
          <w:lang w:eastAsia="es-CO"/>
        </w:rPr>
        <w:t xml:space="preserve"> Comercial</w:t>
      </w:r>
      <w:r w:rsidRPr="0069124D">
        <w:rPr>
          <w:rFonts w:ascii="Arial" w:eastAsia="Times New Roman" w:hAnsi="Arial" w:cs="Arial"/>
          <w:lang w:eastAsia="es-CO"/>
        </w:rPr>
        <w:br/>
        <w:t>Contratos</w:t>
      </w:r>
      <w:r w:rsidRPr="0069124D">
        <w:rPr>
          <w:rFonts w:ascii="Arial" w:eastAsia="Times New Roman" w:hAnsi="Arial" w:cs="Arial"/>
          <w:lang w:eastAsia="es-CO"/>
        </w:rPr>
        <w:br/>
        <w:t>Báscula</w:t>
      </w:r>
      <w:r w:rsidRPr="0069124D">
        <w:rPr>
          <w:rFonts w:ascii="Arial" w:eastAsia="Times New Roman" w:hAnsi="Arial" w:cs="Arial"/>
          <w:lang w:eastAsia="es-CO"/>
        </w:rPr>
        <w:br/>
        <w:t>Laboratorio</w:t>
      </w:r>
      <w:r w:rsidRPr="0069124D">
        <w:rPr>
          <w:rFonts w:ascii="Arial" w:eastAsia="Times New Roman" w:hAnsi="Arial" w:cs="Arial"/>
          <w:lang w:eastAsia="es-CO"/>
        </w:rPr>
        <w:br/>
        <w:t>Seguimiento GPRS / GSM</w:t>
      </w:r>
    </w:p>
    <w:p w:rsidR="003D0725" w:rsidRPr="000840DA" w:rsidRDefault="003D0725" w:rsidP="000840D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eastAsia="es-CO"/>
        </w:rPr>
      </w:pPr>
      <w:r w:rsidRPr="000840DA">
        <w:rPr>
          <w:rFonts w:ascii="Arial" w:eastAsia="Times New Roman" w:hAnsi="Arial" w:cs="Arial"/>
          <w:b/>
          <w:bCs/>
          <w:lang w:eastAsia="es-CO"/>
        </w:rPr>
        <w:t>Contratos y Programación.</w:t>
      </w:r>
    </w:p>
    <w:p w:rsidR="003D0725" w:rsidRPr="0069124D" w:rsidRDefault="003D0725" w:rsidP="009C16A6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Contratos, programación día, Programación calendario y Reportes.</w:t>
      </w:r>
    </w:p>
    <w:p w:rsidR="003D0725" w:rsidRPr="0069124D" w:rsidRDefault="003D0725" w:rsidP="003D072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hd w:val="clear" w:color="auto" w:fill="FFFFFF"/>
        </w:rPr>
      </w:pPr>
      <w:proofErr w:type="spellStart"/>
      <w:r w:rsidRPr="0069124D">
        <w:rPr>
          <w:rFonts w:ascii="Arial" w:hAnsi="Arial" w:cs="Arial"/>
          <w:shd w:val="clear" w:color="auto" w:fill="FFFFFF"/>
        </w:rPr>
        <w:t>Parametrización</w:t>
      </w:r>
      <w:proofErr w:type="spellEnd"/>
      <w:r w:rsidRPr="0069124D">
        <w:rPr>
          <w:rFonts w:ascii="Arial" w:hAnsi="Arial" w:cs="Arial"/>
          <w:shd w:val="clear" w:color="auto" w:fill="FFFFFF"/>
        </w:rPr>
        <w:t xml:space="preserve"> de contratos de compra y venta de carbón, con una especificación detallada de los tipo de carbón (Ripio, Maní, Almendra, Granulado, Cocina, etc.), peso contratado y peso entregado en el momento.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</w:rPr>
        <w:br/>
      </w:r>
      <w:r w:rsidRPr="0069124D">
        <w:rPr>
          <w:rFonts w:ascii="Arial" w:hAnsi="Arial" w:cs="Arial"/>
          <w:shd w:val="clear" w:color="auto" w:fill="FFFFFF"/>
        </w:rPr>
        <w:t>Determinando desde un comienzo el origen o destino de la pila o  patio, brindando una ayuda al área de logística.</w:t>
      </w:r>
    </w:p>
    <w:p w:rsidR="003D0725" w:rsidRPr="0069124D" w:rsidRDefault="003D0725" w:rsidP="003D0725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Generación de reportes tipos gerencial de los estados de los contratos y las entregas realizadas en un tiempo determinado.</w:t>
      </w:r>
      <w:r w:rsidRPr="0069124D">
        <w:rPr>
          <w:rFonts w:ascii="Arial" w:eastAsia="Times New Roman" w:hAnsi="Arial" w:cs="Arial"/>
          <w:lang w:eastAsia="es-CO"/>
        </w:rPr>
        <w:br/>
      </w:r>
      <w:r w:rsidRPr="0069124D">
        <w:rPr>
          <w:rFonts w:ascii="Arial" w:eastAsia="Times New Roman" w:hAnsi="Arial" w:cs="Arial"/>
          <w:lang w:eastAsia="es-CO"/>
        </w:rPr>
        <w:br/>
      </w:r>
    </w:p>
    <w:p w:rsidR="003D0725" w:rsidRPr="0069124D" w:rsidRDefault="003D0725" w:rsidP="003D0725">
      <w:pPr>
        <w:pStyle w:val="Prrafodelista"/>
        <w:numPr>
          <w:ilvl w:val="0"/>
          <w:numId w:val="4"/>
        </w:numPr>
        <w:jc w:val="both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 xml:space="preserve">Acceso inmediato a la programación automática de entregas por día del carbón contratado durante toda su vigencia repartidos en los días hábiles que se </w:t>
      </w:r>
      <w:proofErr w:type="spellStart"/>
      <w:r w:rsidRPr="0069124D">
        <w:rPr>
          <w:rFonts w:ascii="Arial" w:eastAsia="Times New Roman" w:hAnsi="Arial" w:cs="Arial"/>
          <w:lang w:eastAsia="es-CO"/>
        </w:rPr>
        <w:t>parametrise</w:t>
      </w:r>
      <w:proofErr w:type="spellEnd"/>
      <w:r w:rsidRPr="0069124D">
        <w:rPr>
          <w:rFonts w:ascii="Arial" w:eastAsia="Times New Roman" w:hAnsi="Arial" w:cs="Arial"/>
          <w:lang w:eastAsia="es-CO"/>
        </w:rPr>
        <w:t xml:space="preserve"> en el sistema.</w:t>
      </w:r>
    </w:p>
    <w:p w:rsidR="003D0725" w:rsidRPr="0069124D" w:rsidRDefault="003D0725" w:rsidP="003D0725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69124D">
        <w:rPr>
          <w:rFonts w:ascii="Arial" w:hAnsi="Arial" w:cs="Arial"/>
          <w:shd w:val="clear" w:color="auto" w:fill="FFFFFF"/>
        </w:rPr>
        <w:lastRenderedPageBreak/>
        <w:t>Seguimiento diario de las entregas realizadas en el momento y las entregas por  realizar.</w:t>
      </w:r>
    </w:p>
    <w:p w:rsidR="002B076D" w:rsidRPr="0069124D" w:rsidRDefault="002B076D" w:rsidP="002B076D">
      <w:pPr>
        <w:jc w:val="both"/>
        <w:rPr>
          <w:rStyle w:val="Textoennegrita"/>
          <w:rFonts w:ascii="Arial" w:hAnsi="Arial" w:cs="Arial"/>
        </w:rPr>
      </w:pPr>
      <w:r w:rsidRPr="0069124D">
        <w:rPr>
          <w:rStyle w:val="Textoennegrita"/>
          <w:rFonts w:ascii="Arial" w:hAnsi="Arial" w:cs="Arial"/>
        </w:rPr>
        <w:t>Parámetros y Operativos</w:t>
      </w:r>
    </w:p>
    <w:p w:rsidR="002B076D" w:rsidRPr="0069124D" w:rsidRDefault="002B076D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Operativos, Estados, Generales, Básicos y Estados.</w:t>
      </w:r>
    </w:p>
    <w:p w:rsidR="002B076D" w:rsidRPr="0069124D" w:rsidRDefault="002B076D" w:rsidP="002B076D">
      <w:pPr>
        <w:pStyle w:val="Prrafodelista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Para el sistema el concepto cuenta se refiere a todo ente importante y primordial en el funcionamiento del sistema. Jugadores tales como Empresa, Clientes, Proveedores, transportadores, Distribuidores y cliente potencial y socio hacen parte de este concepto.</w:t>
      </w:r>
      <w:r w:rsidRPr="0069124D">
        <w:rPr>
          <w:rFonts w:ascii="Arial" w:eastAsia="Times New Roman" w:hAnsi="Arial" w:cs="Arial"/>
          <w:lang w:eastAsia="es-CO"/>
        </w:rPr>
        <w:br/>
      </w:r>
    </w:p>
    <w:p w:rsidR="002B076D" w:rsidRPr="0069124D" w:rsidRDefault="002B076D" w:rsidP="002B076D">
      <w:pPr>
        <w:pStyle w:val="Prrafodelista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Se maneja información clave como Nombre, NIT, relación con una cuenta principal, Sector (Agricultora, alimentos, Energía, Maquinaria, etc.), Nombre representante legal, direcciones de facturación y de envío.</w:t>
      </w:r>
      <w:r w:rsidRPr="0069124D">
        <w:rPr>
          <w:rFonts w:ascii="Arial" w:eastAsia="Times New Roman" w:hAnsi="Arial" w:cs="Arial"/>
          <w:lang w:eastAsia="es-CO"/>
        </w:rPr>
        <w:br/>
      </w:r>
    </w:p>
    <w:p w:rsidR="002B076D" w:rsidRPr="0069124D" w:rsidRDefault="002B076D" w:rsidP="002B076D">
      <w:pPr>
        <w:pStyle w:val="Prrafodelista"/>
        <w:numPr>
          <w:ilvl w:val="0"/>
          <w:numId w:val="5"/>
        </w:numPr>
        <w:jc w:val="both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Cada asesor será propietario de determinadas cuentas y podrá ceder cuentas a otros. Esto con el fin de determinar perfiles de seguridad sobre los clientes de cada uno.</w:t>
      </w:r>
    </w:p>
    <w:p w:rsidR="002B076D" w:rsidRPr="0069124D" w:rsidRDefault="002B076D" w:rsidP="002B076D">
      <w:pPr>
        <w:pStyle w:val="Prrafodelista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Se permite rápidos accesos a información de contactos, actividades, oportunidades de negocio, Casos, Socios y documentos adjuntos relacionados con la cuenta.</w:t>
      </w:r>
      <w:r w:rsidRPr="0069124D">
        <w:rPr>
          <w:rFonts w:ascii="Arial" w:eastAsia="Times New Roman" w:hAnsi="Arial" w:cs="Arial"/>
          <w:lang w:eastAsia="es-CO"/>
        </w:rPr>
        <w:br/>
      </w:r>
    </w:p>
    <w:p w:rsidR="002B076D" w:rsidRPr="0069124D" w:rsidRDefault="002B076D" w:rsidP="002B076D">
      <w:pPr>
        <w:pStyle w:val="Prrafodelista"/>
        <w:numPr>
          <w:ilvl w:val="0"/>
          <w:numId w:val="5"/>
        </w:numPr>
        <w:jc w:val="both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 xml:space="preserve">Se tendrá la posibilidad de </w:t>
      </w:r>
      <w:proofErr w:type="spellStart"/>
      <w:r w:rsidRPr="0069124D">
        <w:rPr>
          <w:rFonts w:ascii="Arial" w:eastAsia="Times New Roman" w:hAnsi="Arial" w:cs="Arial"/>
          <w:lang w:eastAsia="es-CO"/>
        </w:rPr>
        <w:t>parametrizar</w:t>
      </w:r>
      <w:proofErr w:type="spellEnd"/>
      <w:r w:rsidRPr="0069124D">
        <w:rPr>
          <w:rFonts w:ascii="Arial" w:eastAsia="Times New Roman" w:hAnsi="Arial" w:cs="Arial"/>
          <w:lang w:eastAsia="es-CO"/>
        </w:rPr>
        <w:t xml:space="preserve"> información básica del sistema como los tipos de estados. La gestión de información como minas, pilas, patios, conductores, Basculas, Tipos vehículos, tipos de carbón, ciclos, empleados y calendario.</w:t>
      </w:r>
    </w:p>
    <w:p w:rsidR="002B076D" w:rsidRPr="0069124D" w:rsidRDefault="002B076D" w:rsidP="002B076D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69124D">
        <w:rPr>
          <w:rFonts w:ascii="Arial" w:hAnsi="Arial" w:cs="Arial"/>
          <w:shd w:val="clear" w:color="auto" w:fill="FFFFFF"/>
        </w:rPr>
        <w:t>Maneja información importante para un modelo básico de CRM, Información como Prospectos de clientes, contratos relacionados a las cuentas, gestiona actividades, Guarda la información de oportunidades de negocio que se puedan presentar ayudando a realizarle un seguimiento para lograr cerrar con éxito, registra casos de peticiones, quejas y reclamos.</w:t>
      </w:r>
    </w:p>
    <w:p w:rsidR="002B076D" w:rsidRPr="0069124D" w:rsidRDefault="002B076D" w:rsidP="002B076D">
      <w:pPr>
        <w:jc w:val="both"/>
        <w:rPr>
          <w:rStyle w:val="Textoennegrita"/>
          <w:rFonts w:ascii="Arial" w:hAnsi="Arial" w:cs="Arial"/>
        </w:rPr>
      </w:pPr>
      <w:r w:rsidRPr="0069124D">
        <w:rPr>
          <w:rStyle w:val="Textoennegrita"/>
          <w:rFonts w:ascii="Arial" w:hAnsi="Arial" w:cs="Arial"/>
        </w:rPr>
        <w:t>Seguridad</w:t>
      </w:r>
    </w:p>
    <w:p w:rsidR="002B076D" w:rsidRPr="0069124D" w:rsidRDefault="002B076D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Menú, Formas y Tablas, Roles, Usuarios, Seguridad Formas y Seguridad Menú.</w:t>
      </w:r>
    </w:p>
    <w:p w:rsidR="002B076D" w:rsidRPr="0069124D" w:rsidRDefault="002B076D" w:rsidP="002B076D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 xml:space="preserve">Gestión de usuarios autorizados para entrar al sistema </w:t>
      </w:r>
      <w:proofErr w:type="spellStart"/>
      <w:r w:rsidRPr="0069124D">
        <w:rPr>
          <w:rFonts w:ascii="Arial" w:eastAsia="Times New Roman" w:hAnsi="Arial" w:cs="Arial"/>
          <w:lang w:eastAsia="es-CO"/>
        </w:rPr>
        <w:t>Thellius</w:t>
      </w:r>
      <w:proofErr w:type="spellEnd"/>
      <w:r w:rsidRPr="0069124D">
        <w:rPr>
          <w:rFonts w:ascii="Arial" w:eastAsia="Times New Roman" w:hAnsi="Arial" w:cs="Arial"/>
          <w:lang w:eastAsia="es-CO"/>
        </w:rPr>
        <w:t>.</w:t>
      </w:r>
    </w:p>
    <w:p w:rsidR="002B076D" w:rsidRPr="0069124D" w:rsidRDefault="002B076D" w:rsidP="002B076D">
      <w:pPr>
        <w:pStyle w:val="Prrafodelista"/>
        <w:numPr>
          <w:ilvl w:val="0"/>
          <w:numId w:val="6"/>
        </w:numPr>
        <w:jc w:val="both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Se ha determinado dos niveles de seguridad para los usuarios del sistema. A nivel de forma y a nivel de menú.</w:t>
      </w:r>
    </w:p>
    <w:p w:rsidR="002B076D" w:rsidRPr="0069124D" w:rsidRDefault="002B076D" w:rsidP="002B076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Seguridad a nivel de forma permite tener control de acceso a los diferentes bloques de información que posea una forma.</w:t>
      </w:r>
    </w:p>
    <w:p w:rsidR="002B076D" w:rsidRPr="0069124D" w:rsidRDefault="002B076D" w:rsidP="002B076D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69124D">
        <w:rPr>
          <w:rFonts w:ascii="Arial" w:hAnsi="Arial" w:cs="Arial"/>
          <w:shd w:val="clear" w:color="auto" w:fill="FFFFFF"/>
        </w:rPr>
        <w:t>Seguridad a nivel de menú ayuda a controlar el acceso a la forma desde el menú principal</w:t>
      </w:r>
    </w:p>
    <w:p w:rsidR="002B076D" w:rsidRPr="0069124D" w:rsidRDefault="002B076D" w:rsidP="002B076D">
      <w:pPr>
        <w:jc w:val="both"/>
        <w:rPr>
          <w:rStyle w:val="Textoennegrita"/>
          <w:rFonts w:ascii="Arial" w:hAnsi="Arial" w:cs="Arial"/>
        </w:rPr>
      </w:pPr>
      <w:r w:rsidRPr="0069124D">
        <w:rPr>
          <w:rStyle w:val="Textoennegrita"/>
          <w:rFonts w:ascii="Arial" w:hAnsi="Arial" w:cs="Arial"/>
        </w:rPr>
        <w:t>Bascula</w:t>
      </w:r>
    </w:p>
    <w:p w:rsidR="002B076D" w:rsidRPr="0069124D" w:rsidRDefault="002B076D" w:rsidP="002B076D">
      <w:pPr>
        <w:jc w:val="both"/>
        <w:rPr>
          <w:rFonts w:ascii="Arial" w:hAnsi="Arial" w:cs="Arial"/>
        </w:rPr>
      </w:pPr>
      <w:r w:rsidRPr="0069124D">
        <w:rPr>
          <w:rFonts w:ascii="Arial" w:hAnsi="Arial" w:cs="Arial"/>
          <w:shd w:val="clear" w:color="auto" w:fill="FFFFFF"/>
        </w:rPr>
        <w:t>Entrada Vehículo, Salida Vehículo y Modificación de Viajes.</w:t>
      </w:r>
    </w:p>
    <w:p w:rsidR="002B076D" w:rsidRPr="0069124D" w:rsidRDefault="002B076D" w:rsidP="002B076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lastRenderedPageBreak/>
        <w:t>Entrada de Vehículos: Gestiona toda la información de entrada de carbón a los patios y la mina. Determina si es un ingreso por venta, por compra o por entrega de otra mina asociada.  Guarda la información del vehículo, conductor, proveedor, cliente, mina, contrato, tipo de carbón, pila destino, bascula, fecha, ciclo y peso.</w:t>
      </w:r>
    </w:p>
    <w:p w:rsidR="002B076D" w:rsidRPr="0069124D" w:rsidRDefault="002B076D" w:rsidP="002B076D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Vista rápida de los vehículos que se encuentran ingresados o en tránsito dentro de la mina o de los patios.</w:t>
      </w:r>
    </w:p>
    <w:p w:rsidR="002B076D" w:rsidRPr="0069124D" w:rsidRDefault="002B076D" w:rsidP="002B076D">
      <w:pPr>
        <w:pStyle w:val="Prrafodelista"/>
        <w:numPr>
          <w:ilvl w:val="0"/>
          <w:numId w:val="7"/>
        </w:numPr>
        <w:jc w:val="both"/>
        <w:rPr>
          <w:rFonts w:ascii="Arial" w:eastAsia="Times New Roman" w:hAnsi="Arial" w:cs="Arial"/>
          <w:lang w:eastAsia="es-CO"/>
        </w:rPr>
      </w:pPr>
      <w:r w:rsidRPr="0069124D">
        <w:rPr>
          <w:rFonts w:ascii="Arial" w:eastAsia="Times New Roman" w:hAnsi="Arial" w:cs="Arial"/>
          <w:lang w:eastAsia="es-CO"/>
        </w:rPr>
        <w:t>Salida de Vehículos: Gestiona toda la información de salida de carbón. Vista rápida de los vehículos que entraron a la mina y están listos para salir. La forma muestra toda la información del viaje que entro. Se guarda el peso de salida, se calcula el peso neto y la fecha.</w:t>
      </w:r>
    </w:p>
    <w:p w:rsidR="002B076D" w:rsidRPr="0069124D" w:rsidRDefault="002B076D" w:rsidP="002B076D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69124D">
        <w:rPr>
          <w:rFonts w:ascii="Arial" w:hAnsi="Arial" w:cs="Arial"/>
          <w:shd w:val="clear" w:color="auto" w:fill="FFFFFF"/>
        </w:rPr>
        <w:t>Forma administrativa para corregir la información de algún viaje registrado, con el fin de corregir errores en el momento de digitar la información. Solo personal autorizado puede acceder a esta opción.</w:t>
      </w:r>
    </w:p>
    <w:p w:rsidR="002B076D" w:rsidRPr="0069124D" w:rsidRDefault="007F3068" w:rsidP="002B076D">
      <w:pPr>
        <w:jc w:val="both"/>
        <w:rPr>
          <w:rFonts w:ascii="Arial" w:hAnsi="Arial" w:cs="Arial"/>
        </w:rPr>
      </w:pPr>
      <w:r w:rsidRPr="0069124D">
        <w:rPr>
          <w:rFonts w:ascii="Arial" w:hAnsi="Arial" w:cs="Arial"/>
          <w:noProof/>
          <w:lang w:eastAsia="es-CO"/>
        </w:rPr>
        <w:drawing>
          <wp:inline distT="0" distB="0" distL="0" distR="0" wp14:anchorId="4B132458" wp14:editId="38662ED1">
            <wp:extent cx="4552381" cy="4952381"/>
            <wp:effectExtent l="0" t="0" r="63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 xml:space="preserve">A partir de diferentes fuentes de información Mithra </w:t>
      </w:r>
      <w:proofErr w:type="spellStart"/>
      <w:r w:rsidRPr="0069124D">
        <w:rPr>
          <w:rFonts w:ascii="Arial" w:hAnsi="Arial" w:cs="Arial"/>
          <w:shd w:val="clear" w:color="auto" w:fill="FFFFFF"/>
        </w:rPr>
        <w:t>Reports</w:t>
      </w:r>
      <w:proofErr w:type="spellEnd"/>
      <w:r w:rsidRPr="0069124D">
        <w:rPr>
          <w:rFonts w:ascii="Arial" w:hAnsi="Arial" w:cs="Arial"/>
          <w:shd w:val="clear" w:color="auto" w:fill="FFFFFF"/>
        </w:rPr>
        <w:t xml:space="preserve"> es la herramienta que le permite extraer, consolidar y explosionar la información con el fin de dar soporte efectivo en la toma de decisiones.</w:t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lastRenderedPageBreak/>
        <w:t xml:space="preserve">Mithra </w:t>
      </w:r>
      <w:proofErr w:type="spellStart"/>
      <w:r w:rsidRPr="0069124D">
        <w:rPr>
          <w:rFonts w:ascii="Arial" w:hAnsi="Arial" w:cs="Arial"/>
          <w:shd w:val="clear" w:color="auto" w:fill="FFFFFF"/>
        </w:rPr>
        <w:t>Reports</w:t>
      </w:r>
      <w:proofErr w:type="spellEnd"/>
      <w:r w:rsidRPr="0069124D">
        <w:rPr>
          <w:rFonts w:ascii="Arial" w:hAnsi="Arial" w:cs="Arial"/>
          <w:shd w:val="clear" w:color="auto" w:fill="FFFFFF"/>
        </w:rPr>
        <w:t xml:space="preserve"> ofrece a las empresas la posibilidad de servir información de forma rápida y eficiente hacia sus Clientes, Proveedores, Socios de negocios y Empleados.</w:t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Haciendo uso de tecnologías de información y sin necesidad de ser experto, las compañías podrán crear Portales de Autoservicio y ofrecer Reportes de información desde los sistemas que soportan su gestión.</w:t>
      </w:r>
    </w:p>
    <w:p w:rsidR="007F3068" w:rsidRPr="000840DA" w:rsidRDefault="007F3068" w:rsidP="000840D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eastAsia="es-CO"/>
        </w:rPr>
      </w:pPr>
      <w:r w:rsidRPr="000840DA">
        <w:rPr>
          <w:rFonts w:ascii="Arial" w:eastAsia="Times New Roman" w:hAnsi="Arial" w:cs="Arial"/>
          <w:b/>
          <w:bCs/>
          <w:lang w:eastAsia="es-CO"/>
        </w:rPr>
        <w:t xml:space="preserve">Solución Mithra </w:t>
      </w:r>
      <w:proofErr w:type="spellStart"/>
      <w:r w:rsidRPr="000840DA">
        <w:rPr>
          <w:rFonts w:ascii="Arial" w:eastAsia="Times New Roman" w:hAnsi="Arial" w:cs="Arial"/>
          <w:b/>
          <w:bCs/>
          <w:lang w:eastAsia="es-CO"/>
        </w:rPr>
        <w:t>Reports</w:t>
      </w:r>
      <w:proofErr w:type="spellEnd"/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Permite atacar cualquier tipo de base de datos relacional y cuenta con las 5 fases fundamentales para el proceso de reportes y consultas:</w:t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Definición</w:t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>Definición de Consulta: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  <w:shd w:val="clear" w:color="auto" w:fill="FFFFFF"/>
        </w:rPr>
        <w:t>Capa de semántica que ayude a la elaboración de la consulta de forma grafica e intuitiva, de tal forma que no sea necesario amplio conocimiento de SQL.</w:t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Acceso datos</w:t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>Acceso a los Datos:</w:t>
      </w:r>
      <w:r w:rsidR="000840DA">
        <w:rPr>
          <w:rStyle w:val="Textoennegrita"/>
          <w:rFonts w:ascii="Arial" w:hAnsi="Arial" w:cs="Arial"/>
          <w:shd w:val="clear" w:color="auto" w:fill="FFFFFF"/>
        </w:rPr>
        <w:t xml:space="preserve"> </w:t>
      </w:r>
      <w:r w:rsidRPr="0069124D">
        <w:rPr>
          <w:rFonts w:ascii="Arial" w:hAnsi="Arial" w:cs="Arial"/>
          <w:shd w:val="clear" w:color="auto" w:fill="FFFFFF"/>
        </w:rPr>
        <w:t>Capa que permita la ejecución de la consulta y la recuperación de los datos.</w:t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Manipulación.</w:t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 xml:space="preserve">Manipulación y </w:t>
      </w:r>
      <w:r w:rsidR="000840DA" w:rsidRPr="0069124D">
        <w:rPr>
          <w:rStyle w:val="Textoennegrita"/>
          <w:rFonts w:ascii="Arial" w:hAnsi="Arial" w:cs="Arial"/>
          <w:shd w:val="clear" w:color="auto" w:fill="FFFFFF"/>
        </w:rPr>
        <w:t>Cálculo</w:t>
      </w:r>
      <w:r w:rsidRPr="0069124D">
        <w:rPr>
          <w:rFonts w:ascii="Arial" w:hAnsi="Arial" w:cs="Arial"/>
          <w:shd w:val="clear" w:color="auto" w:fill="FFFFFF"/>
        </w:rPr>
        <w:t>: Capa que permita establecer consultas por medio de operaciones entre los datos presentados.</w:t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Elaboración.</w:t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>Elaboración de Informes</w:t>
      </w:r>
      <w:r w:rsidRPr="0069124D">
        <w:rPr>
          <w:rFonts w:ascii="Arial" w:hAnsi="Arial" w:cs="Arial"/>
          <w:shd w:val="clear" w:color="auto" w:fill="FFFFFF"/>
        </w:rPr>
        <w:t>: Capa que permita presentar la información por medio de tablas formateadas o por medio de Graficas.</w:t>
      </w:r>
    </w:p>
    <w:p w:rsidR="007F3068" w:rsidRPr="0069124D" w:rsidRDefault="007F3068" w:rsidP="002B076D">
      <w:pPr>
        <w:jc w:val="both"/>
        <w:rPr>
          <w:rStyle w:val="Textoennegrita"/>
          <w:rFonts w:ascii="Arial" w:hAnsi="Arial" w:cs="Arial"/>
          <w:shd w:val="clear" w:color="auto" w:fill="FFFFFF"/>
        </w:rPr>
      </w:pPr>
      <w:r w:rsidRPr="0069124D">
        <w:rPr>
          <w:rFonts w:ascii="Arial" w:hAnsi="Arial" w:cs="Arial"/>
          <w:shd w:val="clear" w:color="auto" w:fill="FFFFFF"/>
        </w:rPr>
        <w:t>Liberación.</w:t>
      </w:r>
    </w:p>
    <w:p w:rsidR="007F3068" w:rsidRPr="0069124D" w:rsidRDefault="007F3068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>Liberación de Informes: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  <w:shd w:val="clear" w:color="auto" w:fill="FFFFFF"/>
        </w:rPr>
        <w:t>Capa que permita la publicación de los informes en la intranet o en internet.</w:t>
      </w:r>
    </w:p>
    <w:p w:rsidR="0041705D" w:rsidRPr="0069124D" w:rsidRDefault="0041705D" w:rsidP="002B076D">
      <w:pPr>
        <w:jc w:val="both"/>
        <w:rPr>
          <w:rFonts w:ascii="Arial" w:hAnsi="Arial" w:cs="Arial"/>
        </w:rPr>
      </w:pPr>
      <w:r w:rsidRPr="0069124D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431EE284" wp14:editId="12E4AC96">
            <wp:extent cx="5612130" cy="321691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5D" w:rsidRPr="0069124D" w:rsidRDefault="0041705D" w:rsidP="002B076D">
      <w:pPr>
        <w:jc w:val="both"/>
        <w:rPr>
          <w:rFonts w:ascii="Arial" w:hAnsi="Arial" w:cs="Arial"/>
        </w:rPr>
      </w:pPr>
      <w:bookmarkStart w:id="0" w:name="_GoBack"/>
      <w:r w:rsidRPr="0069124D">
        <w:rPr>
          <w:rFonts w:ascii="Arial" w:hAnsi="Arial" w:cs="Arial"/>
        </w:rPr>
        <w:t>Consultoría</w:t>
      </w:r>
    </w:p>
    <w:p w:rsidR="0041705D" w:rsidRPr="0069124D" w:rsidRDefault="0041705D" w:rsidP="002B076D">
      <w:pPr>
        <w:jc w:val="both"/>
        <w:rPr>
          <w:rFonts w:ascii="Arial" w:hAnsi="Arial" w:cs="Arial"/>
          <w:shd w:val="clear" w:color="auto" w:fill="FFFFFF"/>
        </w:rPr>
      </w:pPr>
      <w:r w:rsidRPr="0069124D">
        <w:rPr>
          <w:rStyle w:val="Textoennegrita"/>
          <w:rFonts w:ascii="Arial" w:hAnsi="Arial" w:cs="Arial"/>
          <w:shd w:val="clear" w:color="auto" w:fill="FFFFFF"/>
        </w:rPr>
        <w:t xml:space="preserve">Prime </w:t>
      </w:r>
      <w:proofErr w:type="spellStart"/>
      <w:r w:rsidRPr="0069124D">
        <w:rPr>
          <w:rStyle w:val="Textoennegrita"/>
          <w:rFonts w:ascii="Arial" w:hAnsi="Arial" w:cs="Arial"/>
          <w:shd w:val="clear" w:color="auto" w:fill="FFFFFF"/>
        </w:rPr>
        <w:t>Contractor</w:t>
      </w:r>
      <w:proofErr w:type="spellEnd"/>
      <w:r w:rsidRPr="0069124D">
        <w:rPr>
          <w:rFonts w:ascii="Arial" w:hAnsi="Arial" w:cs="Arial"/>
          <w:shd w:val="clear" w:color="auto" w:fill="FFFFFF"/>
        </w:rPr>
        <w:t>: Integrador de soluciones incluyendo licenciamiento, hardware, servicios profesionales y servicios de TI</w:t>
      </w:r>
      <w:r w:rsidRPr="0069124D">
        <w:rPr>
          <w:rFonts w:ascii="Arial" w:hAnsi="Arial" w:cs="Arial"/>
        </w:rPr>
        <w:br/>
      </w:r>
      <w:r w:rsidRPr="0069124D">
        <w:rPr>
          <w:rStyle w:val="Textoennegrita"/>
          <w:rFonts w:ascii="Arial" w:hAnsi="Arial" w:cs="Arial"/>
          <w:shd w:val="clear" w:color="auto" w:fill="FFFFFF"/>
        </w:rPr>
        <w:t>Consultoría Técnica</w:t>
      </w:r>
      <w:r w:rsidRPr="0069124D">
        <w:rPr>
          <w:rFonts w:ascii="Arial" w:hAnsi="Arial" w:cs="Arial"/>
          <w:shd w:val="clear" w:color="auto" w:fill="FFFFFF"/>
        </w:rPr>
        <w:t>: Especializados en desarrollos a la medida e interfaces con sistemas de soporte operativo.</w:t>
      </w:r>
      <w:r w:rsidRPr="0069124D">
        <w:rPr>
          <w:rStyle w:val="apple-converted-space"/>
          <w:rFonts w:ascii="Arial" w:hAnsi="Arial" w:cs="Arial"/>
          <w:shd w:val="clear" w:color="auto" w:fill="FFFFFF"/>
        </w:rPr>
        <w:t> </w:t>
      </w:r>
      <w:r w:rsidRPr="0069124D">
        <w:rPr>
          <w:rFonts w:ascii="Arial" w:hAnsi="Arial" w:cs="Arial"/>
        </w:rPr>
        <w:br/>
      </w:r>
      <w:r w:rsidRPr="0069124D">
        <w:rPr>
          <w:rStyle w:val="Textoennegrita"/>
          <w:rFonts w:ascii="Arial" w:hAnsi="Arial" w:cs="Arial"/>
          <w:shd w:val="clear" w:color="auto" w:fill="FFFFFF"/>
        </w:rPr>
        <w:t>Consultoría de IT</w:t>
      </w:r>
      <w:r w:rsidRPr="0069124D">
        <w:rPr>
          <w:rFonts w:ascii="Arial" w:hAnsi="Arial" w:cs="Arial"/>
          <w:shd w:val="clear" w:color="auto" w:fill="FFFFFF"/>
        </w:rPr>
        <w:t>: Consultoría especializada en diagnostico, elaboración, desarrollo y puesta en marcha de planes estratégicos de tecnología en organizaciones de la vertical de Energía y Carbón.</w:t>
      </w:r>
      <w:r w:rsidRPr="0069124D">
        <w:rPr>
          <w:rFonts w:ascii="Arial" w:hAnsi="Arial" w:cs="Arial"/>
        </w:rPr>
        <w:br/>
      </w:r>
      <w:r w:rsidRPr="0069124D">
        <w:rPr>
          <w:rStyle w:val="Textoennegrita"/>
          <w:rFonts w:ascii="Arial" w:hAnsi="Arial" w:cs="Arial"/>
          <w:shd w:val="clear" w:color="auto" w:fill="FFFFFF"/>
        </w:rPr>
        <w:t>Consultoría de negocios</w:t>
      </w:r>
      <w:r w:rsidRPr="0069124D">
        <w:rPr>
          <w:rFonts w:ascii="Arial" w:hAnsi="Arial" w:cs="Arial"/>
          <w:shd w:val="clear" w:color="auto" w:fill="FFFFFF"/>
        </w:rPr>
        <w:t>: Prestación de servicios de consultoría especializada en el área de gestión orientada a la vertical de Energía y Carbón, incluyendo asesoría sobre normatividad.</w:t>
      </w:r>
      <w:r w:rsidRPr="0069124D">
        <w:rPr>
          <w:rFonts w:ascii="Arial" w:hAnsi="Arial" w:cs="Arial"/>
        </w:rPr>
        <w:br/>
      </w:r>
      <w:r w:rsidRPr="0069124D">
        <w:rPr>
          <w:rStyle w:val="Textoennegrita"/>
          <w:rFonts w:ascii="Arial" w:hAnsi="Arial" w:cs="Arial"/>
          <w:shd w:val="clear" w:color="auto" w:fill="FFFFFF"/>
        </w:rPr>
        <w:t>Gestión de Proyectos</w:t>
      </w:r>
      <w:r w:rsidRPr="0069124D">
        <w:rPr>
          <w:rFonts w:ascii="Arial" w:hAnsi="Arial" w:cs="Arial"/>
          <w:shd w:val="clear" w:color="auto" w:fill="FFFFFF"/>
        </w:rPr>
        <w:t>: Dirección de proyectos de IT basados en metodologías alineadas con los estándares del PMI.</w:t>
      </w:r>
    </w:p>
    <w:bookmarkEnd w:id="0"/>
    <w:p w:rsidR="0040149D" w:rsidRPr="0069124D" w:rsidRDefault="0040149D" w:rsidP="002B076D">
      <w:pPr>
        <w:jc w:val="both"/>
        <w:rPr>
          <w:rFonts w:ascii="Arial" w:hAnsi="Arial" w:cs="Arial"/>
        </w:rPr>
      </w:pPr>
    </w:p>
    <w:sectPr w:rsidR="0040149D" w:rsidRPr="006912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A574D"/>
    <w:multiLevelType w:val="hybridMultilevel"/>
    <w:tmpl w:val="BCEE7E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EF3C99"/>
    <w:multiLevelType w:val="hybridMultilevel"/>
    <w:tmpl w:val="E82093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2103E8"/>
    <w:multiLevelType w:val="hybridMultilevel"/>
    <w:tmpl w:val="1FF0B9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2355CC"/>
    <w:multiLevelType w:val="hybridMultilevel"/>
    <w:tmpl w:val="6BBC64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404F6A"/>
    <w:multiLevelType w:val="hybridMultilevel"/>
    <w:tmpl w:val="F16413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D6E26"/>
    <w:multiLevelType w:val="hybridMultilevel"/>
    <w:tmpl w:val="E68650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040584"/>
    <w:multiLevelType w:val="hybridMultilevel"/>
    <w:tmpl w:val="76E6C8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2E42D1"/>
    <w:multiLevelType w:val="hybridMultilevel"/>
    <w:tmpl w:val="261433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823019"/>
    <w:multiLevelType w:val="hybridMultilevel"/>
    <w:tmpl w:val="D3CCE1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D24CAB"/>
    <w:multiLevelType w:val="hybridMultilevel"/>
    <w:tmpl w:val="F842C6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AE340A"/>
    <w:multiLevelType w:val="hybridMultilevel"/>
    <w:tmpl w:val="1D8CC8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AA01A6"/>
    <w:multiLevelType w:val="hybridMultilevel"/>
    <w:tmpl w:val="B87618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9032F0"/>
    <w:multiLevelType w:val="hybridMultilevel"/>
    <w:tmpl w:val="D7042B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9F4F52"/>
    <w:multiLevelType w:val="hybridMultilevel"/>
    <w:tmpl w:val="1D5839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61186A"/>
    <w:multiLevelType w:val="hybridMultilevel"/>
    <w:tmpl w:val="9C96AC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5E1E55"/>
    <w:multiLevelType w:val="hybridMultilevel"/>
    <w:tmpl w:val="925E93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14"/>
  </w:num>
  <w:num w:numId="6">
    <w:abstractNumId w:val="13"/>
  </w:num>
  <w:num w:numId="7">
    <w:abstractNumId w:val="15"/>
  </w:num>
  <w:num w:numId="8">
    <w:abstractNumId w:val="8"/>
  </w:num>
  <w:num w:numId="9">
    <w:abstractNumId w:val="3"/>
  </w:num>
  <w:num w:numId="10">
    <w:abstractNumId w:val="5"/>
  </w:num>
  <w:num w:numId="11">
    <w:abstractNumId w:val="0"/>
  </w:num>
  <w:num w:numId="12">
    <w:abstractNumId w:val="9"/>
  </w:num>
  <w:num w:numId="13">
    <w:abstractNumId w:val="7"/>
  </w:num>
  <w:num w:numId="14">
    <w:abstractNumId w:val="12"/>
  </w:num>
  <w:num w:numId="15">
    <w:abstractNumId w:val="1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E32"/>
    <w:rsid w:val="000840DA"/>
    <w:rsid w:val="00121E32"/>
    <w:rsid w:val="001B6F25"/>
    <w:rsid w:val="002B076D"/>
    <w:rsid w:val="003D0725"/>
    <w:rsid w:val="0040149D"/>
    <w:rsid w:val="0041705D"/>
    <w:rsid w:val="004A08D0"/>
    <w:rsid w:val="00540E8D"/>
    <w:rsid w:val="00584DA7"/>
    <w:rsid w:val="0069124D"/>
    <w:rsid w:val="007C406E"/>
    <w:rsid w:val="007F3068"/>
    <w:rsid w:val="00801DC6"/>
    <w:rsid w:val="00946416"/>
    <w:rsid w:val="00981A52"/>
    <w:rsid w:val="009C16A6"/>
    <w:rsid w:val="00A83797"/>
    <w:rsid w:val="00AB5213"/>
    <w:rsid w:val="00AD427B"/>
    <w:rsid w:val="00B64FBF"/>
    <w:rsid w:val="00C769C9"/>
    <w:rsid w:val="00CB014D"/>
    <w:rsid w:val="00FC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0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1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1E3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21E32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121E32"/>
  </w:style>
  <w:style w:type="character" w:styleId="Textoennegrita">
    <w:name w:val="Strong"/>
    <w:basedOn w:val="Fuentedeprrafopredeter"/>
    <w:uiPriority w:val="22"/>
    <w:qFormat/>
    <w:rsid w:val="00121E32"/>
    <w:rPr>
      <w:b/>
      <w:bCs/>
    </w:rPr>
  </w:style>
  <w:style w:type="paragraph" w:styleId="NormalWeb">
    <w:name w:val="Normal (Web)"/>
    <w:basedOn w:val="Normal"/>
    <w:uiPriority w:val="99"/>
    <w:unhideWhenUsed/>
    <w:rsid w:val="00121E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exgenampliotitul">
    <w:name w:val="texgenampliotitul"/>
    <w:basedOn w:val="Fuentedeprrafopredeter"/>
    <w:rsid w:val="00121E32"/>
  </w:style>
  <w:style w:type="character" w:customStyle="1" w:styleId="texgenamplink">
    <w:name w:val="texgenamplink"/>
    <w:basedOn w:val="Fuentedeprrafopredeter"/>
    <w:rsid w:val="00121E32"/>
  </w:style>
  <w:style w:type="character" w:styleId="Hipervnculo">
    <w:name w:val="Hyperlink"/>
    <w:basedOn w:val="Fuentedeprrafopredeter"/>
    <w:uiPriority w:val="99"/>
    <w:unhideWhenUsed/>
    <w:rsid w:val="00121E32"/>
    <w:rPr>
      <w:color w:val="0000FF"/>
      <w:u w:val="single"/>
    </w:rPr>
  </w:style>
  <w:style w:type="character" w:customStyle="1" w:styleId="texgen">
    <w:name w:val="texgen"/>
    <w:basedOn w:val="Fuentedeprrafopredeter"/>
    <w:rsid w:val="00121E32"/>
  </w:style>
  <w:style w:type="character" w:customStyle="1" w:styleId="style1">
    <w:name w:val="style1"/>
    <w:basedOn w:val="Fuentedeprrafopredeter"/>
    <w:rsid w:val="00540E8D"/>
  </w:style>
  <w:style w:type="character" w:customStyle="1" w:styleId="texgentitulo">
    <w:name w:val="texgentitulo"/>
    <w:basedOn w:val="Fuentedeprrafopredeter"/>
    <w:rsid w:val="00540E8D"/>
  </w:style>
  <w:style w:type="character" w:customStyle="1" w:styleId="texgenresaltado">
    <w:name w:val="texgenresaltado"/>
    <w:basedOn w:val="Fuentedeprrafopredeter"/>
    <w:rsid w:val="00540E8D"/>
  </w:style>
  <w:style w:type="character" w:customStyle="1" w:styleId="style4">
    <w:name w:val="style4"/>
    <w:basedOn w:val="Fuentedeprrafopredeter"/>
    <w:rsid w:val="003D07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0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1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1E3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21E32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121E32"/>
  </w:style>
  <w:style w:type="character" w:styleId="Textoennegrita">
    <w:name w:val="Strong"/>
    <w:basedOn w:val="Fuentedeprrafopredeter"/>
    <w:uiPriority w:val="22"/>
    <w:qFormat/>
    <w:rsid w:val="00121E32"/>
    <w:rPr>
      <w:b/>
      <w:bCs/>
    </w:rPr>
  </w:style>
  <w:style w:type="paragraph" w:styleId="NormalWeb">
    <w:name w:val="Normal (Web)"/>
    <w:basedOn w:val="Normal"/>
    <w:uiPriority w:val="99"/>
    <w:unhideWhenUsed/>
    <w:rsid w:val="00121E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exgenampliotitul">
    <w:name w:val="texgenampliotitul"/>
    <w:basedOn w:val="Fuentedeprrafopredeter"/>
    <w:rsid w:val="00121E32"/>
  </w:style>
  <w:style w:type="character" w:customStyle="1" w:styleId="texgenamplink">
    <w:name w:val="texgenamplink"/>
    <w:basedOn w:val="Fuentedeprrafopredeter"/>
    <w:rsid w:val="00121E32"/>
  </w:style>
  <w:style w:type="character" w:styleId="Hipervnculo">
    <w:name w:val="Hyperlink"/>
    <w:basedOn w:val="Fuentedeprrafopredeter"/>
    <w:uiPriority w:val="99"/>
    <w:unhideWhenUsed/>
    <w:rsid w:val="00121E32"/>
    <w:rPr>
      <w:color w:val="0000FF"/>
      <w:u w:val="single"/>
    </w:rPr>
  </w:style>
  <w:style w:type="character" w:customStyle="1" w:styleId="texgen">
    <w:name w:val="texgen"/>
    <w:basedOn w:val="Fuentedeprrafopredeter"/>
    <w:rsid w:val="00121E32"/>
  </w:style>
  <w:style w:type="character" w:customStyle="1" w:styleId="style1">
    <w:name w:val="style1"/>
    <w:basedOn w:val="Fuentedeprrafopredeter"/>
    <w:rsid w:val="00540E8D"/>
  </w:style>
  <w:style w:type="character" w:customStyle="1" w:styleId="texgentitulo">
    <w:name w:val="texgentitulo"/>
    <w:basedOn w:val="Fuentedeprrafopredeter"/>
    <w:rsid w:val="00540E8D"/>
  </w:style>
  <w:style w:type="character" w:customStyle="1" w:styleId="texgenresaltado">
    <w:name w:val="texgenresaltado"/>
    <w:basedOn w:val="Fuentedeprrafopredeter"/>
    <w:rsid w:val="00540E8D"/>
  </w:style>
  <w:style w:type="character" w:customStyle="1" w:styleId="style4">
    <w:name w:val="style4"/>
    <w:basedOn w:val="Fuentedeprrafopredeter"/>
    <w:rsid w:val="003D07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ontrol" Target="activeX/activeX2.xml"/><Relationship Id="rId18" Type="http://schemas.openxmlformats.org/officeDocument/2006/relationships/control" Target="activeX/activeX7.xml"/><Relationship Id="rId26" Type="http://schemas.openxmlformats.org/officeDocument/2006/relationships/hyperlink" Target="http://empsii.com/mithrapag/mithmodulos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7" Type="http://schemas.openxmlformats.org/officeDocument/2006/relationships/hyperlink" Target="http://www.acolgen.org.co/article.php?sid=2743" TargetMode="External"/><Relationship Id="rId12" Type="http://schemas.openxmlformats.org/officeDocument/2006/relationships/control" Target="activeX/activeX1.xml"/><Relationship Id="rId17" Type="http://schemas.openxmlformats.org/officeDocument/2006/relationships/control" Target="activeX/activeX6.xml"/><Relationship Id="rId25" Type="http://schemas.openxmlformats.org/officeDocument/2006/relationships/hyperlink" Target="http://empsii.com/mithrapag/mithmodulos.html" TargetMode="External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control" Target="activeX/activeX5.xml"/><Relationship Id="rId20" Type="http://schemas.openxmlformats.org/officeDocument/2006/relationships/image" Target="media/image7.jpeg"/><Relationship Id="rId29" Type="http://schemas.openxmlformats.org/officeDocument/2006/relationships/hyperlink" Target="http://empsii.com/mithrapag/mithmodulo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wmf"/><Relationship Id="rId24" Type="http://schemas.openxmlformats.org/officeDocument/2006/relationships/hyperlink" Target="http://empsii.com/mithrapag/mithmodulos.html" TargetMode="External"/><Relationship Id="rId32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control" Target="activeX/activeX4.xml"/><Relationship Id="rId23" Type="http://schemas.openxmlformats.org/officeDocument/2006/relationships/hyperlink" Target="http://empsii.com/mithrapag/mithmodulos.html" TargetMode="External"/><Relationship Id="rId28" Type="http://schemas.openxmlformats.org/officeDocument/2006/relationships/hyperlink" Target="http://empsii.com/mithrapag/mithmodulos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31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ontrol" Target="activeX/activeX3.xml"/><Relationship Id="rId22" Type="http://schemas.openxmlformats.org/officeDocument/2006/relationships/image" Target="media/image9.png"/><Relationship Id="rId27" Type="http://schemas.openxmlformats.org/officeDocument/2006/relationships/hyperlink" Target="http://empsii.com/mithrapag/mithmodulos.html" TargetMode="External"/><Relationship Id="rId30" Type="http://schemas.openxmlformats.org/officeDocument/2006/relationships/image" Target="media/image10.png"/><Relationship Id="rId35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22</Pages>
  <Words>3388</Words>
  <Characters>18634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rrivera</dc:creator>
  <cp:lastModifiedBy>rrivera</cp:lastModifiedBy>
  <cp:revision>8</cp:revision>
  <cp:lastPrinted>2013-03-15T15:17:00Z</cp:lastPrinted>
  <dcterms:created xsi:type="dcterms:W3CDTF">2012-11-20T13:20:00Z</dcterms:created>
  <dcterms:modified xsi:type="dcterms:W3CDTF">2013-03-15T22:19:00Z</dcterms:modified>
</cp:coreProperties>
</file>