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PROJECT REPORT</w:t>
      </w:r>
    </w:p>
    <w:p>
      <w:pPr>
        <w:spacing w:line="360" w:lineRule="auto"/>
        <w:jc w:val="both"/>
        <w:rPr>
          <w:rFonts w:hint="default" w:ascii="Times New Roman" w:hAnsi="Times New Roman" w:cs="Times New Roman"/>
          <w:b/>
          <w:bCs/>
          <w:sz w:val="24"/>
          <w:szCs w:val="24"/>
          <w:lang w:val="en-US"/>
        </w:rPr>
      </w:pPr>
    </w:p>
    <w:p>
      <w:pPr>
        <w:spacing w:line="360" w:lineRule="auto"/>
        <w:jc w:val="both"/>
        <w:rPr>
          <w:rFonts w:hint="default" w:ascii="Times New Roman" w:hAnsi="Times New Roman" w:eastAsia="Roboto" w:cs="Times New Roman"/>
          <w:color w:val="0F0F0F"/>
          <w:sz w:val="26"/>
          <w:szCs w:val="26"/>
          <w:lang w:val="en-US"/>
        </w:rPr>
      </w:pPr>
      <w:r>
        <w:rPr>
          <w:rFonts w:hint="default" w:ascii="Times New Roman" w:hAnsi="Times New Roman" w:eastAsia="Roboto" w:cs="Times New Roman"/>
          <w:color w:val="0F0F0F"/>
          <w:sz w:val="26"/>
          <w:szCs w:val="26"/>
          <w:lang w:val="en-US"/>
        </w:rPr>
        <w:t>The objective of this project is to</w:t>
      </w:r>
      <w:r>
        <w:rPr>
          <w:rFonts w:hint="default" w:ascii="Times New Roman" w:hAnsi="Times New Roman" w:eastAsia="Roboto" w:cs="Times New Roman"/>
          <w:color w:val="0F0F0F"/>
          <w:sz w:val="26"/>
          <w:szCs w:val="26"/>
        </w:rPr>
        <w:t xml:space="preserve"> analyze the ACMEs Superstore Sales </w:t>
      </w:r>
      <w:r>
        <w:rPr>
          <w:rFonts w:hint="default" w:ascii="Times New Roman" w:hAnsi="Times New Roman" w:eastAsia="Roboto" w:cs="Times New Roman"/>
          <w:color w:val="0F0F0F"/>
          <w:sz w:val="26"/>
          <w:szCs w:val="26"/>
          <w:lang w:val="en-US"/>
        </w:rPr>
        <w:t>data-set</w:t>
      </w:r>
      <w:r>
        <w:rPr>
          <w:rFonts w:hint="default" w:ascii="Times New Roman" w:hAnsi="Times New Roman" w:eastAsia="Roboto" w:cs="Times New Roman"/>
          <w:color w:val="0F0F0F"/>
          <w:sz w:val="26"/>
          <w:szCs w:val="26"/>
        </w:rPr>
        <w:t xml:space="preserve"> using SQL queries </w:t>
      </w:r>
      <w:r>
        <w:rPr>
          <w:rFonts w:hint="default" w:ascii="Times New Roman" w:hAnsi="Times New Roman" w:eastAsia="Roboto" w:cs="Times New Roman"/>
          <w:color w:val="0F0F0F"/>
          <w:sz w:val="26"/>
          <w:szCs w:val="26"/>
          <w:lang w:val="en-US"/>
        </w:rPr>
        <w:t xml:space="preserve">to </w:t>
      </w:r>
      <w:r>
        <w:rPr>
          <w:rFonts w:hint="default" w:ascii="Times New Roman" w:hAnsi="Times New Roman" w:eastAsia="Roboto" w:cs="Times New Roman"/>
          <w:color w:val="0F0F0F"/>
          <w:sz w:val="26"/>
          <w:szCs w:val="26"/>
        </w:rPr>
        <w:t>extract valuable</w:t>
      </w:r>
      <w:r>
        <w:rPr>
          <w:rFonts w:hint="default" w:ascii="Times New Roman" w:hAnsi="Times New Roman" w:eastAsia="Roboto" w:cs="Times New Roman"/>
          <w:color w:val="0F0F0F"/>
          <w:sz w:val="26"/>
          <w:szCs w:val="26"/>
          <w:lang w:val="en-US"/>
        </w:rPr>
        <w:t xml:space="preserve"> and</w:t>
      </w:r>
      <w:r>
        <w:rPr>
          <w:rFonts w:hint="default" w:ascii="Times New Roman" w:hAnsi="Times New Roman" w:eastAsia="Roboto" w:cs="Times New Roman"/>
          <w:color w:val="0F0F0F"/>
          <w:sz w:val="26"/>
          <w:szCs w:val="26"/>
        </w:rPr>
        <w:t xml:space="preserve"> insights related to sales performance, customer behavior, and product categori</w:t>
      </w:r>
      <w:r>
        <w:rPr>
          <w:rFonts w:hint="default" w:ascii="Times New Roman" w:hAnsi="Times New Roman" w:eastAsia="Roboto" w:cs="Times New Roman"/>
          <w:color w:val="0F0F0F"/>
          <w:sz w:val="26"/>
          <w:szCs w:val="26"/>
          <w:lang w:val="en-US"/>
        </w:rPr>
        <w:t>es.</w:t>
      </w:r>
    </w:p>
    <w:p>
      <w:pPr>
        <w:spacing w:line="360" w:lineRule="auto"/>
        <w:jc w:val="both"/>
        <w:rPr>
          <w:rFonts w:hint="default" w:ascii="Times New Roman" w:hAnsi="Times New Roman" w:eastAsia="Roboto" w:cs="Times New Roman"/>
          <w:color w:val="0F0F0F"/>
          <w:sz w:val="26"/>
          <w:szCs w:val="26"/>
          <w:lang w:val="en-US"/>
        </w:rPr>
      </w:pPr>
      <w:r>
        <w:rPr>
          <w:rFonts w:hint="default" w:ascii="Times New Roman" w:hAnsi="Times New Roman" w:eastAsia="Roboto" w:cs="Times New Roman"/>
          <w:color w:val="0F0F0F"/>
          <w:sz w:val="26"/>
          <w:szCs w:val="26"/>
          <w:lang w:val="en-US"/>
        </w:rPr>
        <w:t>The dataset contains data on order details of customers which includes;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Order ID: Unique identifier for each order, enabling tracking and analysis of individual transactions.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Customer ID: Unique identifier for each customer, allowing for customer-centric analysis and segmentation.</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Order Date: Date when the order was placed, providing insights into the temporal aspects of sales.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Ship Date: Date when the order was shipped, helping in analyzing order fulfillment timelines.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Ship Mode: Shipping mode for the order, indicating the delivery method chosen by the customer (e.g., standard, same-day).</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Segment: Customer segment categorization (e.g., Consumer, Corporate, Home Office), facilitating customer behavior analysis.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Region: Geographic region where the customer is located (e.g., West, Central, East), aiding in regional sales analysis.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Category: Product category classification (e.g., Furniture, Technology, Office Supplies), allowing for category-based analysis.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Sub-Category: More detailed classification of the product within a category (e.g., Chairs, Desktops, Paper).</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Product Name: Name of the specific product purchased, providing details about the items sold.</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Sales: Sales revenue generated by each product, a crucial metric for financial analysis.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Quantity: Number of units of each product purchased, offering insights into product demand.</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Discount: The discount applied to each product, influencing overall revenue and profit margins.</w:t>
      </w:r>
    </w:p>
    <w:p>
      <w:pPr>
        <w:pStyle w:val="5"/>
        <w:numPr>
          <w:ilvl w:val="0"/>
          <w:numId w:val="1"/>
        </w:numPr>
        <w:spacing w:line="360" w:lineRule="auto"/>
        <w:jc w:val="both"/>
        <w:rPr>
          <w:rFonts w:hint="default" w:ascii="Times New Roman" w:hAnsi="Times New Roman" w:eastAsia="Roboto" w:cs="Times New Roman"/>
          <w:color w:val="0F0F0F"/>
          <w:sz w:val="26"/>
          <w:szCs w:val="26"/>
        </w:rPr>
      </w:pPr>
      <w:r>
        <w:rPr>
          <w:rFonts w:hint="default" w:ascii="Times New Roman" w:hAnsi="Times New Roman" w:eastAsia="Roboto" w:cs="Times New Roman"/>
          <w:color w:val="0F0F0F"/>
          <w:sz w:val="26"/>
          <w:szCs w:val="26"/>
        </w:rPr>
        <w:t>Profit: The profit generated by each product, a key metric for evaluating business performance.</w:t>
      </w:r>
    </w:p>
    <w:p>
      <w:pPr>
        <w:pStyle w:val="5"/>
        <w:numPr>
          <w:numId w:val="0"/>
        </w:numPr>
        <w:spacing w:line="360" w:lineRule="auto"/>
        <w:jc w:val="both"/>
        <w:rPr>
          <w:rFonts w:hint="default" w:ascii="Times New Roman" w:hAnsi="Times New Roman" w:eastAsia="Roboto" w:cs="Times New Roman"/>
          <w:color w:val="0F0F0F"/>
          <w:sz w:val="26"/>
          <w:szCs w:val="26"/>
        </w:rPr>
      </w:pPr>
    </w:p>
    <w:p>
      <w:pPr>
        <w:pStyle w:val="5"/>
        <w:numPr>
          <w:numId w:val="0"/>
        </w:numPr>
        <w:spacing w:line="360" w:lineRule="auto"/>
        <w:contextualSpacing/>
        <w:jc w:val="center"/>
        <w:rPr>
          <w:rFonts w:hint="default" w:ascii="Times New Roman" w:hAnsi="Times New Roman" w:eastAsia="Roboto" w:cs="Times New Roman"/>
          <w:b/>
          <w:bCs/>
          <w:color w:val="0F0F0F"/>
          <w:sz w:val="28"/>
          <w:szCs w:val="28"/>
          <w:lang w:val="en-US"/>
        </w:rPr>
      </w:pPr>
      <w:r>
        <w:rPr>
          <w:rFonts w:hint="default" w:ascii="Times New Roman" w:hAnsi="Times New Roman" w:eastAsia="Roboto" w:cs="Times New Roman"/>
          <w:b/>
          <w:bCs/>
          <w:color w:val="0F0F0F"/>
          <w:sz w:val="28"/>
          <w:szCs w:val="28"/>
          <w:lang w:val="en-US"/>
        </w:rPr>
        <w:t>PROJECT METHODOLOGIES</w:t>
      </w:r>
    </w:p>
    <w:p>
      <w:pPr>
        <w:spacing w:line="360" w:lineRule="auto"/>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The methodologies used in this for this project are as follows;</w:t>
      </w:r>
    </w:p>
    <w:p>
      <w:pPr>
        <w:numPr>
          <w:ilvl w:val="0"/>
          <w:numId w:val="2"/>
        </w:numPr>
        <w:tabs>
          <w:tab w:val="clear" w:pos="425"/>
        </w:tabs>
        <w:spacing w:line="360" w:lineRule="auto"/>
        <w:ind w:left="720" w:leftChars="0" w:hanging="360" w:firstLineChars="0"/>
        <w:jc w:val="both"/>
        <w:rPr>
          <w:rFonts w:hint="default" w:ascii="Times New Roman" w:hAnsi="Times New Roman" w:cs="Times New Roman"/>
          <w:sz w:val="26"/>
          <w:szCs w:val="26"/>
        </w:rPr>
      </w:pPr>
      <w:r>
        <w:rPr>
          <w:rFonts w:hint="default" w:ascii="Times New Roman" w:hAnsi="Times New Roman" w:cs="Times New Roman"/>
          <w:b w:val="0"/>
          <w:bCs/>
          <w:sz w:val="26"/>
          <w:szCs w:val="26"/>
          <w:lang w:val="en-US"/>
        </w:rPr>
        <w:t xml:space="preserve">Data Exploration which is to get a general overview of the data by using SQL queries to perform basic descriptive statistics such as count, sum, average to </w:t>
      </w:r>
      <w:r>
        <w:rPr>
          <w:rFonts w:hint="default" w:ascii="Times New Roman" w:hAnsi="Times New Roman" w:cs="Times New Roman"/>
          <w:sz w:val="26"/>
          <w:szCs w:val="26"/>
        </w:rPr>
        <w:t>retrieve the total number of orders, customers, and products in the dataset</w:t>
      </w:r>
      <w:r>
        <w:rPr>
          <w:rFonts w:hint="default" w:ascii="Times New Roman" w:hAnsi="Times New Roman" w:cs="Times New Roman"/>
          <w:sz w:val="26"/>
          <w:szCs w:val="26"/>
          <w:lang w:val="en-US"/>
        </w:rPr>
        <w:t xml:space="preserve"> and to c</w:t>
      </w:r>
      <w:r>
        <w:rPr>
          <w:rFonts w:hint="default" w:ascii="Times New Roman" w:hAnsi="Times New Roman" w:cs="Times New Roman"/>
          <w:sz w:val="26"/>
          <w:szCs w:val="26"/>
        </w:rPr>
        <w:t>alculate and display the total sales, average discount, and profit for each product category.</w:t>
      </w:r>
    </w:p>
    <w:p>
      <w:pPr>
        <w:numPr>
          <w:ilvl w:val="0"/>
          <w:numId w:val="2"/>
        </w:numPr>
        <w:tabs>
          <w:tab w:val="clear" w:pos="425"/>
        </w:tabs>
        <w:spacing w:line="360" w:lineRule="auto"/>
        <w:ind w:left="720" w:leftChars="0" w:hanging="36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Data Analysis to answer specific business questions using SQL queries which includes </w:t>
      </w:r>
      <w:r>
        <w:rPr>
          <w:rFonts w:hint="default" w:ascii="Times New Roman" w:hAnsi="Times New Roman" w:cs="Times New Roman"/>
          <w:sz w:val="26"/>
          <w:szCs w:val="26"/>
        </w:rPr>
        <w:t>Identify</w:t>
      </w:r>
      <w:r>
        <w:rPr>
          <w:rFonts w:hint="default" w:ascii="Times New Roman" w:hAnsi="Times New Roman" w:cs="Times New Roman"/>
          <w:sz w:val="26"/>
          <w:szCs w:val="26"/>
          <w:lang w:val="en-US"/>
        </w:rPr>
        <w:t>ing</w:t>
      </w:r>
      <w:r>
        <w:rPr>
          <w:rFonts w:hint="default" w:ascii="Times New Roman" w:hAnsi="Times New Roman" w:cs="Times New Roman"/>
          <w:sz w:val="26"/>
          <w:szCs w:val="26"/>
        </w:rPr>
        <w:t xml:space="preserve"> the top 10 customers with the highest total sales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Calculat</w:t>
      </w:r>
      <w:r>
        <w:rPr>
          <w:rFonts w:hint="default" w:ascii="Times New Roman" w:hAnsi="Times New Roman" w:cs="Times New Roman"/>
          <w:sz w:val="26"/>
          <w:szCs w:val="26"/>
          <w:lang w:val="en-US"/>
        </w:rPr>
        <w:t>ing</w:t>
      </w:r>
      <w:r>
        <w:rPr>
          <w:rFonts w:hint="default" w:ascii="Times New Roman" w:hAnsi="Times New Roman" w:cs="Times New Roman"/>
          <w:sz w:val="26"/>
          <w:szCs w:val="26"/>
        </w:rPr>
        <w:t xml:space="preserve"> the average order value for each customer segment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Analyz</w:t>
      </w:r>
      <w:r>
        <w:rPr>
          <w:rFonts w:hint="default" w:ascii="Times New Roman" w:hAnsi="Times New Roman" w:cs="Times New Roman"/>
          <w:sz w:val="26"/>
          <w:szCs w:val="26"/>
          <w:lang w:val="en-US"/>
        </w:rPr>
        <w:t>ing</w:t>
      </w:r>
      <w:r>
        <w:rPr>
          <w:rFonts w:hint="default" w:ascii="Times New Roman" w:hAnsi="Times New Roman" w:cs="Times New Roman"/>
          <w:sz w:val="26"/>
          <w:szCs w:val="26"/>
        </w:rPr>
        <w:t xml:space="preserve"> the sales trend over time by displaying the monthly sales for each year in the dataset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Identify</w:t>
      </w:r>
      <w:r>
        <w:rPr>
          <w:rFonts w:hint="default" w:ascii="Times New Roman" w:hAnsi="Times New Roman" w:cs="Times New Roman"/>
          <w:sz w:val="26"/>
          <w:szCs w:val="26"/>
          <w:lang w:val="en-US"/>
        </w:rPr>
        <w:t>ing</w:t>
      </w:r>
      <w:r>
        <w:rPr>
          <w:rFonts w:hint="default" w:ascii="Times New Roman" w:hAnsi="Times New Roman" w:cs="Times New Roman"/>
          <w:sz w:val="26"/>
          <w:szCs w:val="26"/>
        </w:rPr>
        <w:t xml:space="preserve"> the month with the highest sales</w:t>
      </w:r>
      <w:r>
        <w:rPr>
          <w:rFonts w:hint="default" w:ascii="Times New Roman" w:hAnsi="Times New Roman" w:cs="Times New Roman"/>
          <w:sz w:val="26"/>
          <w:szCs w:val="26"/>
          <w:lang w:val="en-US"/>
        </w:rPr>
        <w:t>, D</w:t>
      </w:r>
      <w:r>
        <w:rPr>
          <w:rFonts w:hint="default" w:ascii="Times New Roman" w:hAnsi="Times New Roman" w:cs="Times New Roman"/>
          <w:sz w:val="26"/>
          <w:szCs w:val="26"/>
        </w:rPr>
        <w:t>etermin</w:t>
      </w:r>
      <w:r>
        <w:rPr>
          <w:rFonts w:hint="default" w:ascii="Times New Roman" w:hAnsi="Times New Roman" w:cs="Times New Roman"/>
          <w:sz w:val="26"/>
          <w:szCs w:val="26"/>
          <w:lang w:val="en-US"/>
        </w:rPr>
        <w:t>ing</w:t>
      </w:r>
      <w:r>
        <w:rPr>
          <w:rFonts w:hint="default" w:ascii="Times New Roman" w:hAnsi="Times New Roman" w:cs="Times New Roman"/>
          <w:sz w:val="26"/>
          <w:szCs w:val="26"/>
        </w:rPr>
        <w:t xml:space="preserve"> the top 5 best-selling products based on the quantity sold</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Calculat</w:t>
      </w:r>
      <w:r>
        <w:rPr>
          <w:rFonts w:hint="default" w:ascii="Times New Roman" w:hAnsi="Times New Roman" w:cs="Times New Roman"/>
          <w:sz w:val="26"/>
          <w:szCs w:val="26"/>
          <w:lang w:val="en-US"/>
        </w:rPr>
        <w:t>ing</w:t>
      </w:r>
      <w:r>
        <w:rPr>
          <w:rFonts w:hint="default" w:ascii="Times New Roman" w:hAnsi="Times New Roman" w:cs="Times New Roman"/>
          <w:sz w:val="26"/>
          <w:szCs w:val="26"/>
        </w:rPr>
        <w:t xml:space="preserve"> the profit margin for each product and display the results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Analyz</w:t>
      </w:r>
      <w:r>
        <w:rPr>
          <w:rFonts w:hint="default" w:ascii="Times New Roman" w:hAnsi="Times New Roman" w:cs="Times New Roman"/>
          <w:sz w:val="26"/>
          <w:szCs w:val="26"/>
          <w:lang w:val="en-US"/>
        </w:rPr>
        <w:t>ing</w:t>
      </w:r>
      <w:r>
        <w:rPr>
          <w:rFonts w:hint="default" w:ascii="Times New Roman" w:hAnsi="Times New Roman" w:cs="Times New Roman"/>
          <w:sz w:val="26"/>
          <w:szCs w:val="26"/>
        </w:rPr>
        <w:t xml:space="preserve"> the impact of discounts on sales and profit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Calculat</w:t>
      </w:r>
      <w:r>
        <w:rPr>
          <w:rFonts w:hint="default" w:ascii="Times New Roman" w:hAnsi="Times New Roman" w:cs="Times New Roman"/>
          <w:sz w:val="26"/>
          <w:szCs w:val="26"/>
          <w:lang w:val="en-US"/>
        </w:rPr>
        <w:t>ing</w:t>
      </w:r>
      <w:r>
        <w:rPr>
          <w:rFonts w:hint="default" w:ascii="Times New Roman" w:hAnsi="Times New Roman" w:cs="Times New Roman"/>
          <w:sz w:val="26"/>
          <w:szCs w:val="26"/>
        </w:rPr>
        <w:t xml:space="preserve"> the average discount for each product category</w:t>
      </w:r>
      <w:r>
        <w:rPr>
          <w:rFonts w:hint="default" w:ascii="Times New Roman" w:hAnsi="Times New Roman" w:cs="Times New Roman"/>
          <w:sz w:val="26"/>
          <w:szCs w:val="26"/>
          <w:lang w:val="en-US"/>
        </w:rPr>
        <w:t xml:space="preserve">, creating </w:t>
      </w:r>
      <w:r>
        <w:rPr>
          <w:rFonts w:hint="default" w:ascii="Times New Roman" w:hAnsi="Times New Roman" w:cs="Times New Roman"/>
          <w:sz w:val="26"/>
          <w:szCs w:val="26"/>
        </w:rPr>
        <w:t>a segmentation analysis by dividing customers into different groups based on their total purchases</w:t>
      </w:r>
      <w:r>
        <w:rPr>
          <w:rFonts w:hint="default" w:ascii="Times New Roman" w:hAnsi="Times New Roman" w:cs="Times New Roman"/>
          <w:sz w:val="26"/>
          <w:szCs w:val="26"/>
          <w:lang w:val="en-US"/>
        </w:rPr>
        <w:t xml:space="preserve"> and </w:t>
      </w:r>
      <w:r>
        <w:rPr>
          <w:rFonts w:hint="default" w:ascii="Times New Roman" w:hAnsi="Times New Roman" w:cs="Times New Roman"/>
          <w:sz w:val="26"/>
          <w:szCs w:val="26"/>
        </w:rPr>
        <w:t>Provide insights into the characteristics of each customer group.</w:t>
      </w:r>
    </w:p>
    <w:p>
      <w:pPr>
        <w:numPr>
          <w:numId w:val="0"/>
        </w:numPr>
        <w:spacing w:line="360" w:lineRule="auto"/>
        <w:jc w:val="both"/>
        <w:rPr>
          <w:rFonts w:hint="default" w:ascii="Times New Roman" w:hAnsi="Times New Roman" w:cs="Times New Roman"/>
          <w:sz w:val="26"/>
          <w:szCs w:val="26"/>
        </w:rPr>
      </w:pPr>
    </w:p>
    <w:p>
      <w:pPr>
        <w:numPr>
          <w:numId w:val="0"/>
        </w:num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ACTIONABLE INSIGHTS</w:t>
      </w:r>
    </w:p>
    <w:p>
      <w:pPr>
        <w:numPr>
          <w:numId w:val="0"/>
        </w:num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Based on the data analysis, I derived the following actionable insights</w:t>
      </w:r>
    </w:p>
    <w:p>
      <w:pPr>
        <w:numPr>
          <w:ilvl w:val="0"/>
          <w:numId w:val="3"/>
        </w:numPr>
        <w:tabs>
          <w:tab w:val="clear" w:pos="425"/>
        </w:tabs>
        <w:spacing w:line="360" w:lineRule="auto"/>
        <w:ind w:left="425" w:leftChars="0" w:hanging="425"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 average order value is higher for the customers who belong to the small business segment. Therefore we can target this segment with more personalized offers and promotion to increase their loyalty and retention.</w:t>
      </w:r>
    </w:p>
    <w:p>
      <w:pPr>
        <w:numPr>
          <w:ilvl w:val="0"/>
          <w:numId w:val="3"/>
        </w:numPr>
        <w:tabs>
          <w:tab w:val="clear" w:pos="425"/>
        </w:tabs>
        <w:spacing w:line="360" w:lineRule="auto"/>
        <w:ind w:left="425" w:leftChars="0" w:hanging="425" w:firstLineChars="0"/>
        <w:jc w:val="both"/>
        <w:rPr>
          <w:rFonts w:hint="default" w:ascii="Times New Roman" w:hAnsi="Times New Roman"/>
          <w:b w:val="0"/>
          <w:bCs w:val="0"/>
          <w:sz w:val="26"/>
          <w:szCs w:val="26"/>
          <w:lang w:val="en-US"/>
        </w:rPr>
      </w:pPr>
      <w:r>
        <w:rPr>
          <w:rFonts w:hint="default" w:ascii="Times New Roman" w:hAnsi="Times New Roman" w:cs="Times New Roman"/>
          <w:b w:val="0"/>
          <w:bCs w:val="0"/>
          <w:sz w:val="26"/>
          <w:szCs w:val="26"/>
          <w:lang w:val="en-US"/>
        </w:rPr>
        <w:t>The sales show a clear seasonal pattern, with the highest peak in April and June and the lowest dip in January and March as shown in the table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pPr>
              <w:numPr>
                <w:ilvl w:val="0"/>
                <w:numId w:val="0"/>
              </w:numPr>
              <w:spacing w:line="360" w:lineRule="auto"/>
              <w:jc w:val="both"/>
              <w:rPr>
                <w:rFonts w:hint="default" w:ascii="Times New Roman" w:hAnsi="Times New Roman"/>
                <w:b/>
                <w:bCs/>
                <w:sz w:val="26"/>
                <w:szCs w:val="26"/>
                <w:vertAlign w:val="baseline"/>
                <w:lang w:val="en-US"/>
              </w:rPr>
            </w:pPr>
            <w:r>
              <w:rPr>
                <w:rFonts w:hint="default" w:ascii="Times New Roman" w:hAnsi="Times New Roman"/>
                <w:b/>
                <w:bCs/>
                <w:sz w:val="26"/>
                <w:szCs w:val="26"/>
                <w:lang w:val="en-US"/>
              </w:rPr>
              <w:t>YEAR</w:t>
            </w:r>
          </w:p>
        </w:tc>
        <w:tc>
          <w:tcPr>
            <w:tcW w:w="2841" w:type="dxa"/>
          </w:tcPr>
          <w:p>
            <w:pPr>
              <w:numPr>
                <w:ilvl w:val="0"/>
                <w:numId w:val="0"/>
              </w:numPr>
              <w:spacing w:line="360" w:lineRule="auto"/>
              <w:jc w:val="both"/>
              <w:rPr>
                <w:rFonts w:hint="default" w:ascii="Times New Roman" w:hAnsi="Times New Roman"/>
                <w:b/>
                <w:bCs/>
                <w:sz w:val="26"/>
                <w:szCs w:val="26"/>
                <w:vertAlign w:val="baseline"/>
                <w:lang w:val="en-US"/>
              </w:rPr>
            </w:pPr>
            <w:r>
              <w:rPr>
                <w:rFonts w:hint="default" w:ascii="Times New Roman" w:hAnsi="Times New Roman"/>
                <w:b/>
                <w:bCs/>
                <w:sz w:val="26"/>
                <w:szCs w:val="26"/>
                <w:lang w:val="en-US"/>
              </w:rPr>
              <w:t xml:space="preserve"> MONTH</w:t>
            </w:r>
          </w:p>
        </w:tc>
        <w:tc>
          <w:tcPr>
            <w:tcW w:w="2841" w:type="dxa"/>
          </w:tcPr>
          <w:p>
            <w:pPr>
              <w:numPr>
                <w:ilvl w:val="0"/>
                <w:numId w:val="0"/>
              </w:numPr>
              <w:spacing w:line="360" w:lineRule="auto"/>
              <w:jc w:val="both"/>
              <w:rPr>
                <w:rFonts w:hint="default" w:ascii="Times New Roman" w:hAnsi="Times New Roman"/>
                <w:b/>
                <w:bCs/>
                <w:sz w:val="26"/>
                <w:szCs w:val="26"/>
                <w:vertAlign w:val="baseline"/>
                <w:lang w:val="en-US"/>
              </w:rPr>
            </w:pPr>
            <w:r>
              <w:rPr>
                <w:rFonts w:hint="default" w:ascii="Times New Roman" w:hAnsi="Times New Roman"/>
                <w:b/>
                <w:bCs/>
                <w:sz w:val="26"/>
                <w:szCs w:val="26"/>
                <w:lang w:val="en-US"/>
              </w:rPr>
              <w:t>MONTHLY_SALES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840"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2015</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4</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lang w:val="en-US"/>
              </w:rPr>
              <w:t>389831.946947813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2015</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6</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lang w:val="en-US"/>
              </w:rPr>
              <w:t>355368.799412251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2015</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2</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lang w:val="en-US"/>
              </w:rPr>
              <w:t>326101.469921827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2015</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5</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lang w:val="en-US"/>
              </w:rPr>
              <w:t>306572.071463108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2015</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1</w:t>
            </w:r>
          </w:p>
        </w:tc>
        <w:tc>
          <w:tcPr>
            <w:tcW w:w="2841" w:type="dxa"/>
          </w:tcPr>
          <w:p>
            <w:pPr>
              <w:numPr>
                <w:ilvl w:val="0"/>
                <w:numId w:val="0"/>
              </w:numPr>
              <w:spacing w:line="360" w:lineRule="auto"/>
              <w:ind w:leftChars="0"/>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lang w:val="en-US"/>
              </w:rPr>
              <w:t>274766.921662569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2015</w:t>
            </w:r>
          </w:p>
        </w:tc>
        <w:tc>
          <w:tcPr>
            <w:tcW w:w="2841" w:type="dxa"/>
          </w:tcPr>
          <w:p>
            <w:pPr>
              <w:numPr>
                <w:ilvl w:val="0"/>
                <w:numId w:val="0"/>
              </w:numPr>
              <w:spacing w:line="360" w:lineRule="auto"/>
              <w:jc w:val="both"/>
              <w:rPr>
                <w:rFonts w:hint="default" w:ascii="Times New Roman" w:hAnsi="Times New Roman"/>
                <w:b w:val="0"/>
                <w:bCs w:val="0"/>
                <w:sz w:val="26"/>
                <w:szCs w:val="26"/>
                <w:vertAlign w:val="baseline"/>
                <w:lang w:val="en-US"/>
              </w:rPr>
            </w:pPr>
            <w:r>
              <w:rPr>
                <w:rFonts w:hint="default" w:ascii="Times New Roman" w:hAnsi="Times New Roman"/>
                <w:b w:val="0"/>
                <w:bCs w:val="0"/>
                <w:sz w:val="26"/>
                <w:szCs w:val="26"/>
                <w:vertAlign w:val="baseline"/>
                <w:lang w:val="en-US"/>
              </w:rPr>
              <w:t>3</w:t>
            </w:r>
          </w:p>
        </w:tc>
        <w:tc>
          <w:tcPr>
            <w:tcW w:w="2841" w:type="dxa"/>
          </w:tcPr>
          <w:p>
            <w:pPr>
              <w:numPr>
                <w:ilvl w:val="0"/>
                <w:numId w:val="0"/>
              </w:numPr>
              <w:spacing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271696.67007494</w:t>
            </w:r>
          </w:p>
        </w:tc>
      </w:tr>
    </w:tbl>
    <w:p>
      <w:pPr>
        <w:numPr>
          <w:ilvl w:val="0"/>
          <w:numId w:val="3"/>
        </w:numPr>
        <w:tabs>
          <w:tab w:val="clear" w:pos="425"/>
        </w:tabs>
        <w:spacing w:line="360" w:lineRule="auto"/>
        <w:ind w:left="425" w:leftChars="0" w:hanging="425"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technology category has the highest total sales and the second highest total profit among all categories indicating a high demand and margin for this category. Therefore, we can invest more in this category and explore new opportunities and markets for technology products.</w:t>
      </w:r>
    </w:p>
    <w:p>
      <w:pPr>
        <w:numPr>
          <w:ilvl w:val="0"/>
          <w:numId w:val="3"/>
        </w:numPr>
        <w:tabs>
          <w:tab w:val="clear" w:pos="425"/>
        </w:tabs>
        <w:spacing w:line="360" w:lineRule="auto"/>
        <w:ind w:left="425" w:leftChars="0" w:hanging="425"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furniture category has the second highest total sales but the lowest total profit implying a low profitability and a high cost for the category. Therefore, we can review the pricing and cost strategy for furniture products and improve the customer satisfaction and retention in this category.</w:t>
      </w:r>
    </w:p>
    <w:p>
      <w:pPr>
        <w:numPr>
          <w:ilvl w:val="0"/>
          <w:numId w:val="3"/>
        </w:numPr>
        <w:tabs>
          <w:tab w:val="clear" w:pos="425"/>
        </w:tabs>
        <w:spacing w:line="360" w:lineRule="auto"/>
        <w:ind w:left="425" w:leftChars="0" w:hanging="425" w:firstLineChars="0"/>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The office supply category has the lowest total sales but the highest total profit suggesting high profitability and a low cost. Therefore , we can leverage this category as a cross-selling or up-selling opportunity by bundling it with other product or offering discount for bulk purchases.  </w:t>
      </w:r>
      <w:bookmarkStart w:id="0" w:name="_GoBack"/>
      <w:bookmarkEnd w:id="0"/>
    </w:p>
    <w:p>
      <w:pPr>
        <w:spacing w:line="360" w:lineRule="auto"/>
        <w:jc w:val="both"/>
        <w:rPr>
          <w:rFonts w:hint="default" w:ascii="Times New Roman" w:hAnsi="Times New Roman" w:eastAsia="Roboto" w:cs="Times New Roman"/>
          <w:color w:val="0F0F0F"/>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Roboto">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713F2"/>
    <w:multiLevelType w:val="singleLevel"/>
    <w:tmpl w:val="83F713F2"/>
    <w:lvl w:ilvl="0" w:tentative="0">
      <w:start w:val="1"/>
      <w:numFmt w:val="decimal"/>
      <w:lvlText w:val="%1)"/>
      <w:lvlJc w:val="left"/>
      <w:pPr>
        <w:tabs>
          <w:tab w:val="left" w:pos="425"/>
        </w:tabs>
        <w:ind w:left="425" w:leftChars="0" w:hanging="425" w:firstLineChars="0"/>
      </w:pPr>
      <w:rPr>
        <w:rFonts w:hint="default"/>
      </w:rPr>
    </w:lvl>
  </w:abstractNum>
  <w:abstractNum w:abstractNumId="1">
    <w:nsid w:val="082C3FED"/>
    <w:multiLevelType w:val="multilevel"/>
    <w:tmpl w:val="082C3F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C2654F4"/>
    <w:multiLevelType w:val="singleLevel"/>
    <w:tmpl w:val="5C2654F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64416"/>
    <w:rsid w:val="23E64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2024-03-02T13:55:00Z</dcterms:created>
  <dc:creator>EMMANUEL NWANGUMA</dc:creator>
  <cp:lastModifiedBy>EMMANUEL NWANGUMA</cp:lastModifiedBy>
  <dcterms:modified xsi:type="dcterms:W3CDTF">2024-03-02T15:07:29Z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CA740B3106DF414780FC800C5E609AF5_11</vt:lpwstr>
  </property>
</Properties>
</file>