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7B5" w:rsidRPr="00B127B5" w:rsidRDefault="00B127B5" w:rsidP="00B127B5">
      <w:pPr>
        <w:shd w:val="clear" w:color="auto" w:fill="FFFFFF"/>
        <w:spacing w:after="133" w:line="240" w:lineRule="auto"/>
        <w:outlineLvl w:val="0"/>
        <w:rPr>
          <w:rFonts w:ascii="BentonSans Light" w:eastAsia="Times New Roman" w:hAnsi="BentonSans Light" w:cs="Times New Roman"/>
          <w:b/>
          <w:bCs/>
          <w:color w:val="333E48"/>
          <w:kern w:val="36"/>
          <w:sz w:val="28"/>
          <w:szCs w:val="28"/>
          <w:u w:val="single"/>
        </w:rPr>
      </w:pPr>
      <w:r w:rsidRPr="00B127B5">
        <w:rPr>
          <w:rFonts w:ascii="BentonSans Light" w:eastAsia="Times New Roman" w:hAnsi="BentonSans Light" w:cs="Times New Roman"/>
          <w:b/>
          <w:bCs/>
          <w:color w:val="333E48"/>
          <w:kern w:val="36"/>
          <w:sz w:val="28"/>
          <w:szCs w:val="28"/>
          <w:u w:val="single"/>
        </w:rPr>
        <w:t xml:space="preserve">Related health care right articles </w:t>
      </w:r>
    </w:p>
    <w:p w:rsidR="00B127B5" w:rsidRDefault="00B127B5" w:rsidP="00B127B5">
      <w:pPr>
        <w:shd w:val="clear" w:color="auto" w:fill="FFFFFF"/>
        <w:spacing w:after="133" w:line="240" w:lineRule="auto"/>
        <w:outlineLvl w:val="0"/>
        <w:rPr>
          <w:rFonts w:ascii="BentonSans Light" w:eastAsia="Times New Roman" w:hAnsi="BentonSans Light" w:cs="Times New Roman"/>
          <w:color w:val="333E48"/>
          <w:kern w:val="36"/>
          <w:sz w:val="28"/>
          <w:szCs w:val="28"/>
        </w:rPr>
      </w:pPr>
      <w:r>
        <w:rPr>
          <w:rFonts w:ascii="BentonSans Light" w:eastAsia="Times New Roman" w:hAnsi="BentonSans Light" w:cs="Times New Roman"/>
          <w:color w:val="333E48"/>
          <w:kern w:val="36"/>
          <w:sz w:val="28"/>
          <w:szCs w:val="28"/>
        </w:rPr>
        <w:t xml:space="preserve">Source: </w:t>
      </w:r>
      <w:hyperlink r:id="rId5" w:history="1">
        <w:r>
          <w:rPr>
            <w:rStyle w:val="Hyperlink"/>
          </w:rPr>
          <w:t>https://www.advisory.com/daily-briefing/2018/10/25/health-index</w:t>
        </w:r>
      </w:hyperlink>
    </w:p>
    <w:p w:rsidR="00B127B5" w:rsidRPr="00B127B5" w:rsidRDefault="00B127B5" w:rsidP="00B127B5">
      <w:pPr>
        <w:shd w:val="clear" w:color="auto" w:fill="FFFFFF"/>
        <w:spacing w:after="133" w:line="240" w:lineRule="auto"/>
        <w:outlineLvl w:val="0"/>
        <w:rPr>
          <w:rFonts w:ascii="BentonSans Light" w:eastAsia="Times New Roman" w:hAnsi="BentonSans Light" w:cs="Times New Roman"/>
          <w:color w:val="333E48"/>
          <w:kern w:val="36"/>
          <w:sz w:val="28"/>
          <w:szCs w:val="28"/>
        </w:rPr>
      </w:pPr>
      <w:r w:rsidRPr="00B127B5">
        <w:rPr>
          <w:rFonts w:ascii="BentonSans Light" w:eastAsia="Times New Roman" w:hAnsi="BentonSans Light" w:cs="Times New Roman"/>
          <w:color w:val="333E48"/>
          <w:kern w:val="36"/>
          <w:sz w:val="28"/>
          <w:szCs w:val="28"/>
        </w:rPr>
        <w:t>The 100 cities 'getting health care right,' according to Healthgrades</w:t>
      </w:r>
    </w:p>
    <w:p w:rsidR="00C21AFC" w:rsidRDefault="00B127B5"/>
    <w:p w:rsidR="00B127B5" w:rsidRDefault="00B127B5"/>
    <w:p w:rsidR="00B127B5" w:rsidRDefault="00B127B5" w:rsidP="00B127B5">
      <w:pPr>
        <w:pStyle w:val="NormalWeb"/>
        <w:shd w:val="clear" w:color="auto" w:fill="FFFFFF"/>
        <w:spacing w:before="0" w:beforeAutospacing="0" w:after="300" w:afterAutospacing="0"/>
        <w:rPr>
          <w:rFonts w:ascii="Benton Sans" w:hAnsi="Benton Sans"/>
          <w:color w:val="333E48"/>
        </w:rPr>
      </w:pPr>
      <w:r>
        <w:rPr>
          <w:rStyle w:val="Strong"/>
          <w:rFonts w:ascii="BentonSans Regular" w:eastAsiaTheme="majorEastAsia" w:hAnsi="BentonSans Regular"/>
          <w:color w:val="333E48"/>
        </w:rPr>
        <w:t>Healthgrades</w:t>
      </w:r>
      <w:r>
        <w:rPr>
          <w:rFonts w:ascii="Benton Sans" w:hAnsi="Benton Sans"/>
          <w:color w:val="333E48"/>
        </w:rPr>
        <w:t> on Tuesday released its </w:t>
      </w:r>
      <w:hyperlink r:id="rId6" w:anchor="top-cities" w:history="1">
        <w:r>
          <w:rPr>
            <w:rStyle w:val="Hyperlink"/>
            <w:rFonts w:ascii="Benton Sans" w:hAnsi="Benton Sans"/>
            <w:color w:val="C8102E"/>
          </w:rPr>
          <w:t>National Health Index</w:t>
        </w:r>
      </w:hyperlink>
      <w:r>
        <w:rPr>
          <w:rFonts w:ascii="Benton Sans" w:hAnsi="Benton Sans"/>
          <w:color w:val="333E48"/>
        </w:rPr>
        <w:t>, which lists the 100 cities in the United States that are "getting health care right."</w:t>
      </w:r>
    </w:p>
    <w:p w:rsidR="00B127B5" w:rsidRDefault="00B127B5" w:rsidP="00B127B5">
      <w:pPr>
        <w:pStyle w:val="NormalWeb"/>
        <w:shd w:val="clear" w:color="auto" w:fill="FFFFFF"/>
        <w:spacing w:before="0" w:beforeAutospacing="0" w:after="300" w:afterAutospacing="0"/>
        <w:rPr>
          <w:rFonts w:ascii="Benton Sans" w:hAnsi="Benton Sans"/>
          <w:color w:val="333E48"/>
        </w:rPr>
      </w:pPr>
      <w:hyperlink r:id="rId7" w:history="1">
        <w:r>
          <w:rPr>
            <w:rStyle w:val="Strong"/>
            <w:rFonts w:ascii="BentonSans Regular" w:eastAsiaTheme="majorEastAsia" w:hAnsi="BentonSans Regular"/>
            <w:color w:val="C8102E"/>
          </w:rPr>
          <w:t>10 tools for prioritizing community health interventions </w:t>
        </w:r>
      </w:hyperlink>
    </w:p>
    <w:p w:rsidR="00B127B5" w:rsidRDefault="00B127B5" w:rsidP="00B127B5">
      <w:pPr>
        <w:pStyle w:val="NormalWeb"/>
        <w:shd w:val="clear" w:color="auto" w:fill="FFFFFF"/>
        <w:spacing w:before="0" w:beforeAutospacing="0" w:after="300" w:afterAutospacing="0"/>
        <w:rPr>
          <w:rFonts w:ascii="Benton Sans" w:hAnsi="Benton Sans"/>
          <w:color w:val="333E48"/>
        </w:rPr>
      </w:pPr>
      <w:r>
        <w:rPr>
          <w:rFonts w:ascii="Benton Sans" w:hAnsi="Benton Sans"/>
          <w:color w:val="333E48"/>
        </w:rPr>
        <w:t>Rochester, Minnesota, took the top spot.</w:t>
      </w:r>
    </w:p>
    <w:p w:rsidR="00B127B5" w:rsidRDefault="00B127B5" w:rsidP="00B127B5">
      <w:pPr>
        <w:pStyle w:val="Heading3"/>
        <w:shd w:val="clear" w:color="auto" w:fill="FFFFFF"/>
        <w:spacing w:before="0" w:after="150"/>
        <w:rPr>
          <w:rFonts w:ascii="BentonSans Regular" w:hAnsi="BentonSans Regular"/>
          <w:color w:val="445660"/>
          <w:sz w:val="30"/>
          <w:szCs w:val="30"/>
        </w:rPr>
      </w:pPr>
      <w:r>
        <w:rPr>
          <w:rStyle w:val="Strong"/>
          <w:rFonts w:ascii="BentonSans Regular" w:hAnsi="BentonSans Regular"/>
          <w:b w:val="0"/>
          <w:bCs w:val="0"/>
          <w:color w:val="445660"/>
          <w:sz w:val="30"/>
          <w:szCs w:val="30"/>
        </w:rPr>
        <w:t>Methodology</w:t>
      </w:r>
    </w:p>
    <w:p w:rsidR="00B127B5" w:rsidRPr="00B127B5" w:rsidRDefault="00B127B5" w:rsidP="00B127B5">
      <w:pPr>
        <w:pStyle w:val="NormalWeb"/>
        <w:shd w:val="clear" w:color="auto" w:fill="FFFFFF"/>
        <w:spacing w:before="0" w:beforeAutospacing="0" w:after="300" w:afterAutospacing="0"/>
        <w:rPr>
          <w:rFonts w:ascii="Benton Sans" w:hAnsi="Benton Sans"/>
          <w:color w:val="333E48"/>
        </w:rPr>
      </w:pPr>
      <w:r>
        <w:rPr>
          <w:rFonts w:ascii="Benton Sans" w:hAnsi="Benton Sans"/>
          <w:color w:val="333E48"/>
        </w:rPr>
        <w:t>For the list, Healthgrades looked at data on 130 metropolitan areas. Healthgrades examined four factors to determine each city's ranking:</w:t>
      </w:r>
    </w:p>
    <w:p w:rsidR="00B127B5" w:rsidRPr="00B127B5" w:rsidRDefault="00B127B5" w:rsidP="00B127B5">
      <w:pPr>
        <w:numPr>
          <w:ilvl w:val="0"/>
          <w:numId w:val="1"/>
        </w:numPr>
        <w:shd w:val="clear" w:color="auto" w:fill="FFFFFF"/>
        <w:spacing w:before="100" w:beforeAutospacing="1" w:after="100" w:afterAutospacing="1" w:line="240" w:lineRule="auto"/>
        <w:ind w:left="0"/>
        <w:rPr>
          <w:rFonts w:ascii="Benton Sans" w:eastAsia="Times New Roman" w:hAnsi="Benton Sans" w:cs="Times New Roman"/>
          <w:color w:val="333E48"/>
          <w:sz w:val="24"/>
          <w:szCs w:val="24"/>
        </w:rPr>
      </w:pPr>
      <w:r w:rsidRPr="00B127B5">
        <w:rPr>
          <w:rFonts w:ascii="Benton Sans" w:eastAsia="Times New Roman" w:hAnsi="Benton Sans" w:cs="Times New Roman"/>
          <w:color w:val="333E48"/>
          <w:sz w:val="24"/>
          <w:szCs w:val="24"/>
        </w:rPr>
        <w:t>Access to care—including what percentage of the city's population that has health care coverage, whether cost restricted people from seeing a doctor, and whether people ages 50 to 75 had a colonoscopy in the past 10 years;</w:t>
      </w:r>
    </w:p>
    <w:p w:rsidR="00B127B5" w:rsidRPr="00B127B5" w:rsidRDefault="00B127B5" w:rsidP="00B127B5">
      <w:pPr>
        <w:numPr>
          <w:ilvl w:val="0"/>
          <w:numId w:val="1"/>
        </w:numPr>
        <w:shd w:val="clear" w:color="auto" w:fill="FFFFFF"/>
        <w:spacing w:before="150" w:after="100" w:afterAutospacing="1" w:line="240" w:lineRule="auto"/>
        <w:ind w:left="0"/>
        <w:rPr>
          <w:rFonts w:ascii="Benton Sans" w:eastAsia="Times New Roman" w:hAnsi="Benton Sans" w:cs="Times New Roman"/>
          <w:color w:val="333E48"/>
          <w:sz w:val="24"/>
          <w:szCs w:val="24"/>
        </w:rPr>
      </w:pPr>
      <w:r w:rsidRPr="00B127B5">
        <w:rPr>
          <w:rFonts w:ascii="Benton Sans" w:eastAsia="Times New Roman" w:hAnsi="Benton Sans" w:cs="Times New Roman"/>
          <w:color w:val="333E48"/>
          <w:sz w:val="24"/>
          <w:szCs w:val="24"/>
        </w:rPr>
        <w:t>Population health—including what percentage of the city is in good or better health, what percentage has a "normal" body mass index, and what percentage of the population visited a dentist in the past year;</w:t>
      </w:r>
    </w:p>
    <w:p w:rsidR="00B127B5" w:rsidRPr="00B127B5" w:rsidRDefault="00B127B5" w:rsidP="00B127B5">
      <w:pPr>
        <w:numPr>
          <w:ilvl w:val="0"/>
          <w:numId w:val="1"/>
        </w:numPr>
        <w:shd w:val="clear" w:color="auto" w:fill="FFFFFF"/>
        <w:spacing w:before="150" w:after="100" w:afterAutospacing="1" w:line="240" w:lineRule="auto"/>
        <w:ind w:left="0"/>
        <w:rPr>
          <w:rFonts w:ascii="Benton Sans" w:eastAsia="Times New Roman" w:hAnsi="Benton Sans" w:cs="Times New Roman"/>
          <w:color w:val="333E48"/>
          <w:sz w:val="24"/>
          <w:szCs w:val="24"/>
        </w:rPr>
      </w:pPr>
      <w:r w:rsidRPr="00B127B5">
        <w:rPr>
          <w:rFonts w:ascii="Benton Sans" w:eastAsia="Times New Roman" w:hAnsi="Benton Sans" w:cs="Times New Roman"/>
          <w:color w:val="333E48"/>
          <w:sz w:val="24"/>
          <w:szCs w:val="24"/>
        </w:rPr>
        <w:t>Hospital quality—including the percentage of five-star hospitals across all quality ratings awarded in the market, how many hospitals demonstrated clinical excellence across multiple conditions and procedures, and the average statistical measure of clinical outcomes for hospitals in the market; and</w:t>
      </w:r>
    </w:p>
    <w:p w:rsidR="00B127B5" w:rsidRPr="00B127B5" w:rsidRDefault="00B127B5" w:rsidP="00B127B5">
      <w:pPr>
        <w:numPr>
          <w:ilvl w:val="0"/>
          <w:numId w:val="1"/>
        </w:numPr>
        <w:shd w:val="clear" w:color="auto" w:fill="FFFFFF"/>
        <w:spacing w:before="150" w:after="100" w:afterAutospacing="1" w:line="240" w:lineRule="auto"/>
        <w:ind w:left="0"/>
        <w:rPr>
          <w:rFonts w:ascii="Benton Sans" w:eastAsia="Times New Roman" w:hAnsi="Benton Sans" w:cs="Times New Roman"/>
          <w:color w:val="333E48"/>
          <w:sz w:val="24"/>
          <w:szCs w:val="24"/>
        </w:rPr>
      </w:pPr>
      <w:r w:rsidRPr="00B127B5">
        <w:rPr>
          <w:rFonts w:ascii="Benton Sans" w:eastAsia="Times New Roman" w:hAnsi="Benton Sans" w:cs="Times New Roman"/>
          <w:color w:val="333E48"/>
          <w:sz w:val="24"/>
          <w:szCs w:val="24"/>
        </w:rPr>
        <w:t>Local specialists—including the number of specialists per capita, specialists with an average Healthgrades Patient Experience Survey score of at least 4.5 out of five, and specialists with an average Healthgrades Patient Experience Survey score of five.</w:t>
      </w:r>
    </w:p>
    <w:p w:rsidR="00B127B5" w:rsidRDefault="00B127B5">
      <w:bookmarkStart w:id="0" w:name="_GoBack"/>
      <w:bookmarkEnd w:id="0"/>
    </w:p>
    <w:sectPr w:rsidR="00B1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ntonSans Light">
    <w:altName w:val="Cambria"/>
    <w:panose1 w:val="00000000000000000000"/>
    <w:charset w:val="00"/>
    <w:family w:val="roman"/>
    <w:notTrueType/>
    <w:pitch w:val="default"/>
  </w:font>
  <w:font w:name="BentonSans Regular">
    <w:altName w:val="Cambria"/>
    <w:panose1 w:val="00000000000000000000"/>
    <w:charset w:val="00"/>
    <w:family w:val="roman"/>
    <w:notTrueType/>
    <w:pitch w:val="default"/>
  </w:font>
  <w:font w:name="Benton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5A6D13"/>
    <w:multiLevelType w:val="multilevel"/>
    <w:tmpl w:val="8A86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2"/>
    <w:compatSetting w:name="useWord2013TrackBottomHyphenation" w:uri="http://schemas.microsoft.com/office/word" w:val="0"/>
  </w:compat>
  <w:rsids>
    <w:rsidRoot w:val="00B127B5"/>
    <w:rsid w:val="00523D49"/>
    <w:rsid w:val="00B127B5"/>
    <w:rsid w:val="00F0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37C5"/>
  <w15:chartTrackingRefBased/>
  <w15:docId w15:val="{0B0CA4E4-AEE1-46EE-BE76-66981B12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27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127B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7B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127B5"/>
    <w:rPr>
      <w:color w:val="0000FF"/>
      <w:u w:val="single"/>
    </w:rPr>
  </w:style>
  <w:style w:type="character" w:customStyle="1" w:styleId="Heading3Char">
    <w:name w:val="Heading 3 Char"/>
    <w:basedOn w:val="DefaultParagraphFont"/>
    <w:link w:val="Heading3"/>
    <w:uiPriority w:val="9"/>
    <w:semiHidden/>
    <w:rsid w:val="00B127B5"/>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B127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7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737226">
      <w:bodyDiv w:val="1"/>
      <w:marLeft w:val="0"/>
      <w:marRight w:val="0"/>
      <w:marTop w:val="0"/>
      <w:marBottom w:val="0"/>
      <w:divBdr>
        <w:top w:val="none" w:sz="0" w:space="0" w:color="auto"/>
        <w:left w:val="none" w:sz="0" w:space="0" w:color="auto"/>
        <w:bottom w:val="none" w:sz="0" w:space="0" w:color="auto"/>
        <w:right w:val="none" w:sz="0" w:space="0" w:color="auto"/>
      </w:divBdr>
    </w:div>
    <w:div w:id="403525780">
      <w:bodyDiv w:val="1"/>
      <w:marLeft w:val="0"/>
      <w:marRight w:val="0"/>
      <w:marTop w:val="0"/>
      <w:marBottom w:val="0"/>
      <w:divBdr>
        <w:top w:val="none" w:sz="0" w:space="0" w:color="auto"/>
        <w:left w:val="none" w:sz="0" w:space="0" w:color="auto"/>
        <w:bottom w:val="none" w:sz="0" w:space="0" w:color="auto"/>
        <w:right w:val="none" w:sz="0" w:space="0" w:color="auto"/>
      </w:divBdr>
    </w:div>
    <w:div w:id="181806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dvisory.com/research/population-health-advisor/research-briefings/2018/10-tools-for-prioritizing-community-health-interven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grades.com/quality/health-index/" TargetMode="External"/><Relationship Id="rId5" Type="http://schemas.openxmlformats.org/officeDocument/2006/relationships/hyperlink" Target="https://www.advisory.com/daily-briefing/2018/10/25/health-inde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Emawayish Haile</dc:creator>
  <cp:keywords/>
  <dc:description/>
  <cp:lastModifiedBy>Emawayish Haile</cp:lastModifiedBy>
  <cp:revision>1</cp:revision>
  <dcterms:created xsi:type="dcterms:W3CDTF">2019-06-27T03:22:00Z</dcterms:created>
  <dcterms:modified xsi:type="dcterms:W3CDTF">2019-06-27T03:25:00Z</dcterms:modified>
</cp:coreProperties>
</file>