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1F0F" w14:textId="1B1159AD" w:rsidR="00C21AFC" w:rsidRPr="00D52118" w:rsidRDefault="00FD666C">
      <w:pPr>
        <w:rPr>
          <w:rFonts w:ascii="Times New Roman" w:hAnsi="Times New Roman" w:cs="Times New Roman"/>
          <w:sz w:val="24"/>
          <w:szCs w:val="24"/>
        </w:rPr>
      </w:pPr>
      <w:r w:rsidRPr="00D52118">
        <w:rPr>
          <w:rFonts w:ascii="Times New Roman" w:hAnsi="Times New Roman" w:cs="Times New Roman"/>
          <w:sz w:val="24"/>
          <w:szCs w:val="24"/>
        </w:rPr>
        <w:t>Crude death rate indicates the number of deaths per 1,000 midyear population.</w:t>
      </w:r>
    </w:p>
    <w:p w14:paraId="4E68AD4A" w14:textId="6E6BACF5" w:rsidR="00FD666C" w:rsidRPr="00D52118" w:rsidRDefault="00FD666C">
      <w:pPr>
        <w:rPr>
          <w:rFonts w:ascii="Times New Roman" w:hAnsi="Times New Roman" w:cs="Times New Roman"/>
          <w:sz w:val="24"/>
          <w:szCs w:val="24"/>
        </w:rPr>
      </w:pPr>
      <w:r w:rsidRPr="00D52118">
        <w:rPr>
          <w:rFonts w:ascii="Times New Roman" w:hAnsi="Times New Roman" w:cs="Times New Roman"/>
          <w:sz w:val="24"/>
          <w:szCs w:val="24"/>
        </w:rPr>
        <w:t>Crude birth rate indicates the number of live births per 1,000 midyear population.</w:t>
      </w:r>
    </w:p>
    <w:p w14:paraId="4AC68095" w14:textId="77777777" w:rsidR="00D52118" w:rsidRPr="00D52118" w:rsidRDefault="00B445D7" w:rsidP="00D52118">
      <w:pPr>
        <w:pStyle w:val="ListParagraph"/>
        <w:numPr>
          <w:ilvl w:val="0"/>
          <w:numId w:val="1"/>
        </w:numPr>
        <w:rPr>
          <w:rFonts w:ascii="Times New Roman" w:hAnsi="Times New Roman" w:cs="Times New Roman"/>
          <w:sz w:val="24"/>
          <w:szCs w:val="24"/>
        </w:rPr>
      </w:pPr>
      <w:r w:rsidRPr="00D52118">
        <w:rPr>
          <w:rFonts w:ascii="Times New Roman" w:hAnsi="Times New Roman" w:cs="Times New Roman"/>
          <w:sz w:val="24"/>
          <w:szCs w:val="24"/>
        </w:rPr>
        <w:t xml:space="preserve">Subtracting Crude death rate from the Crude birth rate provides the rate of natural increase, </w:t>
      </w:r>
      <w:proofErr w:type="spellStart"/>
      <w:r w:rsidRPr="00D52118">
        <w:rPr>
          <w:rFonts w:ascii="Times New Roman" w:hAnsi="Times New Roman" w:cs="Times New Roman"/>
          <w:sz w:val="24"/>
          <w:szCs w:val="24"/>
        </w:rPr>
        <w:t>wich</w:t>
      </w:r>
      <w:proofErr w:type="spellEnd"/>
      <w:r w:rsidRPr="00D52118">
        <w:rPr>
          <w:rFonts w:ascii="Times New Roman" w:hAnsi="Times New Roman" w:cs="Times New Roman"/>
          <w:sz w:val="24"/>
          <w:szCs w:val="24"/>
        </w:rPr>
        <w:t xml:space="preserve"> is equal to the rate of population changes in the absence of migration.</w:t>
      </w:r>
    </w:p>
    <w:p w14:paraId="12857463" w14:textId="0D387AAA" w:rsidR="00B445D7" w:rsidRPr="00D52118" w:rsidRDefault="00B445D7" w:rsidP="00D52118">
      <w:pPr>
        <w:ind w:left="50"/>
        <w:rPr>
          <w:rFonts w:ascii="Times New Roman" w:hAnsi="Times New Roman" w:cs="Times New Roman"/>
        </w:rPr>
      </w:pPr>
      <w:r w:rsidRPr="00D52118">
        <w:rPr>
          <w:rFonts w:ascii="Times New Roman" w:eastAsia="Times New Roman" w:hAnsi="Times New Roman" w:cs="Times New Roman"/>
          <w:b/>
          <w:bCs/>
          <w:color w:val="101F28"/>
          <w:sz w:val="36"/>
          <w:szCs w:val="36"/>
        </w:rPr>
        <w:t>Current health expenditure (% of GDP)</w:t>
      </w:r>
    </w:p>
    <w:p w14:paraId="452EEA59" w14:textId="77777777" w:rsidR="00D52118" w:rsidRPr="00D52118" w:rsidRDefault="00B445D7" w:rsidP="00D52118">
      <w:pPr>
        <w:rPr>
          <w:rFonts w:ascii="Times New Roman" w:hAnsi="Times New Roman" w:cs="Times New Roman"/>
          <w:sz w:val="24"/>
          <w:szCs w:val="24"/>
        </w:rPr>
      </w:pPr>
      <w:r w:rsidRPr="00B445D7">
        <w:rPr>
          <w:rFonts w:ascii="Times New Roman" w:hAnsi="Times New Roman" w:cs="Times New Roman"/>
          <w:sz w:val="24"/>
          <w:szCs w:val="24"/>
        </w:rPr>
        <w:t xml:space="preserve">Level of current health expenditure expressed as a percentage of GDP. </w:t>
      </w:r>
    </w:p>
    <w:p w14:paraId="636AFB57" w14:textId="77777777" w:rsidR="00D52118" w:rsidRPr="00D52118" w:rsidRDefault="00B445D7" w:rsidP="00D52118">
      <w:pPr>
        <w:rPr>
          <w:rFonts w:ascii="Times New Roman" w:hAnsi="Times New Roman" w:cs="Times New Roman"/>
          <w:sz w:val="24"/>
          <w:szCs w:val="24"/>
        </w:rPr>
      </w:pPr>
      <w:r w:rsidRPr="00B445D7">
        <w:rPr>
          <w:rFonts w:ascii="Times New Roman" w:hAnsi="Times New Roman" w:cs="Times New Roman"/>
          <w:sz w:val="24"/>
          <w:szCs w:val="24"/>
        </w:rPr>
        <w:t xml:space="preserve">Estimates of current health expenditures include healthcare goods and services consumed during each year. </w:t>
      </w:r>
    </w:p>
    <w:p w14:paraId="24CEA799" w14:textId="33E14042" w:rsidR="00B445D7" w:rsidRPr="00B445D7" w:rsidRDefault="00B445D7" w:rsidP="00D52118">
      <w:pPr>
        <w:rPr>
          <w:rFonts w:ascii="Times New Roman" w:hAnsi="Times New Roman" w:cs="Times New Roman"/>
          <w:sz w:val="24"/>
          <w:szCs w:val="24"/>
        </w:rPr>
      </w:pPr>
      <w:r w:rsidRPr="00B445D7">
        <w:rPr>
          <w:rFonts w:ascii="Times New Roman" w:hAnsi="Times New Roman" w:cs="Times New Roman"/>
          <w:sz w:val="24"/>
          <w:szCs w:val="24"/>
        </w:rPr>
        <w:t>This indicator does not include capital health expenditures such as buildings, machinery, IT and stocks of vaccines for emergency or outbreaks</w:t>
      </w:r>
    </w:p>
    <w:p w14:paraId="39AEC2D8" w14:textId="270063D0" w:rsidR="00B445D7" w:rsidRPr="00D52118" w:rsidRDefault="00B445D7" w:rsidP="00B445D7">
      <w:pPr>
        <w:ind w:left="50"/>
        <w:rPr>
          <w:rFonts w:ascii="Times New Roman" w:hAnsi="Times New Roman" w:cs="Times New Roman"/>
        </w:rPr>
      </w:pPr>
    </w:p>
    <w:p w14:paraId="1071F0F0" w14:textId="6FFC21FD" w:rsidR="00B445D7" w:rsidRDefault="00B445D7" w:rsidP="00B445D7">
      <w:pPr>
        <w:pStyle w:val="Heading2"/>
        <w:spacing w:before="0" w:beforeAutospacing="0" w:after="0" w:afterAutospacing="0" w:line="420" w:lineRule="atLeast"/>
        <w:rPr>
          <w:color w:val="101F28"/>
        </w:rPr>
      </w:pPr>
      <w:r w:rsidRPr="00D52118">
        <w:rPr>
          <w:color w:val="101F28"/>
        </w:rPr>
        <w:t>Current health expenditure per capita, PPP (current international $)</w:t>
      </w:r>
    </w:p>
    <w:p w14:paraId="171207DF" w14:textId="77777777" w:rsidR="00D52118" w:rsidRDefault="00D52118" w:rsidP="00B445D7">
      <w:pPr>
        <w:pStyle w:val="description"/>
        <w:spacing w:before="0" w:beforeAutospacing="0" w:after="300" w:afterAutospacing="0"/>
        <w:rPr>
          <w:color w:val="50595E"/>
          <w:sz w:val="20"/>
          <w:szCs w:val="20"/>
        </w:rPr>
      </w:pPr>
    </w:p>
    <w:p w14:paraId="46FEEA93" w14:textId="5B6D9C4C" w:rsidR="00AC28F4" w:rsidRPr="00D52118" w:rsidRDefault="00B445D7" w:rsidP="00B445D7">
      <w:pPr>
        <w:pStyle w:val="description"/>
        <w:spacing w:before="0" w:beforeAutospacing="0" w:after="300" w:afterAutospacing="0"/>
        <w:rPr>
          <w:rFonts w:eastAsiaTheme="minorHAnsi"/>
        </w:rPr>
      </w:pPr>
      <w:r w:rsidRPr="00D52118">
        <w:rPr>
          <w:rFonts w:eastAsiaTheme="minorHAnsi"/>
        </w:rPr>
        <w:t>Current expenditures on health per capita expressed in international dollars at purchasing power parity (PPP).</w:t>
      </w:r>
    </w:p>
    <w:p w14:paraId="45C68208" w14:textId="77777777" w:rsidR="00AC28F4" w:rsidRPr="00AC28F4" w:rsidRDefault="003B6BBD" w:rsidP="00AC28F4">
      <w:pPr>
        <w:numPr>
          <w:ilvl w:val="0"/>
          <w:numId w:val="1"/>
        </w:numPr>
        <w:shd w:val="clear" w:color="auto" w:fill="FFFFFF"/>
        <w:spacing w:before="100" w:beforeAutospacing="1" w:after="24" w:line="240" w:lineRule="auto"/>
        <w:rPr>
          <w:rFonts w:ascii="Times New Roman" w:hAnsi="Times New Roman" w:cs="Times New Roman"/>
          <w:sz w:val="24"/>
          <w:szCs w:val="24"/>
        </w:rPr>
      </w:pPr>
      <w:hyperlink r:id="rId5" w:history="1">
        <w:r w:rsidR="00AC28F4" w:rsidRPr="00AC28F4">
          <w:rPr>
            <w:rFonts w:ascii="Times New Roman" w:hAnsi="Times New Roman" w:cs="Times New Roman"/>
            <w:sz w:val="24"/>
            <w:szCs w:val="24"/>
          </w:rPr>
          <w:t>Purchasing power parity</w:t>
        </w:r>
      </w:hyperlink>
      <w:r w:rsidR="00AC28F4" w:rsidRPr="00AC28F4">
        <w:rPr>
          <w:rFonts w:ascii="Times New Roman" w:hAnsi="Times New Roman" w:cs="Times New Roman"/>
          <w:sz w:val="24"/>
          <w:szCs w:val="24"/>
        </w:rPr>
        <w:t>, a component of some economic theories and is a technique used to determine the relative value of different currencies</w:t>
      </w:r>
    </w:p>
    <w:p w14:paraId="2BEA095E" w14:textId="0791422A" w:rsidR="00AC28F4" w:rsidRPr="00D52118" w:rsidRDefault="00AC28F4" w:rsidP="00AC28F4">
      <w:pPr>
        <w:pStyle w:val="description"/>
        <w:spacing w:before="0" w:beforeAutospacing="0" w:after="300" w:afterAutospacing="0"/>
        <w:ind w:left="410"/>
        <w:rPr>
          <w:color w:val="50595E"/>
          <w:sz w:val="20"/>
          <w:szCs w:val="20"/>
        </w:rPr>
      </w:pPr>
    </w:p>
    <w:p w14:paraId="2BD97DF5"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ID: </w:t>
      </w:r>
      <w:hyperlink r:id="rId6" w:history="1">
        <w:r w:rsidRPr="00B445D7">
          <w:rPr>
            <w:rFonts w:ascii="Times New Roman" w:hAnsi="Times New Roman" w:cs="Times New Roman"/>
            <w:sz w:val="24"/>
            <w:szCs w:val="24"/>
          </w:rPr>
          <w:t>SH.XPD.CHEX.PP.CD</w:t>
        </w:r>
      </w:hyperlink>
    </w:p>
    <w:p w14:paraId="51C1E948"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Source: World Health Organization Global Health Expenditure database ( </w:t>
      </w:r>
      <w:hyperlink r:id="rId7" w:history="1">
        <w:r w:rsidRPr="00B445D7">
          <w:rPr>
            <w:rFonts w:ascii="Times New Roman" w:hAnsi="Times New Roman" w:cs="Times New Roman"/>
            <w:sz w:val="24"/>
            <w:szCs w:val="24"/>
          </w:rPr>
          <w:t>apps.who.int/</w:t>
        </w:r>
        <w:proofErr w:type="spellStart"/>
        <w:r w:rsidRPr="00B445D7">
          <w:rPr>
            <w:rFonts w:ascii="Times New Roman" w:hAnsi="Times New Roman" w:cs="Times New Roman"/>
            <w:sz w:val="24"/>
            <w:szCs w:val="24"/>
          </w:rPr>
          <w:t>nha</w:t>
        </w:r>
        <w:proofErr w:type="spellEnd"/>
        <w:r w:rsidRPr="00B445D7">
          <w:rPr>
            <w:rFonts w:ascii="Times New Roman" w:hAnsi="Times New Roman" w:cs="Times New Roman"/>
            <w:sz w:val="24"/>
            <w:szCs w:val="24"/>
          </w:rPr>
          <w:t>/database</w:t>
        </w:r>
      </w:hyperlink>
      <w:r w:rsidRPr="00B445D7">
        <w:rPr>
          <w:rFonts w:ascii="Times New Roman" w:hAnsi="Times New Roman" w:cs="Times New Roman"/>
          <w:sz w:val="24"/>
          <w:szCs w:val="24"/>
        </w:rPr>
        <w:t> ).</w:t>
      </w:r>
    </w:p>
    <w:p w14:paraId="171F61B9"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License:  CC BY-4.0 </w:t>
      </w:r>
    </w:p>
    <w:p w14:paraId="29F4C5A2" w14:textId="29C4BDF2"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Aggregation Method: Weighted average</w:t>
      </w:r>
      <w:r w:rsidR="00D52118">
        <w:rPr>
          <w:rFonts w:ascii="Times New Roman" w:hAnsi="Times New Roman" w:cs="Times New Roman"/>
          <w:sz w:val="24"/>
          <w:szCs w:val="24"/>
        </w:rPr>
        <w:t xml:space="preserve"> </w:t>
      </w:r>
    </w:p>
    <w:p w14:paraId="2E4EA002"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 xml:space="preserve">Development Relevance: 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B445D7">
        <w:rPr>
          <w:rFonts w:ascii="Times New Roman" w:hAnsi="Times New Roman" w:cs="Times New Roman"/>
          <w:sz w:val="24"/>
          <w:szCs w:val="24"/>
        </w:rPr>
        <w:t>services</w:t>
      </w:r>
      <w:proofErr w:type="gramEnd"/>
      <w:r w:rsidRPr="00B445D7">
        <w:rPr>
          <w:rFonts w:ascii="Times New Roman" w:hAnsi="Times New Roman" w:cs="Times New Roman"/>
          <w:sz w:val="24"/>
          <w:szCs w:val="24"/>
        </w:rPr>
        <w:t xml:space="preserve"> they need without suffering financial hardship (SDG 3.8). The data on out-of-pocket spending is a key indicator </w:t>
      </w:r>
      <w:proofErr w:type="gramStart"/>
      <w:r w:rsidRPr="00B445D7">
        <w:rPr>
          <w:rFonts w:ascii="Times New Roman" w:hAnsi="Times New Roman" w:cs="Times New Roman"/>
          <w:sz w:val="24"/>
          <w:szCs w:val="24"/>
        </w:rPr>
        <w:t>with regard to</w:t>
      </w:r>
      <w:proofErr w:type="gramEnd"/>
      <w:r w:rsidRPr="00B445D7">
        <w:rPr>
          <w:rFonts w:ascii="Times New Roman" w:hAnsi="Times New Roman" w:cs="Times New Roman"/>
          <w:sz w:val="24"/>
          <w:szCs w:val="24"/>
        </w:rPr>
        <w:t xml:space="preserve"> financial protection and hence of progress towards UHC.</w:t>
      </w:r>
    </w:p>
    <w:p w14:paraId="195D437F"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hAnsi="Times New Roman" w:cs="Times New Roman"/>
          <w:sz w:val="24"/>
          <w:szCs w:val="24"/>
        </w:rPr>
      </w:pPr>
      <w:r w:rsidRPr="00B445D7">
        <w:rPr>
          <w:rFonts w:ascii="Times New Roman" w:hAnsi="Times New Roman" w:cs="Times New Roman"/>
          <w:sz w:val="24"/>
          <w:szCs w:val="24"/>
        </w:rPr>
        <w:t>Long Definition: Current expenditures on health per capita expressed in international dollars at purchasing power parity (PPP).</w:t>
      </w:r>
    </w:p>
    <w:p w14:paraId="29F31FA7"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eastAsia="Times New Roman" w:hAnsi="Times New Roman" w:cs="Times New Roman"/>
          <w:color w:val="50595E"/>
          <w:sz w:val="24"/>
          <w:szCs w:val="24"/>
        </w:rPr>
      </w:pPr>
      <w:proofErr w:type="spellStart"/>
      <w:r w:rsidRPr="00B445D7">
        <w:rPr>
          <w:rFonts w:ascii="Times New Roman" w:eastAsia="Times New Roman" w:hAnsi="Times New Roman" w:cs="Times New Roman"/>
          <w:b/>
          <w:bCs/>
          <w:color w:val="50595E"/>
          <w:sz w:val="24"/>
          <w:szCs w:val="24"/>
        </w:rPr>
        <w:lastRenderedPageBreak/>
        <w:t>Notesfromoriginalsource</w:t>
      </w:r>
      <w:proofErr w:type="spellEnd"/>
      <w:r w:rsidRPr="00B445D7">
        <w:rPr>
          <w:rFonts w:ascii="Times New Roman" w:eastAsia="Times New Roman" w:hAnsi="Times New Roman" w:cs="Times New Roman"/>
          <w:b/>
          <w:bCs/>
          <w:color w:val="50595E"/>
          <w:sz w:val="24"/>
          <w:szCs w:val="24"/>
        </w:rPr>
        <w:t>: </w:t>
      </w:r>
      <w:r w:rsidRPr="00B445D7">
        <w:rPr>
          <w:rFonts w:ascii="Times New Roman" w:eastAsia="Times New Roman" w:hAnsi="Times New Roman" w:cs="Times New Roman"/>
          <w:color w:val="50595E"/>
          <w:sz w:val="24"/>
          <w:szCs w:val="24"/>
        </w:rPr>
        <w:t>The World Health Organization (WHO) has revised health expenditure data using the new international classification for health expenditures in the revised System of Health Accounts (SHA 2011). WHO’s Global Health Expenditure Database in this new version is the reference source for health expenditure for international comparison imbedded in a standardized framework. The SHA 2011 clarifies the financing mechanisms and introduces new dimensions which improve the comparability of health expenditures in the perspective of universal health coverage.</w:t>
      </w:r>
    </w:p>
    <w:p w14:paraId="6F120C34"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eastAsia="Times New Roman" w:hAnsi="Times New Roman" w:cs="Times New Roman"/>
          <w:color w:val="50595E"/>
          <w:sz w:val="24"/>
          <w:szCs w:val="24"/>
        </w:rPr>
      </w:pPr>
      <w:r w:rsidRPr="00B445D7">
        <w:rPr>
          <w:rFonts w:ascii="Times New Roman" w:eastAsia="Times New Roman" w:hAnsi="Times New Roman" w:cs="Times New Roman"/>
          <w:b/>
          <w:bCs/>
          <w:color w:val="50595E"/>
          <w:sz w:val="24"/>
          <w:szCs w:val="24"/>
        </w:rPr>
        <w:t>Periodicity: </w:t>
      </w:r>
      <w:r w:rsidRPr="00B445D7">
        <w:rPr>
          <w:rFonts w:ascii="Times New Roman" w:eastAsia="Times New Roman" w:hAnsi="Times New Roman" w:cs="Times New Roman"/>
          <w:color w:val="50595E"/>
          <w:sz w:val="24"/>
          <w:szCs w:val="24"/>
        </w:rPr>
        <w:t>Annual</w:t>
      </w:r>
    </w:p>
    <w:p w14:paraId="226B0C1F"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eastAsia="Times New Roman" w:hAnsi="Times New Roman" w:cs="Times New Roman"/>
          <w:color w:val="50595E"/>
          <w:sz w:val="24"/>
          <w:szCs w:val="24"/>
        </w:rPr>
      </w:pPr>
      <w:r w:rsidRPr="00B445D7">
        <w:rPr>
          <w:rFonts w:ascii="Times New Roman" w:eastAsia="Times New Roman" w:hAnsi="Times New Roman" w:cs="Times New Roman"/>
          <w:b/>
          <w:bCs/>
          <w:color w:val="50595E"/>
          <w:sz w:val="24"/>
          <w:szCs w:val="24"/>
        </w:rPr>
        <w:t>Statistical Concept and Methodology: </w:t>
      </w:r>
      <w:r w:rsidRPr="00B445D7">
        <w:rPr>
          <w:rFonts w:ascii="Times New Roman" w:eastAsia="Times New Roman" w:hAnsi="Times New Roman" w:cs="Times New Roman"/>
          <w:color w:val="50595E"/>
          <w:sz w:val="24"/>
          <w:szCs w:val="24"/>
        </w:rPr>
        <w:t xml:space="preserve">The health expenditure estimates have been prepared by the World Health Organization under the framework of the System of Health Accounts 2011 (SHA 2011). The Health SHA 2011 tracks all health spending in a given country over a defined </w:t>
      </w:r>
      <w:proofErr w:type="gramStart"/>
      <w:r w:rsidRPr="00B445D7">
        <w:rPr>
          <w:rFonts w:ascii="Times New Roman" w:eastAsia="Times New Roman" w:hAnsi="Times New Roman" w:cs="Times New Roman"/>
          <w:color w:val="50595E"/>
          <w:sz w:val="24"/>
          <w:szCs w:val="24"/>
        </w:rPr>
        <w:t>period of time</w:t>
      </w:r>
      <w:proofErr w:type="gramEnd"/>
      <w:r w:rsidRPr="00B445D7">
        <w:rPr>
          <w:rFonts w:ascii="Times New Roman" w:eastAsia="Times New Roman" w:hAnsi="Times New Roman" w:cs="Times New Roman"/>
          <w:color w:val="50595E"/>
          <w:sz w:val="24"/>
          <w:szCs w:val="24"/>
        </w:rPr>
        <w:t xml:space="preserve"> regardless of the entity or institution that financed and managed that spending. It generates consistent and comprehensive data on health spending in a country, which in turn can contribute to evidence-based </w:t>
      </w:r>
      <w:proofErr w:type="gramStart"/>
      <w:r w:rsidRPr="00B445D7">
        <w:rPr>
          <w:rFonts w:ascii="Times New Roman" w:eastAsia="Times New Roman" w:hAnsi="Times New Roman" w:cs="Times New Roman"/>
          <w:color w:val="50595E"/>
          <w:sz w:val="24"/>
          <w:szCs w:val="24"/>
        </w:rPr>
        <w:t>policy-making</w:t>
      </w:r>
      <w:proofErr w:type="gramEnd"/>
      <w:r w:rsidRPr="00B445D7">
        <w:rPr>
          <w:rFonts w:ascii="Times New Roman" w:eastAsia="Times New Roman" w:hAnsi="Times New Roman" w:cs="Times New Roman"/>
          <w:color w:val="50595E"/>
          <w:sz w:val="24"/>
          <w:szCs w:val="24"/>
        </w:rPr>
        <w:t>.</w:t>
      </w:r>
    </w:p>
    <w:p w14:paraId="7FBCC405" w14:textId="77777777" w:rsidR="00B445D7" w:rsidRPr="00B445D7" w:rsidRDefault="00B445D7" w:rsidP="00B445D7">
      <w:pPr>
        <w:numPr>
          <w:ilvl w:val="0"/>
          <w:numId w:val="2"/>
        </w:numPr>
        <w:shd w:val="clear" w:color="auto" w:fill="F2F3F6"/>
        <w:spacing w:before="100" w:beforeAutospacing="1" w:after="100" w:afterAutospacing="1" w:line="240" w:lineRule="auto"/>
        <w:ind w:left="0"/>
        <w:rPr>
          <w:rFonts w:ascii="Times New Roman" w:eastAsia="Times New Roman" w:hAnsi="Times New Roman" w:cs="Times New Roman"/>
          <w:color w:val="50595E"/>
          <w:sz w:val="24"/>
          <w:szCs w:val="24"/>
        </w:rPr>
      </w:pPr>
      <w:r w:rsidRPr="00B445D7">
        <w:rPr>
          <w:rFonts w:ascii="Times New Roman" w:eastAsia="Times New Roman" w:hAnsi="Times New Roman" w:cs="Times New Roman"/>
          <w:b/>
          <w:bCs/>
          <w:color w:val="50595E"/>
          <w:sz w:val="24"/>
          <w:szCs w:val="24"/>
        </w:rPr>
        <w:t>Topic: </w:t>
      </w:r>
      <w:r w:rsidRPr="00B445D7">
        <w:rPr>
          <w:rFonts w:ascii="Times New Roman" w:eastAsia="Times New Roman" w:hAnsi="Times New Roman" w:cs="Times New Roman"/>
          <w:color w:val="50595E"/>
          <w:sz w:val="24"/>
          <w:szCs w:val="24"/>
        </w:rPr>
        <w:t>Health: Health systems</w:t>
      </w:r>
    </w:p>
    <w:p w14:paraId="5501E420" w14:textId="4156054C" w:rsidR="00B445D7" w:rsidRPr="00D52118" w:rsidRDefault="00B445D7" w:rsidP="00B445D7">
      <w:pPr>
        <w:ind w:left="50"/>
        <w:rPr>
          <w:rFonts w:ascii="Times New Roman" w:hAnsi="Times New Roman" w:cs="Times New Roman"/>
        </w:rPr>
      </w:pPr>
    </w:p>
    <w:p w14:paraId="1C160CF4" w14:textId="14FBA60A" w:rsidR="00AC28F4" w:rsidRPr="00D52118" w:rsidRDefault="00AC28F4" w:rsidP="00B445D7">
      <w:pPr>
        <w:ind w:left="50"/>
        <w:rPr>
          <w:rFonts w:ascii="Times New Roman" w:hAnsi="Times New Roman" w:cs="Times New Roman"/>
        </w:rPr>
      </w:pPr>
    </w:p>
    <w:p w14:paraId="151D865B" w14:textId="28B817CB" w:rsidR="00AC28F4" w:rsidRPr="00D52118" w:rsidRDefault="00AC28F4" w:rsidP="00B445D7">
      <w:pPr>
        <w:ind w:left="50"/>
        <w:rPr>
          <w:rFonts w:ascii="Times New Roman" w:hAnsi="Times New Roman" w:cs="Times New Roman"/>
        </w:rPr>
      </w:pPr>
    </w:p>
    <w:p w14:paraId="39758C35" w14:textId="6D908F57" w:rsidR="00AC28F4" w:rsidRPr="00D52118" w:rsidRDefault="00AC28F4" w:rsidP="00B445D7">
      <w:pPr>
        <w:ind w:left="50"/>
        <w:rPr>
          <w:rFonts w:ascii="Times New Roman" w:hAnsi="Times New Roman" w:cs="Times New Roman"/>
        </w:rPr>
      </w:pPr>
    </w:p>
    <w:p w14:paraId="5DD7DE63" w14:textId="3D7B5774" w:rsidR="00AC28F4" w:rsidRPr="00D52118" w:rsidRDefault="00AC28F4" w:rsidP="00B445D7">
      <w:pPr>
        <w:ind w:left="50"/>
        <w:rPr>
          <w:rFonts w:ascii="Times New Roman" w:hAnsi="Times New Roman" w:cs="Times New Roman"/>
        </w:rPr>
      </w:pPr>
    </w:p>
    <w:p w14:paraId="5F9BB97C" w14:textId="77777777" w:rsidR="00AC28F4" w:rsidRPr="00AC28F4" w:rsidRDefault="00AC28F4" w:rsidP="00AC28F4">
      <w:pPr>
        <w:spacing w:after="0" w:line="420" w:lineRule="atLeast"/>
        <w:outlineLvl w:val="1"/>
        <w:rPr>
          <w:rFonts w:ascii="Times New Roman" w:eastAsia="Times New Roman" w:hAnsi="Times New Roman" w:cs="Times New Roman"/>
          <w:b/>
          <w:bCs/>
          <w:color w:val="101F28"/>
          <w:sz w:val="36"/>
          <w:szCs w:val="36"/>
        </w:rPr>
      </w:pPr>
      <w:r w:rsidRPr="00AC28F4">
        <w:rPr>
          <w:rFonts w:ascii="Times New Roman" w:eastAsia="Times New Roman" w:hAnsi="Times New Roman" w:cs="Times New Roman"/>
          <w:b/>
          <w:bCs/>
          <w:color w:val="101F28"/>
          <w:sz w:val="36"/>
          <w:szCs w:val="36"/>
        </w:rPr>
        <w:t>Current health expenditure per capita (current US$)</w:t>
      </w:r>
    </w:p>
    <w:p w14:paraId="7427C227" w14:textId="77777777" w:rsidR="00AC28F4" w:rsidRPr="00AC28F4" w:rsidRDefault="00AC28F4" w:rsidP="00AC28F4">
      <w:pPr>
        <w:spacing w:after="300" w:line="240" w:lineRule="auto"/>
        <w:rPr>
          <w:rFonts w:ascii="Times New Roman" w:eastAsia="Times New Roman" w:hAnsi="Times New Roman" w:cs="Times New Roman"/>
          <w:color w:val="50595E"/>
          <w:sz w:val="24"/>
          <w:szCs w:val="24"/>
        </w:rPr>
      </w:pPr>
      <w:r w:rsidRPr="00AC28F4">
        <w:rPr>
          <w:rFonts w:ascii="Times New Roman" w:eastAsia="Times New Roman" w:hAnsi="Times New Roman" w:cs="Times New Roman"/>
          <w:color w:val="50595E"/>
          <w:sz w:val="24"/>
          <w:szCs w:val="24"/>
        </w:rPr>
        <w:t>Current expenditures on health per capita in current US dollars. Estimates of current health expenditures include healthcare goods and services consumed during each year.</w:t>
      </w:r>
    </w:p>
    <w:p w14:paraId="51AD98D7" w14:textId="4B273B6A" w:rsidR="00AC28F4" w:rsidRDefault="00AC28F4" w:rsidP="00AC28F4">
      <w:pPr>
        <w:numPr>
          <w:ilvl w:val="0"/>
          <w:numId w:val="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Development Relevance: </w:t>
      </w:r>
      <w:r w:rsidRPr="00AC28F4">
        <w:rPr>
          <w:rFonts w:ascii="Times New Roman" w:eastAsia="Times New Roman" w:hAnsi="Times New Roman" w:cs="Times New Roman"/>
          <w:color w:val="50595E"/>
          <w:sz w:val="20"/>
          <w:szCs w:val="20"/>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AC28F4">
        <w:rPr>
          <w:rFonts w:ascii="Times New Roman" w:eastAsia="Times New Roman" w:hAnsi="Times New Roman" w:cs="Times New Roman"/>
          <w:color w:val="50595E"/>
          <w:sz w:val="20"/>
          <w:szCs w:val="20"/>
        </w:rPr>
        <w:t>services</w:t>
      </w:r>
      <w:proofErr w:type="gramEnd"/>
      <w:r w:rsidRPr="00AC28F4">
        <w:rPr>
          <w:rFonts w:ascii="Times New Roman" w:eastAsia="Times New Roman" w:hAnsi="Times New Roman" w:cs="Times New Roman"/>
          <w:color w:val="50595E"/>
          <w:sz w:val="20"/>
          <w:szCs w:val="20"/>
        </w:rPr>
        <w:t xml:space="preserve"> they need without suffering financial hardship (SDG 3.8). The data on out-of-pocket spending is a key indicator </w:t>
      </w:r>
      <w:proofErr w:type="gramStart"/>
      <w:r w:rsidRPr="00AC28F4">
        <w:rPr>
          <w:rFonts w:ascii="Times New Roman" w:eastAsia="Times New Roman" w:hAnsi="Times New Roman" w:cs="Times New Roman"/>
          <w:color w:val="50595E"/>
          <w:sz w:val="20"/>
          <w:szCs w:val="20"/>
        </w:rPr>
        <w:t>with regard to</w:t>
      </w:r>
      <w:proofErr w:type="gramEnd"/>
      <w:r w:rsidRPr="00AC28F4">
        <w:rPr>
          <w:rFonts w:ascii="Times New Roman" w:eastAsia="Times New Roman" w:hAnsi="Times New Roman" w:cs="Times New Roman"/>
          <w:color w:val="50595E"/>
          <w:sz w:val="20"/>
          <w:szCs w:val="20"/>
        </w:rPr>
        <w:t xml:space="preserve"> financial protection and hence of progress towards UHC.</w:t>
      </w:r>
    </w:p>
    <w:p w14:paraId="3B1F20A2" w14:textId="77777777" w:rsidR="00A90F1C" w:rsidRPr="00AC28F4" w:rsidRDefault="00A90F1C" w:rsidP="00AC28F4">
      <w:pPr>
        <w:numPr>
          <w:ilvl w:val="0"/>
          <w:numId w:val="3"/>
        </w:numPr>
        <w:spacing w:before="100" w:beforeAutospacing="1" w:after="100" w:afterAutospacing="1" w:line="240" w:lineRule="auto"/>
        <w:ind w:left="600"/>
        <w:rPr>
          <w:rFonts w:ascii="Times New Roman" w:eastAsia="Times New Roman" w:hAnsi="Times New Roman" w:cs="Times New Roman"/>
          <w:color w:val="50595E"/>
          <w:sz w:val="20"/>
          <w:szCs w:val="20"/>
        </w:rPr>
      </w:pPr>
    </w:p>
    <w:p w14:paraId="0BCD4680" w14:textId="77777777" w:rsidR="00AC28F4" w:rsidRPr="00AC28F4" w:rsidRDefault="00AC28F4" w:rsidP="00AC28F4">
      <w:pPr>
        <w:numPr>
          <w:ilvl w:val="0"/>
          <w:numId w:val="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Long Definition: </w:t>
      </w:r>
      <w:r w:rsidRPr="00AC28F4">
        <w:rPr>
          <w:rFonts w:ascii="Times New Roman" w:eastAsia="Times New Roman" w:hAnsi="Times New Roman" w:cs="Times New Roman"/>
          <w:color w:val="50595E"/>
          <w:sz w:val="20"/>
          <w:szCs w:val="20"/>
        </w:rPr>
        <w:t>Current expenditures on health per capita in current US dollars. Estimates of current health expenditures include healthcare goods and services consumed during each year.</w:t>
      </w:r>
    </w:p>
    <w:p w14:paraId="25B45400" w14:textId="77777777" w:rsidR="00AC28F4" w:rsidRPr="00AC28F4" w:rsidRDefault="00AC28F4" w:rsidP="00AC28F4">
      <w:pPr>
        <w:numPr>
          <w:ilvl w:val="0"/>
          <w:numId w:val="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Statistical Concept and Methodology: </w:t>
      </w:r>
      <w:r w:rsidRPr="00AC28F4">
        <w:rPr>
          <w:rFonts w:ascii="Times New Roman" w:eastAsia="Times New Roman" w:hAnsi="Times New Roman" w:cs="Times New Roman"/>
          <w:color w:val="50595E"/>
          <w:sz w:val="20"/>
          <w:szCs w:val="20"/>
        </w:rPr>
        <w:t xml:space="preserve">The health expenditure estimates have been prepared by the World Health Organization under the framework of the System of Health Accounts 2011 (SHA 2011). The Health SHA 2011 tracks all health spending in a given country over a defined </w:t>
      </w:r>
      <w:proofErr w:type="gramStart"/>
      <w:r w:rsidRPr="00AC28F4">
        <w:rPr>
          <w:rFonts w:ascii="Times New Roman" w:eastAsia="Times New Roman" w:hAnsi="Times New Roman" w:cs="Times New Roman"/>
          <w:color w:val="50595E"/>
          <w:sz w:val="20"/>
          <w:szCs w:val="20"/>
        </w:rPr>
        <w:t>period of time</w:t>
      </w:r>
      <w:proofErr w:type="gramEnd"/>
      <w:r w:rsidRPr="00AC28F4">
        <w:rPr>
          <w:rFonts w:ascii="Times New Roman" w:eastAsia="Times New Roman" w:hAnsi="Times New Roman" w:cs="Times New Roman"/>
          <w:color w:val="50595E"/>
          <w:sz w:val="20"/>
          <w:szCs w:val="20"/>
        </w:rPr>
        <w:t xml:space="preserve"> regardless of the entity or institution that financed and managed that spending. It generates consistent and comprehensive data on health spending in a country, which in turn can contribute to evidence-based </w:t>
      </w:r>
      <w:proofErr w:type="gramStart"/>
      <w:r w:rsidRPr="00AC28F4">
        <w:rPr>
          <w:rFonts w:ascii="Times New Roman" w:eastAsia="Times New Roman" w:hAnsi="Times New Roman" w:cs="Times New Roman"/>
          <w:color w:val="50595E"/>
          <w:sz w:val="20"/>
          <w:szCs w:val="20"/>
        </w:rPr>
        <w:t>policy-making</w:t>
      </w:r>
      <w:proofErr w:type="gramEnd"/>
      <w:r w:rsidRPr="00AC28F4">
        <w:rPr>
          <w:rFonts w:ascii="Times New Roman" w:eastAsia="Times New Roman" w:hAnsi="Times New Roman" w:cs="Times New Roman"/>
          <w:color w:val="50595E"/>
          <w:sz w:val="20"/>
          <w:szCs w:val="20"/>
        </w:rPr>
        <w:t>.</w:t>
      </w:r>
    </w:p>
    <w:p w14:paraId="3FD6CEAA" w14:textId="3ED31C59" w:rsidR="00AC28F4" w:rsidRPr="00D52118" w:rsidRDefault="00AC28F4" w:rsidP="00B445D7">
      <w:pPr>
        <w:ind w:left="50"/>
        <w:rPr>
          <w:rFonts w:ascii="Times New Roman" w:hAnsi="Times New Roman" w:cs="Times New Roman"/>
        </w:rPr>
      </w:pPr>
    </w:p>
    <w:p w14:paraId="43F359C6" w14:textId="50B8D52B" w:rsidR="00AC28F4" w:rsidRDefault="00AC28F4" w:rsidP="00B445D7">
      <w:pPr>
        <w:ind w:left="50"/>
        <w:rPr>
          <w:rFonts w:ascii="Times New Roman" w:hAnsi="Times New Roman" w:cs="Times New Roman"/>
        </w:rPr>
      </w:pPr>
    </w:p>
    <w:p w14:paraId="1FC4632A" w14:textId="77777777" w:rsidR="00D52118" w:rsidRDefault="00D52118" w:rsidP="00D52118">
      <w:pPr>
        <w:pStyle w:val="Heading2"/>
        <w:spacing w:before="0" w:beforeAutospacing="0" w:after="0" w:afterAutospacing="0" w:line="420" w:lineRule="atLeast"/>
        <w:rPr>
          <w:color w:val="101F28"/>
        </w:rPr>
      </w:pPr>
      <w:r>
        <w:rPr>
          <w:color w:val="101F28"/>
        </w:rPr>
        <w:lastRenderedPageBreak/>
        <w:t>Out-of-pocket expenditure per capita (current US$)</w:t>
      </w:r>
    </w:p>
    <w:p w14:paraId="4C1CF775" w14:textId="77777777" w:rsidR="00D52118" w:rsidRDefault="00D52118" w:rsidP="00D52118">
      <w:pPr>
        <w:pStyle w:val="description"/>
        <w:spacing w:before="0" w:beforeAutospacing="0" w:after="300" w:afterAutospacing="0"/>
        <w:rPr>
          <w:rFonts w:ascii="Arial" w:hAnsi="Arial" w:cs="Arial"/>
          <w:color w:val="50595E"/>
          <w:sz w:val="20"/>
          <w:szCs w:val="20"/>
        </w:rPr>
      </w:pPr>
      <w:r>
        <w:rPr>
          <w:rFonts w:ascii="Arial" w:hAnsi="Arial" w:cs="Arial"/>
          <w:color w:val="50595E"/>
          <w:sz w:val="20"/>
          <w:szCs w:val="20"/>
        </w:rPr>
        <w:t>Health expenditure through out-of-pocket payments per capita in USD. Out of pocket payments are spending on health directly out of pocket by households in each country.</w:t>
      </w:r>
    </w:p>
    <w:p w14:paraId="5B9986E6" w14:textId="77777777" w:rsidR="00D52118" w:rsidRDefault="00D52118" w:rsidP="00D52118">
      <w:pPr>
        <w:numPr>
          <w:ilvl w:val="0"/>
          <w:numId w:val="16"/>
        </w:numPr>
        <w:spacing w:before="100" w:beforeAutospacing="1" w:after="100" w:afterAutospacing="1" w:line="240" w:lineRule="auto"/>
        <w:ind w:left="0"/>
        <w:rPr>
          <w:rFonts w:ascii="Arial" w:hAnsi="Arial" w:cs="Arial"/>
          <w:color w:val="50595E"/>
          <w:sz w:val="20"/>
          <w:szCs w:val="20"/>
        </w:rPr>
      </w:pPr>
      <w:r>
        <w:rPr>
          <w:rStyle w:val="Emphasis"/>
          <w:rFonts w:ascii="Arial" w:hAnsi="Arial" w:cs="Arial"/>
          <w:b/>
          <w:bCs/>
          <w:i w:val="0"/>
          <w:iCs w:val="0"/>
          <w:color w:val="50595E"/>
          <w:sz w:val="20"/>
          <w:szCs w:val="20"/>
        </w:rPr>
        <w:t>Development Relevance: </w:t>
      </w:r>
      <w:r>
        <w:rPr>
          <w:rFonts w:ascii="Arial" w:hAnsi="Arial" w:cs="Arial"/>
          <w:color w:val="50595E"/>
          <w:sz w:val="20"/>
          <w:szCs w:val="20"/>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Pr>
          <w:rFonts w:ascii="Arial" w:hAnsi="Arial" w:cs="Arial"/>
          <w:color w:val="50595E"/>
          <w:sz w:val="20"/>
          <w:szCs w:val="20"/>
        </w:rPr>
        <w:t>services</w:t>
      </w:r>
      <w:proofErr w:type="gramEnd"/>
      <w:r>
        <w:rPr>
          <w:rFonts w:ascii="Arial" w:hAnsi="Arial" w:cs="Arial"/>
          <w:color w:val="50595E"/>
          <w:sz w:val="20"/>
          <w:szCs w:val="20"/>
        </w:rPr>
        <w:t xml:space="preserve"> they need without suffering financial hardship (SDG 3.8). The data on out-of-pocket spending is a key indicator </w:t>
      </w:r>
      <w:proofErr w:type="gramStart"/>
      <w:r>
        <w:rPr>
          <w:rFonts w:ascii="Arial" w:hAnsi="Arial" w:cs="Arial"/>
          <w:color w:val="50595E"/>
          <w:sz w:val="20"/>
          <w:szCs w:val="20"/>
        </w:rPr>
        <w:t>with regard to</w:t>
      </w:r>
      <w:proofErr w:type="gramEnd"/>
      <w:r>
        <w:rPr>
          <w:rFonts w:ascii="Arial" w:hAnsi="Arial" w:cs="Arial"/>
          <w:color w:val="50595E"/>
          <w:sz w:val="20"/>
          <w:szCs w:val="20"/>
        </w:rPr>
        <w:t xml:space="preserve"> financial protection and hence of progress towards UHC.</w:t>
      </w:r>
    </w:p>
    <w:p w14:paraId="2BD90B29" w14:textId="77777777" w:rsidR="00D52118" w:rsidRDefault="00D52118" w:rsidP="00D52118">
      <w:pPr>
        <w:numPr>
          <w:ilvl w:val="0"/>
          <w:numId w:val="16"/>
        </w:numPr>
        <w:spacing w:before="100" w:beforeAutospacing="1" w:after="100" w:afterAutospacing="1" w:line="240" w:lineRule="auto"/>
        <w:ind w:left="0"/>
        <w:rPr>
          <w:rFonts w:ascii="Arial" w:hAnsi="Arial" w:cs="Arial"/>
          <w:color w:val="50595E"/>
          <w:sz w:val="20"/>
          <w:szCs w:val="20"/>
        </w:rPr>
      </w:pPr>
      <w:r>
        <w:rPr>
          <w:rStyle w:val="Emphasis"/>
          <w:rFonts w:ascii="Arial" w:hAnsi="Arial" w:cs="Arial"/>
          <w:b/>
          <w:bCs/>
          <w:i w:val="0"/>
          <w:iCs w:val="0"/>
          <w:color w:val="50595E"/>
          <w:sz w:val="20"/>
          <w:szCs w:val="20"/>
        </w:rPr>
        <w:t>Long Definition: </w:t>
      </w:r>
      <w:r>
        <w:rPr>
          <w:rFonts w:ascii="Arial" w:hAnsi="Arial" w:cs="Arial"/>
          <w:color w:val="50595E"/>
          <w:sz w:val="20"/>
          <w:szCs w:val="20"/>
        </w:rPr>
        <w:t>Health expenditure through out-of-pocket payments per capita in USD. Out of pocket payments are spending on health directly out of pocket by households in each country.</w:t>
      </w:r>
    </w:p>
    <w:p w14:paraId="7AFD5067" w14:textId="77777777" w:rsidR="00D52118" w:rsidRDefault="00D52118" w:rsidP="00D52118">
      <w:pPr>
        <w:numPr>
          <w:ilvl w:val="0"/>
          <w:numId w:val="16"/>
        </w:numPr>
        <w:spacing w:before="100" w:beforeAutospacing="1" w:after="100" w:afterAutospacing="1" w:line="240" w:lineRule="auto"/>
        <w:ind w:left="0"/>
        <w:rPr>
          <w:rFonts w:ascii="Arial" w:hAnsi="Arial" w:cs="Arial"/>
          <w:color w:val="50595E"/>
          <w:sz w:val="20"/>
          <w:szCs w:val="20"/>
        </w:rPr>
      </w:pPr>
      <w:r>
        <w:rPr>
          <w:rStyle w:val="Emphasis"/>
          <w:rFonts w:ascii="Arial" w:hAnsi="Arial" w:cs="Arial"/>
          <w:b/>
          <w:bCs/>
          <w:i w:val="0"/>
          <w:iCs w:val="0"/>
          <w:color w:val="50595E"/>
          <w:sz w:val="20"/>
          <w:szCs w:val="20"/>
        </w:rPr>
        <w:t>Statistical Concept and Methodology: </w:t>
      </w:r>
      <w:r>
        <w:rPr>
          <w:rFonts w:ascii="Arial" w:hAnsi="Arial" w:cs="Arial"/>
          <w:color w:val="50595E"/>
          <w:sz w:val="20"/>
          <w:szCs w:val="20"/>
        </w:rPr>
        <w:t xml:space="preserve">The health expenditure estimates have been prepared by the World Health Organization under the framework of the System of Health Accounts 2011 (SHA 2011). The Health SHA 2011 tracks all health spending in a given country over a defined </w:t>
      </w:r>
      <w:proofErr w:type="gramStart"/>
      <w:r>
        <w:rPr>
          <w:rFonts w:ascii="Arial" w:hAnsi="Arial" w:cs="Arial"/>
          <w:color w:val="50595E"/>
          <w:sz w:val="20"/>
          <w:szCs w:val="20"/>
        </w:rPr>
        <w:t>period of time</w:t>
      </w:r>
      <w:proofErr w:type="gramEnd"/>
      <w:r>
        <w:rPr>
          <w:rFonts w:ascii="Arial" w:hAnsi="Arial" w:cs="Arial"/>
          <w:color w:val="50595E"/>
          <w:sz w:val="20"/>
          <w:szCs w:val="20"/>
        </w:rPr>
        <w:t xml:space="preserve"> regardless of the entity or institution that financed and managed that spending. It generates consistent and comprehensive data on health spending in a country, which in turn can contribute to evidence-based </w:t>
      </w:r>
      <w:proofErr w:type="gramStart"/>
      <w:r>
        <w:rPr>
          <w:rFonts w:ascii="Arial" w:hAnsi="Arial" w:cs="Arial"/>
          <w:color w:val="50595E"/>
          <w:sz w:val="20"/>
          <w:szCs w:val="20"/>
        </w:rPr>
        <w:t>policy-making</w:t>
      </w:r>
      <w:proofErr w:type="gramEnd"/>
      <w:r>
        <w:rPr>
          <w:rFonts w:ascii="Arial" w:hAnsi="Arial" w:cs="Arial"/>
          <w:color w:val="50595E"/>
          <w:sz w:val="20"/>
          <w:szCs w:val="20"/>
        </w:rPr>
        <w:t>.</w:t>
      </w:r>
    </w:p>
    <w:p w14:paraId="32FB2AEC" w14:textId="68AA61F8" w:rsidR="00AC28F4" w:rsidRPr="00D52118" w:rsidRDefault="00AC28F4" w:rsidP="00B445D7">
      <w:pPr>
        <w:ind w:left="50"/>
        <w:rPr>
          <w:rFonts w:ascii="Times New Roman" w:hAnsi="Times New Roman" w:cs="Times New Roman"/>
        </w:rPr>
      </w:pPr>
    </w:p>
    <w:p w14:paraId="0E5D4B65" w14:textId="77777777" w:rsidR="00AC28F4" w:rsidRPr="00AC28F4" w:rsidRDefault="00AC28F4" w:rsidP="00AC28F4">
      <w:pPr>
        <w:spacing w:after="0" w:line="420" w:lineRule="atLeast"/>
        <w:outlineLvl w:val="1"/>
        <w:rPr>
          <w:rFonts w:ascii="Times New Roman" w:eastAsia="Times New Roman" w:hAnsi="Times New Roman" w:cs="Times New Roman"/>
          <w:b/>
          <w:bCs/>
          <w:color w:val="101F28"/>
          <w:sz w:val="36"/>
          <w:szCs w:val="36"/>
        </w:rPr>
      </w:pPr>
      <w:r w:rsidRPr="00AC28F4">
        <w:rPr>
          <w:rFonts w:ascii="Times New Roman" w:eastAsia="Times New Roman" w:hAnsi="Times New Roman" w:cs="Times New Roman"/>
          <w:b/>
          <w:bCs/>
          <w:color w:val="101F28"/>
          <w:sz w:val="36"/>
          <w:szCs w:val="36"/>
        </w:rPr>
        <w:t>Mortality rate, infant (per 1,000 live births)</w:t>
      </w:r>
    </w:p>
    <w:p w14:paraId="2C2212EC" w14:textId="77777777" w:rsidR="00AC28F4" w:rsidRPr="00AC28F4" w:rsidRDefault="00AC28F4" w:rsidP="00AC28F4">
      <w:pPr>
        <w:spacing w:after="300" w:line="240" w:lineRule="auto"/>
        <w:rPr>
          <w:rFonts w:ascii="Times New Roman" w:eastAsia="Times New Roman" w:hAnsi="Times New Roman" w:cs="Times New Roman"/>
          <w:color w:val="50595E"/>
          <w:sz w:val="20"/>
          <w:szCs w:val="20"/>
        </w:rPr>
      </w:pPr>
      <w:r w:rsidRPr="00AC28F4">
        <w:rPr>
          <w:rFonts w:ascii="Times New Roman" w:eastAsia="Times New Roman" w:hAnsi="Times New Roman" w:cs="Times New Roman"/>
          <w:color w:val="50595E"/>
          <w:sz w:val="20"/>
          <w:szCs w:val="20"/>
        </w:rPr>
        <w:t>Infant mortality rate is the number of infants dying before reaching one year of age, per 1,000 live births in a given year.</w:t>
      </w:r>
    </w:p>
    <w:p w14:paraId="5AB2A6BB"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Aggregation Method: </w:t>
      </w:r>
      <w:r w:rsidRPr="00AC28F4">
        <w:rPr>
          <w:rFonts w:ascii="Times New Roman" w:eastAsia="Times New Roman" w:hAnsi="Times New Roman" w:cs="Times New Roman"/>
          <w:color w:val="50595E"/>
          <w:sz w:val="20"/>
          <w:szCs w:val="20"/>
        </w:rPr>
        <w:t>Weighted average</w:t>
      </w:r>
    </w:p>
    <w:p w14:paraId="12B34AA0"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Development Relevance: </w:t>
      </w:r>
      <w:r w:rsidRPr="00AC28F4">
        <w:rPr>
          <w:rFonts w:ascii="Times New Roman" w:eastAsia="Times New Roman" w:hAnsi="Times New Roman" w:cs="Times New Roman"/>
          <w:color w:val="50595E"/>
          <w:sz w:val="20"/>
          <w:szCs w:val="20"/>
        </w:rPr>
        <w:t>Mortality rates for different age groups (infants, children, and adults) and overall mortality indicators (life expectancy at birth or survival to a given age) are important indicators of health status in a country. Because data on the incidence and prevalence of diseases are frequently unavailable, mortality rates are often used to identify vulnerable populations. And they are among the indicators most frequently used to compare socioeconomic development across countries.</w:t>
      </w:r>
    </w:p>
    <w:p w14:paraId="034284D1"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General Comments: </w:t>
      </w:r>
      <w:r w:rsidRPr="00AC28F4">
        <w:rPr>
          <w:rFonts w:ascii="Times New Roman" w:eastAsia="Times New Roman" w:hAnsi="Times New Roman" w:cs="Times New Roman"/>
          <w:color w:val="50595E"/>
          <w:sz w:val="20"/>
          <w:szCs w:val="20"/>
        </w:rPr>
        <w:t>Given that data on the incidence and prevalence of diseases are frequently unavailable, mortality rates are often used to identify vulnerable populations. Moreover, they are among the indicators most frequently used to compare socioeconomic development across countries. Under-five mortality rates are higher for boys than for girls in countries in which parental gender preferences are insignificant. Under-five mortality captures the effect of gender discrimination better than infant mortality does, as malnutrition and medical interventions have more significant impacts to this age group. Where female under-five mortality is higher, girls are likely to have less access to resources than boys.</w:t>
      </w:r>
    </w:p>
    <w:p w14:paraId="29EDEB3E"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Limitations and Exceptions: </w:t>
      </w:r>
      <w:r w:rsidRPr="00AC28F4">
        <w:rPr>
          <w:rFonts w:ascii="Times New Roman" w:eastAsia="Times New Roman" w:hAnsi="Times New Roman" w:cs="Times New Roman"/>
          <w:color w:val="50595E"/>
          <w:sz w:val="20"/>
          <w:szCs w:val="20"/>
        </w:rPr>
        <w:t xml:space="preserve">Complete vital registration systems are </w:t>
      </w:r>
      <w:proofErr w:type="gramStart"/>
      <w:r w:rsidRPr="00AC28F4">
        <w:rPr>
          <w:rFonts w:ascii="Times New Roman" w:eastAsia="Times New Roman" w:hAnsi="Times New Roman" w:cs="Times New Roman"/>
          <w:color w:val="50595E"/>
          <w:sz w:val="20"/>
          <w:szCs w:val="20"/>
        </w:rPr>
        <w:t>fairly uncommon</w:t>
      </w:r>
      <w:proofErr w:type="gramEnd"/>
      <w:r w:rsidRPr="00AC28F4">
        <w:rPr>
          <w:rFonts w:ascii="Times New Roman" w:eastAsia="Times New Roman" w:hAnsi="Times New Roman" w:cs="Times New Roman"/>
          <w:color w:val="50595E"/>
          <w:sz w:val="20"/>
          <w:szCs w:val="20"/>
        </w:rPr>
        <w:t xml:space="preserve"> in developing countries. </w:t>
      </w:r>
      <w:proofErr w:type="gramStart"/>
      <w:r w:rsidRPr="00AC28F4">
        <w:rPr>
          <w:rFonts w:ascii="Times New Roman" w:eastAsia="Times New Roman" w:hAnsi="Times New Roman" w:cs="Times New Roman"/>
          <w:color w:val="50595E"/>
          <w:sz w:val="20"/>
          <w:szCs w:val="20"/>
        </w:rPr>
        <w:t>Thus</w:t>
      </w:r>
      <w:proofErr w:type="gramEnd"/>
      <w:r w:rsidRPr="00AC28F4">
        <w:rPr>
          <w:rFonts w:ascii="Times New Roman" w:eastAsia="Times New Roman" w:hAnsi="Times New Roman" w:cs="Times New Roman"/>
          <w:color w:val="50595E"/>
          <w:sz w:val="20"/>
          <w:szCs w:val="20"/>
        </w:rPr>
        <w:t xml:space="preserve"> estimates must be obtained from sample surveys or derived by applying indirect estimation techniques to registration, census, or survey data. Survey data are subject to recall error, and surveys estimating infant/child deaths require large samples because households in which a birth has occurred during a given year cannot ordinarily be preselected for sampling. Indirect estimates rely on model life tables that may be inappropriate for the population concerned. Extrapolations based on outdated surveys may not be reliable for monitoring changes in health status or for comparative analytical work.</w:t>
      </w:r>
    </w:p>
    <w:p w14:paraId="27666E89"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Long Definition: </w:t>
      </w:r>
      <w:r w:rsidRPr="00AC28F4">
        <w:rPr>
          <w:rFonts w:ascii="Times New Roman" w:eastAsia="Times New Roman" w:hAnsi="Times New Roman" w:cs="Times New Roman"/>
          <w:color w:val="50595E"/>
          <w:sz w:val="20"/>
          <w:szCs w:val="20"/>
        </w:rPr>
        <w:t>Infant mortality rate is the number of infants dying before reaching one year of age, per 1,000 live births in a given year.</w:t>
      </w:r>
    </w:p>
    <w:p w14:paraId="1FAB536A"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Periodicity: </w:t>
      </w:r>
      <w:r w:rsidRPr="00AC28F4">
        <w:rPr>
          <w:rFonts w:ascii="Times New Roman" w:eastAsia="Times New Roman" w:hAnsi="Times New Roman" w:cs="Times New Roman"/>
          <w:color w:val="50595E"/>
          <w:sz w:val="20"/>
          <w:szCs w:val="20"/>
        </w:rPr>
        <w:t>Annual</w:t>
      </w:r>
    </w:p>
    <w:p w14:paraId="0AABD497" w14:textId="77777777" w:rsidR="00AC28F4" w:rsidRPr="00AC28F4" w:rsidRDefault="00AC28F4" w:rsidP="00AC28F4">
      <w:pPr>
        <w:numPr>
          <w:ilvl w:val="0"/>
          <w:numId w:val="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Statistical Concept and Methodology: </w:t>
      </w:r>
      <w:r w:rsidRPr="00AC28F4">
        <w:rPr>
          <w:rFonts w:ascii="Times New Roman" w:eastAsia="Times New Roman" w:hAnsi="Times New Roman" w:cs="Times New Roman"/>
          <w:color w:val="50595E"/>
          <w:sz w:val="20"/>
          <w:szCs w:val="20"/>
        </w:rPr>
        <w:t xml:space="preserve">The main sources of mortality data are vital registration systems and direct or indirect estimates based on sample surveys or censuses. A "complete" vital registration system - covering at least 90 percent of vital events in the population - is the best source of age-specific mortality data. Estimates of neonatal, infant, and child mortality tend to vary by source and method for a given time </w:t>
      </w:r>
      <w:r w:rsidRPr="00AC28F4">
        <w:rPr>
          <w:rFonts w:ascii="Times New Roman" w:eastAsia="Times New Roman" w:hAnsi="Times New Roman" w:cs="Times New Roman"/>
          <w:color w:val="50595E"/>
          <w:sz w:val="20"/>
          <w:szCs w:val="20"/>
        </w:rPr>
        <w:lastRenderedPageBreak/>
        <w:t>and place. Years for available estimates also vary by country, making comparisons across countries and over time difficult. To make neonatal, infant, and child mortality estimates comparable and to ensure consistency across estimates by different agencies, the United Nations Inter-agency Group for Child Mortality Estimation (UN IGME), which comprises the United Nations Children's Fund (UNICEF), the World Health Organization (WHO), the World Bank, the United Nations Population Division, and other universities and research institutes, developed and adopted a statistical method that uses all available information to reconcile differences. The method uses statistical models to obtain a best estimate trend line by fitting a country-specific regression model of mortality rates against their reference dates.</w:t>
      </w:r>
    </w:p>
    <w:p w14:paraId="43E7226B" w14:textId="77777777" w:rsidR="00AC28F4" w:rsidRPr="00AC28F4" w:rsidRDefault="00AC28F4" w:rsidP="00AC28F4">
      <w:pPr>
        <w:spacing w:after="0" w:line="420" w:lineRule="atLeast"/>
        <w:outlineLvl w:val="1"/>
        <w:rPr>
          <w:rFonts w:ascii="Times New Roman" w:eastAsia="Times New Roman" w:hAnsi="Times New Roman" w:cs="Times New Roman"/>
          <w:b/>
          <w:bCs/>
          <w:color w:val="101F28"/>
          <w:sz w:val="36"/>
          <w:szCs w:val="36"/>
        </w:rPr>
      </w:pPr>
      <w:r w:rsidRPr="00AC28F4">
        <w:rPr>
          <w:rFonts w:ascii="Times New Roman" w:eastAsia="Times New Roman" w:hAnsi="Times New Roman" w:cs="Times New Roman"/>
          <w:b/>
          <w:bCs/>
          <w:color w:val="101F28"/>
          <w:sz w:val="36"/>
          <w:szCs w:val="36"/>
        </w:rPr>
        <w:t>Life expectancy at birth, total (years)</w:t>
      </w:r>
    </w:p>
    <w:p w14:paraId="15203811" w14:textId="77777777" w:rsidR="00AC28F4" w:rsidRPr="00AC28F4" w:rsidRDefault="00AC28F4" w:rsidP="00AC28F4">
      <w:pPr>
        <w:spacing w:after="300" w:line="240" w:lineRule="auto"/>
        <w:rPr>
          <w:rFonts w:ascii="Times New Roman" w:eastAsia="Times New Roman" w:hAnsi="Times New Roman" w:cs="Times New Roman"/>
          <w:color w:val="50595E"/>
          <w:sz w:val="20"/>
          <w:szCs w:val="20"/>
        </w:rPr>
      </w:pPr>
      <w:r w:rsidRPr="00AC28F4">
        <w:rPr>
          <w:rFonts w:ascii="Times New Roman" w:eastAsia="Times New Roman" w:hAnsi="Times New Roman" w:cs="Times New Roman"/>
          <w:color w:val="50595E"/>
          <w:sz w:val="20"/>
          <w:szCs w:val="20"/>
        </w:rPr>
        <w:t>Life expectancy at birth indicates the number of years a newborn infant would live if prevailing patterns of mortality at the time of its birth were to stay the same throughout its life.</w:t>
      </w:r>
    </w:p>
    <w:p w14:paraId="3EDEF068" w14:textId="77777777" w:rsidR="00AC28F4" w:rsidRPr="00AC28F4" w:rsidRDefault="00AC28F4" w:rsidP="00AC28F4">
      <w:pPr>
        <w:numPr>
          <w:ilvl w:val="0"/>
          <w:numId w:val="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Aggregation Method: </w:t>
      </w:r>
      <w:r w:rsidRPr="00AC28F4">
        <w:rPr>
          <w:rFonts w:ascii="Times New Roman" w:eastAsia="Times New Roman" w:hAnsi="Times New Roman" w:cs="Times New Roman"/>
          <w:color w:val="50595E"/>
          <w:sz w:val="20"/>
          <w:szCs w:val="20"/>
        </w:rPr>
        <w:t>Weighted average</w:t>
      </w:r>
    </w:p>
    <w:p w14:paraId="09B99D4D" w14:textId="77777777" w:rsidR="00AC28F4" w:rsidRPr="00AC28F4" w:rsidRDefault="00AC28F4" w:rsidP="00AC28F4">
      <w:pPr>
        <w:numPr>
          <w:ilvl w:val="0"/>
          <w:numId w:val="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Development Relevance: </w:t>
      </w:r>
      <w:r w:rsidRPr="00AC28F4">
        <w:rPr>
          <w:rFonts w:ascii="Times New Roman" w:eastAsia="Times New Roman" w:hAnsi="Times New Roman" w:cs="Times New Roman"/>
          <w:color w:val="50595E"/>
          <w:sz w:val="20"/>
          <w:szCs w:val="20"/>
        </w:rPr>
        <w:t>Mortality rates for different age groups (infants, children, and adults) and overall mortality indicators (life expectancy at birth or survival to a given age) are important indicators of health status in a country. Because data on the incidence and prevalence of diseases are frequently unavailable, mortality rates are often used to identify vulnerable populations. And they are among the indicators most frequently used to compare socioeconomic development across countries.</w:t>
      </w:r>
    </w:p>
    <w:p w14:paraId="30D44C72" w14:textId="77777777" w:rsidR="00AC28F4" w:rsidRPr="00AC28F4" w:rsidRDefault="00AC28F4" w:rsidP="00AC28F4">
      <w:pPr>
        <w:numPr>
          <w:ilvl w:val="0"/>
          <w:numId w:val="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Limitations and Exceptions: </w:t>
      </w:r>
      <w:r w:rsidRPr="00AC28F4">
        <w:rPr>
          <w:rFonts w:ascii="Times New Roman" w:eastAsia="Times New Roman" w:hAnsi="Times New Roman" w:cs="Times New Roman"/>
          <w:color w:val="50595E"/>
          <w:sz w:val="20"/>
          <w:szCs w:val="20"/>
        </w:rPr>
        <w:t xml:space="preserve">Annual data series from United Nations Population Division's World Population Prospects are interpolated data from 5-year period data. </w:t>
      </w:r>
      <w:proofErr w:type="gramStart"/>
      <w:r w:rsidRPr="00AC28F4">
        <w:rPr>
          <w:rFonts w:ascii="Times New Roman" w:eastAsia="Times New Roman" w:hAnsi="Times New Roman" w:cs="Times New Roman"/>
          <w:color w:val="50595E"/>
          <w:sz w:val="20"/>
          <w:szCs w:val="20"/>
        </w:rPr>
        <w:t>Therefore</w:t>
      </w:r>
      <w:proofErr w:type="gramEnd"/>
      <w:r w:rsidRPr="00AC28F4">
        <w:rPr>
          <w:rFonts w:ascii="Times New Roman" w:eastAsia="Times New Roman" w:hAnsi="Times New Roman" w:cs="Times New Roman"/>
          <w:color w:val="50595E"/>
          <w:sz w:val="20"/>
          <w:szCs w:val="20"/>
        </w:rPr>
        <w:t xml:space="preserve"> they may not reflect real events as much as observed data.</w:t>
      </w:r>
    </w:p>
    <w:p w14:paraId="5B85711A" w14:textId="77777777" w:rsidR="00AC28F4" w:rsidRPr="00AC28F4" w:rsidRDefault="00AC28F4" w:rsidP="00AC28F4">
      <w:pPr>
        <w:numPr>
          <w:ilvl w:val="0"/>
          <w:numId w:val="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Long Definition: </w:t>
      </w:r>
      <w:r w:rsidRPr="00AC28F4">
        <w:rPr>
          <w:rFonts w:ascii="Times New Roman" w:eastAsia="Times New Roman" w:hAnsi="Times New Roman" w:cs="Times New Roman"/>
          <w:color w:val="50595E"/>
          <w:sz w:val="20"/>
          <w:szCs w:val="20"/>
        </w:rPr>
        <w:t>Life expectancy at birth indicates the number of years a newborn infant would live if prevailing patterns of mortality at the time of its birth were to stay the same throughout its life.</w:t>
      </w:r>
    </w:p>
    <w:p w14:paraId="2950DB6C" w14:textId="77777777" w:rsidR="00AC28F4" w:rsidRPr="00AC28F4" w:rsidRDefault="00AC28F4" w:rsidP="00AC28F4">
      <w:pPr>
        <w:numPr>
          <w:ilvl w:val="0"/>
          <w:numId w:val="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Periodicity: </w:t>
      </w:r>
      <w:r w:rsidRPr="00AC28F4">
        <w:rPr>
          <w:rFonts w:ascii="Times New Roman" w:eastAsia="Times New Roman" w:hAnsi="Times New Roman" w:cs="Times New Roman"/>
          <w:color w:val="50595E"/>
          <w:sz w:val="20"/>
          <w:szCs w:val="20"/>
        </w:rPr>
        <w:t>Annual</w:t>
      </w:r>
    </w:p>
    <w:p w14:paraId="582FD296" w14:textId="24F2D6B4" w:rsidR="00AC28F4" w:rsidRPr="00A90F1C" w:rsidRDefault="00AC28F4" w:rsidP="00C97F5B">
      <w:pPr>
        <w:numPr>
          <w:ilvl w:val="0"/>
          <w:numId w:val="5"/>
        </w:numPr>
        <w:spacing w:before="100" w:beforeAutospacing="1" w:after="100" w:afterAutospacing="1" w:line="240" w:lineRule="auto"/>
        <w:ind w:left="50"/>
        <w:rPr>
          <w:rFonts w:ascii="Times New Roman" w:hAnsi="Times New Roman" w:cs="Times New Roman"/>
        </w:rPr>
      </w:pPr>
      <w:r w:rsidRPr="00AC28F4">
        <w:rPr>
          <w:rFonts w:ascii="Times New Roman" w:eastAsia="Times New Roman" w:hAnsi="Times New Roman" w:cs="Times New Roman"/>
          <w:b/>
          <w:bCs/>
          <w:color w:val="50595E"/>
          <w:sz w:val="20"/>
          <w:szCs w:val="20"/>
        </w:rPr>
        <w:t>Statistical Concept and Methodology: </w:t>
      </w:r>
      <w:r w:rsidRPr="00AC28F4">
        <w:rPr>
          <w:rFonts w:ascii="Times New Roman" w:eastAsia="Times New Roman" w:hAnsi="Times New Roman" w:cs="Times New Roman"/>
          <w:color w:val="50595E"/>
          <w:sz w:val="20"/>
          <w:szCs w:val="20"/>
        </w:rPr>
        <w:t xml:space="preserve">Life expectancy at birth used here is the average number of years a newborn is expected to live if mortality patterns at the time of its birth remain constant in the future. It reflects the overall mortality level of a </w:t>
      </w:r>
      <w:proofErr w:type="gramStart"/>
      <w:r w:rsidRPr="00AC28F4">
        <w:rPr>
          <w:rFonts w:ascii="Times New Roman" w:eastAsia="Times New Roman" w:hAnsi="Times New Roman" w:cs="Times New Roman"/>
          <w:color w:val="50595E"/>
          <w:sz w:val="20"/>
          <w:szCs w:val="20"/>
        </w:rPr>
        <w:t>population, and</w:t>
      </w:r>
      <w:proofErr w:type="gramEnd"/>
      <w:r w:rsidRPr="00AC28F4">
        <w:rPr>
          <w:rFonts w:ascii="Times New Roman" w:eastAsia="Times New Roman" w:hAnsi="Times New Roman" w:cs="Times New Roman"/>
          <w:color w:val="50595E"/>
          <w:sz w:val="20"/>
          <w:szCs w:val="20"/>
        </w:rPr>
        <w:t xml:space="preserve"> summarizes the mortality pattern that prevails across all age groups in a given year. It is calculated in a period life table which provides a snapshot of a population's mortality pattern at a given time. It therefore does not reflect the mortality pattern that a person </w:t>
      </w:r>
      <w:proofErr w:type="gramStart"/>
      <w:r w:rsidRPr="00AC28F4">
        <w:rPr>
          <w:rFonts w:ascii="Times New Roman" w:eastAsia="Times New Roman" w:hAnsi="Times New Roman" w:cs="Times New Roman"/>
          <w:color w:val="50595E"/>
          <w:sz w:val="20"/>
          <w:szCs w:val="20"/>
        </w:rPr>
        <w:t>actually experiences</w:t>
      </w:r>
      <w:proofErr w:type="gramEnd"/>
      <w:r w:rsidRPr="00AC28F4">
        <w:rPr>
          <w:rFonts w:ascii="Times New Roman" w:eastAsia="Times New Roman" w:hAnsi="Times New Roman" w:cs="Times New Roman"/>
          <w:color w:val="50595E"/>
          <w:sz w:val="20"/>
          <w:szCs w:val="20"/>
        </w:rPr>
        <w:t xml:space="preserve"> during his/her life, which can be calculated in a cohort life table. High mortality in young age groups significantly lowers the life expectancy at birth. But if a person survives his/her childhood of high mortality, he/she may live much longer. For example, in a population with a life expectancy at birth of 50, there may be few people dying at age 50. The life expectancy at birth may be low due to the high childhood mortality so that once a person survives his/her childhood, he/she may live much longer than 50 years.</w:t>
      </w:r>
    </w:p>
    <w:p w14:paraId="1389F7F6" w14:textId="77777777" w:rsidR="00AC28F4" w:rsidRPr="00AC28F4" w:rsidRDefault="00AC28F4" w:rsidP="00AC28F4">
      <w:pPr>
        <w:spacing w:after="0" w:line="420" w:lineRule="atLeast"/>
        <w:outlineLvl w:val="1"/>
        <w:rPr>
          <w:rFonts w:ascii="Times New Roman" w:eastAsia="Times New Roman" w:hAnsi="Times New Roman" w:cs="Times New Roman"/>
          <w:b/>
          <w:bCs/>
          <w:color w:val="101F28"/>
          <w:sz w:val="36"/>
          <w:szCs w:val="36"/>
        </w:rPr>
      </w:pPr>
      <w:r w:rsidRPr="00AC28F4">
        <w:rPr>
          <w:rFonts w:ascii="Times New Roman" w:eastAsia="Times New Roman" w:hAnsi="Times New Roman" w:cs="Times New Roman"/>
          <w:b/>
          <w:bCs/>
          <w:color w:val="101F28"/>
          <w:sz w:val="36"/>
          <w:szCs w:val="36"/>
        </w:rPr>
        <w:t>Children out of school, primary, female</w:t>
      </w:r>
    </w:p>
    <w:p w14:paraId="2EFA4759" w14:textId="77777777" w:rsidR="00AC28F4" w:rsidRPr="00AC28F4" w:rsidRDefault="00AC28F4" w:rsidP="00AC28F4">
      <w:pPr>
        <w:spacing w:after="300" w:line="240" w:lineRule="auto"/>
        <w:rPr>
          <w:rFonts w:ascii="Times New Roman" w:eastAsia="Times New Roman" w:hAnsi="Times New Roman" w:cs="Times New Roman"/>
          <w:color w:val="50595E"/>
          <w:sz w:val="20"/>
          <w:szCs w:val="20"/>
        </w:rPr>
      </w:pPr>
      <w:r w:rsidRPr="00AC28F4">
        <w:rPr>
          <w:rFonts w:ascii="Times New Roman" w:eastAsia="Times New Roman" w:hAnsi="Times New Roman" w:cs="Times New Roman"/>
          <w:color w:val="50595E"/>
          <w:sz w:val="20"/>
          <w:szCs w:val="20"/>
        </w:rPr>
        <w:t>Children out of school are the number of primary-school-age children not enrolled in primary or secondary school.</w:t>
      </w:r>
    </w:p>
    <w:p w14:paraId="487DA7E7"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Aggregation Method: </w:t>
      </w:r>
      <w:r w:rsidRPr="00AC28F4">
        <w:rPr>
          <w:rFonts w:ascii="Times New Roman" w:eastAsia="Times New Roman" w:hAnsi="Times New Roman" w:cs="Times New Roman"/>
          <w:color w:val="50595E"/>
          <w:sz w:val="20"/>
          <w:szCs w:val="20"/>
        </w:rPr>
        <w:t>Sum</w:t>
      </w:r>
    </w:p>
    <w:p w14:paraId="179F1D97"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Development Relevance: </w:t>
      </w:r>
      <w:r w:rsidRPr="00AC28F4">
        <w:rPr>
          <w:rFonts w:ascii="Times New Roman" w:eastAsia="Times New Roman" w:hAnsi="Times New Roman" w:cs="Times New Roman"/>
          <w:color w:val="50595E"/>
          <w:sz w:val="20"/>
          <w:szCs w:val="20"/>
        </w:rPr>
        <w:t>Large numbers of children out of school create pressure to enroll children and provide classrooms, teachers, and educational materials, a task made difficult in many countries by limited education budgets. However, getting children into school is a high priority for countries and crucial for achieving universal primary education.</w:t>
      </w:r>
    </w:p>
    <w:p w14:paraId="4E3EE712"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Limitations and Exceptions: </w:t>
      </w:r>
      <w:r w:rsidRPr="00AC28F4">
        <w:rPr>
          <w:rFonts w:ascii="Times New Roman" w:eastAsia="Times New Roman" w:hAnsi="Times New Roman" w:cs="Times New Roman"/>
          <w:color w:val="50595E"/>
          <w:sz w:val="20"/>
          <w:szCs w:val="20"/>
        </w:rPr>
        <w:t>Due to different data sources for enrollment and population data, the number may not capture the actual number of children not attending in primary school.</w:t>
      </w:r>
    </w:p>
    <w:p w14:paraId="5E3386BD"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Long Definition: </w:t>
      </w:r>
      <w:r w:rsidRPr="00AC28F4">
        <w:rPr>
          <w:rFonts w:ascii="Times New Roman" w:eastAsia="Times New Roman" w:hAnsi="Times New Roman" w:cs="Times New Roman"/>
          <w:color w:val="50595E"/>
          <w:sz w:val="20"/>
          <w:szCs w:val="20"/>
        </w:rPr>
        <w:t>Children out of school are the number of primary-school-age children not enrolled in primary or secondary school.</w:t>
      </w:r>
    </w:p>
    <w:p w14:paraId="77819235"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Statistical Concept and Methodology: </w:t>
      </w:r>
      <w:r w:rsidRPr="00AC28F4">
        <w:rPr>
          <w:rFonts w:ascii="Times New Roman" w:eastAsia="Times New Roman" w:hAnsi="Times New Roman" w:cs="Times New Roman"/>
          <w:color w:val="50595E"/>
          <w:sz w:val="20"/>
          <w:szCs w:val="20"/>
        </w:rPr>
        <w:t xml:space="preserve">The number of out-of-school children is calculated by subtracting the number of primary school-age children enrolled in primary or secondary school from the total population of the official primary school-age children. Data on education are collected by the UNESCO Institute for Statistics from official responses to its annual education survey. All the data are mapped to the International </w:t>
      </w:r>
      <w:r w:rsidRPr="00AC28F4">
        <w:rPr>
          <w:rFonts w:ascii="Times New Roman" w:eastAsia="Times New Roman" w:hAnsi="Times New Roman" w:cs="Times New Roman"/>
          <w:color w:val="50595E"/>
          <w:sz w:val="20"/>
          <w:szCs w:val="20"/>
        </w:rPr>
        <w:lastRenderedPageBreak/>
        <w:t xml:space="preserve">Standard Classification of Education (ISCED) to ensure the comparability of education programs at the international level. The current version was formally adopted by UNESCO Member States in 2011. Population data are drawn from the United Nations Population Division. Using a single source for population data standardizes definitions, estimations, and interpolation methods, ensuring a consistent methodology across countries and minimizing potential enumeration problems in national censuses. The reference years reflect the school year for which the data are presented. In some countries the school year spans two calendar years (for example, from September 2010 to June 2011); in these </w:t>
      </w:r>
      <w:proofErr w:type="gramStart"/>
      <w:r w:rsidRPr="00AC28F4">
        <w:rPr>
          <w:rFonts w:ascii="Times New Roman" w:eastAsia="Times New Roman" w:hAnsi="Times New Roman" w:cs="Times New Roman"/>
          <w:color w:val="50595E"/>
          <w:sz w:val="20"/>
          <w:szCs w:val="20"/>
        </w:rPr>
        <w:t>cases</w:t>
      </w:r>
      <w:proofErr w:type="gramEnd"/>
      <w:r w:rsidRPr="00AC28F4">
        <w:rPr>
          <w:rFonts w:ascii="Times New Roman" w:eastAsia="Times New Roman" w:hAnsi="Times New Roman" w:cs="Times New Roman"/>
          <w:color w:val="50595E"/>
          <w:sz w:val="20"/>
          <w:szCs w:val="20"/>
        </w:rPr>
        <w:t xml:space="preserve"> the reference year refers to the year in which the school year ended (2011 in the example).</w:t>
      </w:r>
    </w:p>
    <w:p w14:paraId="40D30246" w14:textId="77777777" w:rsidR="00AC28F4" w:rsidRPr="00AC28F4" w:rsidRDefault="00AC28F4" w:rsidP="00AC28F4">
      <w:pPr>
        <w:numPr>
          <w:ilvl w:val="0"/>
          <w:numId w:val="7"/>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AC28F4">
        <w:rPr>
          <w:rFonts w:ascii="Times New Roman" w:eastAsia="Times New Roman" w:hAnsi="Times New Roman" w:cs="Times New Roman"/>
          <w:b/>
          <w:bCs/>
          <w:color w:val="50595E"/>
          <w:sz w:val="20"/>
          <w:szCs w:val="20"/>
        </w:rPr>
        <w:t>Topic: </w:t>
      </w:r>
      <w:r w:rsidRPr="00AC28F4">
        <w:rPr>
          <w:rFonts w:ascii="Times New Roman" w:eastAsia="Times New Roman" w:hAnsi="Times New Roman" w:cs="Times New Roman"/>
          <w:color w:val="50595E"/>
          <w:sz w:val="20"/>
          <w:szCs w:val="20"/>
        </w:rPr>
        <w:t>Education: Participation</w:t>
      </w:r>
    </w:p>
    <w:p w14:paraId="383B9516" w14:textId="77777777" w:rsidR="00DB72A9" w:rsidRPr="00DB72A9" w:rsidRDefault="00DB72A9" w:rsidP="00DB72A9">
      <w:pPr>
        <w:spacing w:after="0" w:line="420" w:lineRule="atLeast"/>
        <w:outlineLvl w:val="1"/>
        <w:rPr>
          <w:rFonts w:ascii="Times New Roman" w:eastAsia="Times New Roman" w:hAnsi="Times New Roman" w:cs="Times New Roman"/>
          <w:b/>
          <w:bCs/>
          <w:color w:val="101F28"/>
          <w:sz w:val="36"/>
          <w:szCs w:val="36"/>
        </w:rPr>
      </w:pPr>
      <w:r w:rsidRPr="00DB72A9">
        <w:rPr>
          <w:rFonts w:ascii="Times New Roman" w:eastAsia="Times New Roman" w:hAnsi="Times New Roman" w:cs="Times New Roman"/>
          <w:b/>
          <w:bCs/>
          <w:color w:val="101F28"/>
          <w:sz w:val="36"/>
          <w:szCs w:val="36"/>
        </w:rPr>
        <w:t>Access to electricity (% of population)</w:t>
      </w:r>
    </w:p>
    <w:p w14:paraId="60D32CC1" w14:textId="77777777" w:rsidR="00DB72A9" w:rsidRPr="00DB72A9" w:rsidRDefault="00DB72A9" w:rsidP="00DB72A9">
      <w:pPr>
        <w:spacing w:after="300" w:line="240" w:lineRule="auto"/>
        <w:rPr>
          <w:rFonts w:ascii="Times New Roman" w:eastAsia="Times New Roman" w:hAnsi="Times New Roman" w:cs="Times New Roman"/>
          <w:color w:val="50595E"/>
          <w:sz w:val="20"/>
          <w:szCs w:val="20"/>
        </w:rPr>
      </w:pPr>
      <w:r w:rsidRPr="00DB72A9">
        <w:rPr>
          <w:rFonts w:ascii="Times New Roman" w:eastAsia="Times New Roman" w:hAnsi="Times New Roman" w:cs="Times New Roman"/>
          <w:color w:val="50595E"/>
          <w:sz w:val="20"/>
          <w:szCs w:val="20"/>
        </w:rPr>
        <w:t>Access to electricity is the percentage of population with access to electricity. Electrification data are collected from industry, national surveys and international sources.</w:t>
      </w:r>
    </w:p>
    <w:p w14:paraId="68CC112E"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Aggregation Method: </w:t>
      </w:r>
      <w:r w:rsidRPr="00DB72A9">
        <w:rPr>
          <w:rFonts w:ascii="Times New Roman" w:eastAsia="Times New Roman" w:hAnsi="Times New Roman" w:cs="Times New Roman"/>
          <w:color w:val="50595E"/>
          <w:sz w:val="20"/>
          <w:szCs w:val="20"/>
        </w:rPr>
        <w:t>Weighted average</w:t>
      </w:r>
    </w:p>
    <w:p w14:paraId="77BC00C0"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Development Relevance: </w:t>
      </w:r>
      <w:r w:rsidRPr="00DB72A9">
        <w:rPr>
          <w:rFonts w:ascii="Times New Roman" w:eastAsia="Times New Roman" w:hAnsi="Times New Roman" w:cs="Times New Roman"/>
          <w:color w:val="50595E"/>
          <w:sz w:val="20"/>
          <w:szCs w:val="20"/>
        </w:rPr>
        <w:t xml:space="preserve">Maintaining reliable and secure electricity services while seeking to rapidly decarbonize power systems is a key challenge for countries throughout the world. More and more countries are becoming increasing dependent on reliable and secure electricity supplies to underpin economic growth and community prosperity. This reliance is set to grow as more efficient and less carbon intensive forms of power are developed and deployed to help decarbonize economies. Energy is necessary for creating the conditions for economic growth. It is impossible to operate a factory, run a shop, grow crops or deliver goods to consumers without using some form of energy. Access to electricity is particularly crucial to human development as electricity is, in practice, indispensable for certain basic activities, such as lighting, refrigeration and the running of household appliances, and cannot easily be replaced by other forms of energy. Individuals' access to electricity is one of the most clear and un-distorted indication of a country's energy poverty status. Electricity access is increasingly at the forefront of governments' preoccupations, especially in the developing countries. </w:t>
      </w:r>
      <w:proofErr w:type="gramStart"/>
      <w:r w:rsidRPr="00DB72A9">
        <w:rPr>
          <w:rFonts w:ascii="Times New Roman" w:eastAsia="Times New Roman" w:hAnsi="Times New Roman" w:cs="Times New Roman"/>
          <w:color w:val="50595E"/>
          <w:sz w:val="20"/>
          <w:szCs w:val="20"/>
        </w:rPr>
        <w:t>As a consequence</w:t>
      </w:r>
      <w:proofErr w:type="gramEnd"/>
      <w:r w:rsidRPr="00DB72A9">
        <w:rPr>
          <w:rFonts w:ascii="Times New Roman" w:eastAsia="Times New Roman" w:hAnsi="Times New Roman" w:cs="Times New Roman"/>
          <w:color w:val="50595E"/>
          <w:sz w:val="20"/>
          <w:szCs w:val="20"/>
        </w:rPr>
        <w:t>, a lot of rural electrification programs and national electrification agencies have been created in these countries to monitor more accurately the needs and the status of rural development and electrification. Use of energy is important in improving people's standard of living. But electricity generation also can damage the environment. Whether such damage occurs depends largely on how electricity is generated. For example, burning coal releases twice as much carbon dioxide - a major contributor to global warming - as does burning an equivalent amount of natural gas.</w:t>
      </w:r>
    </w:p>
    <w:p w14:paraId="0275CD4D"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Long Definition: </w:t>
      </w:r>
      <w:r w:rsidRPr="00DB72A9">
        <w:rPr>
          <w:rFonts w:ascii="Times New Roman" w:eastAsia="Times New Roman" w:hAnsi="Times New Roman" w:cs="Times New Roman"/>
          <w:color w:val="50595E"/>
          <w:sz w:val="20"/>
          <w:szCs w:val="20"/>
        </w:rPr>
        <w:t>Access to electricity is the percentage of population with access to electricity. Electrification data are collected from industry, national surveys and international sources.</w:t>
      </w:r>
    </w:p>
    <w:p w14:paraId="7C51A6B6"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Periodicity: </w:t>
      </w:r>
      <w:r w:rsidRPr="00DB72A9">
        <w:rPr>
          <w:rFonts w:ascii="Times New Roman" w:eastAsia="Times New Roman" w:hAnsi="Times New Roman" w:cs="Times New Roman"/>
          <w:color w:val="50595E"/>
          <w:sz w:val="20"/>
          <w:szCs w:val="20"/>
        </w:rPr>
        <w:t>Annual</w:t>
      </w:r>
    </w:p>
    <w:p w14:paraId="6375869C"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Statistical Concept and Methodology: </w:t>
      </w:r>
      <w:r w:rsidRPr="00DB72A9">
        <w:rPr>
          <w:rFonts w:ascii="Times New Roman" w:eastAsia="Times New Roman" w:hAnsi="Times New Roman" w:cs="Times New Roman"/>
          <w:color w:val="50595E"/>
          <w:sz w:val="20"/>
          <w:szCs w:val="20"/>
        </w:rPr>
        <w:t xml:space="preserve">Data for access to electricity are collected among different sources: mostly data from nationally representative household surveys (including national censuses) were used. Survey sources include Demographic and Health Surveys (DHS) and Living Standards Measurement Surveys (LSMS), Multi-Indicator Cluster Surveys (MICS), the World Health Survey (WHS), other nationally developed and implemented surveys, and various government agencies (for example, ministries of energy and utilities). Given the low frequency and the regional distribution of some surveys, </w:t>
      </w:r>
      <w:proofErr w:type="gramStart"/>
      <w:r w:rsidRPr="00DB72A9">
        <w:rPr>
          <w:rFonts w:ascii="Times New Roman" w:eastAsia="Times New Roman" w:hAnsi="Times New Roman" w:cs="Times New Roman"/>
          <w:color w:val="50595E"/>
          <w:sz w:val="20"/>
          <w:szCs w:val="20"/>
        </w:rPr>
        <w:t>a number of</w:t>
      </w:r>
      <w:proofErr w:type="gramEnd"/>
      <w:r w:rsidRPr="00DB72A9">
        <w:rPr>
          <w:rFonts w:ascii="Times New Roman" w:eastAsia="Times New Roman" w:hAnsi="Times New Roman" w:cs="Times New Roman"/>
          <w:color w:val="50595E"/>
          <w:sz w:val="20"/>
          <w:szCs w:val="20"/>
        </w:rPr>
        <w:t xml:space="preserve"> countries have gaps in available data. To develop the historical evolution and starting point of electrification rates, a simple modeling approach was adopted to fill in the missing data points - around 1990, around 2000, and around 2010. Therefore, a country can have a continuum of zero to three data points. There are 42 countries with zero data point and the weighted regional average was used as an estimate for electrification in each of the data periods. 170 countries have between one and three data points and missing data are estimated by using a model with region, country, and time variables. The model keeps the original observation if data is available for any of the time periods. This modeling approach allowed the estimation of electrification rates for 212 countries over these three time periods (Indicated as "Estimate"). Notation "Assumption" refers to the assumption of universal access in countries classified as developed by the United Nations.</w:t>
      </w:r>
    </w:p>
    <w:p w14:paraId="2EB9EE35" w14:textId="77777777" w:rsidR="00DB72A9" w:rsidRPr="00DB72A9" w:rsidRDefault="00DB72A9" w:rsidP="00DB72A9">
      <w:pPr>
        <w:numPr>
          <w:ilvl w:val="0"/>
          <w:numId w:val="8"/>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Topic: </w:t>
      </w:r>
      <w:r w:rsidRPr="00DB72A9">
        <w:rPr>
          <w:rFonts w:ascii="Times New Roman" w:eastAsia="Times New Roman" w:hAnsi="Times New Roman" w:cs="Times New Roman"/>
          <w:color w:val="50595E"/>
          <w:sz w:val="20"/>
          <w:szCs w:val="20"/>
        </w:rPr>
        <w:t>Environment: Energy production &amp; use</w:t>
      </w:r>
    </w:p>
    <w:p w14:paraId="7C0FCA6B" w14:textId="2DF4316F" w:rsidR="00DB72A9" w:rsidRPr="00D52118" w:rsidRDefault="00DB72A9" w:rsidP="00B445D7">
      <w:pPr>
        <w:ind w:left="50"/>
        <w:rPr>
          <w:rFonts w:ascii="Times New Roman" w:hAnsi="Times New Roman" w:cs="Times New Roman"/>
        </w:rPr>
      </w:pPr>
    </w:p>
    <w:p w14:paraId="4991BD6B" w14:textId="77777777" w:rsidR="00DB72A9" w:rsidRPr="00DB72A9" w:rsidRDefault="00DB72A9" w:rsidP="00DB72A9">
      <w:pPr>
        <w:spacing w:after="0" w:line="420" w:lineRule="atLeast"/>
        <w:outlineLvl w:val="1"/>
        <w:rPr>
          <w:rFonts w:ascii="Times New Roman" w:eastAsia="Times New Roman" w:hAnsi="Times New Roman" w:cs="Times New Roman"/>
          <w:b/>
          <w:bCs/>
          <w:color w:val="101F28"/>
          <w:sz w:val="36"/>
          <w:szCs w:val="36"/>
        </w:rPr>
      </w:pPr>
      <w:r w:rsidRPr="00DB72A9">
        <w:rPr>
          <w:rFonts w:ascii="Times New Roman" w:eastAsia="Times New Roman" w:hAnsi="Times New Roman" w:cs="Times New Roman"/>
          <w:b/>
          <w:bCs/>
          <w:color w:val="101F28"/>
          <w:sz w:val="36"/>
          <w:szCs w:val="36"/>
        </w:rPr>
        <w:lastRenderedPageBreak/>
        <w:t>Net migration</w:t>
      </w:r>
    </w:p>
    <w:p w14:paraId="771C8D0E" w14:textId="77777777" w:rsidR="00DB72A9" w:rsidRPr="00DB72A9" w:rsidRDefault="00DB72A9" w:rsidP="00DB72A9">
      <w:pPr>
        <w:spacing w:after="300" w:line="240" w:lineRule="auto"/>
        <w:rPr>
          <w:rFonts w:ascii="Times New Roman" w:eastAsia="Times New Roman" w:hAnsi="Times New Roman" w:cs="Times New Roman"/>
          <w:color w:val="50595E"/>
          <w:sz w:val="20"/>
          <w:szCs w:val="20"/>
        </w:rPr>
      </w:pPr>
      <w:r w:rsidRPr="00DB72A9">
        <w:rPr>
          <w:rFonts w:ascii="Times New Roman" w:eastAsia="Times New Roman" w:hAnsi="Times New Roman" w:cs="Times New Roman"/>
          <w:color w:val="50595E"/>
          <w:sz w:val="20"/>
          <w:szCs w:val="20"/>
        </w:rPr>
        <w:t>Net migration is the net total of migrants during the period, that is, the total number of immigrants less the annual number of emigrants, including both citizens and noncitizens. Data are five-year estimates.</w:t>
      </w:r>
    </w:p>
    <w:p w14:paraId="33E7BD14"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Aggregation Method: </w:t>
      </w:r>
      <w:r w:rsidRPr="00DB72A9">
        <w:rPr>
          <w:rFonts w:ascii="Times New Roman" w:eastAsia="Times New Roman" w:hAnsi="Times New Roman" w:cs="Times New Roman"/>
          <w:color w:val="50595E"/>
          <w:sz w:val="20"/>
          <w:szCs w:val="20"/>
        </w:rPr>
        <w:t>Sum</w:t>
      </w:r>
    </w:p>
    <w:p w14:paraId="5C4D688D"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Development Relevance: </w:t>
      </w:r>
      <w:r w:rsidRPr="00DB72A9">
        <w:rPr>
          <w:rFonts w:ascii="Times New Roman" w:eastAsia="Times New Roman" w:hAnsi="Times New Roman" w:cs="Times New Roman"/>
          <w:color w:val="50595E"/>
          <w:sz w:val="20"/>
          <w:szCs w:val="20"/>
        </w:rPr>
        <w:t xml:space="preserve">Movement of people, most often through migration, is a significant part of global integration. Migrants contribute to the economies of both their host country and their country of origin. Yet reliable statistics on migration are difficult to collect and are often incomplete, making international comparisons a challenge. Global migration patterns have become increasingly complex in modern times, involving not just refugees, but also millions of economic migrants. In most developed countries, refugees are admitted for resettlement and are routinely included in population counts by censuses or population registers. But refugees and migrants, even if they often travel in the same way, are fundamentally different, and for that reason are treated very differently under modern international law. Migrants, especially economic migrants, choose to move in order to improve the </w:t>
      </w:r>
      <w:proofErr w:type="gramStart"/>
      <w:r w:rsidRPr="00DB72A9">
        <w:rPr>
          <w:rFonts w:ascii="Times New Roman" w:eastAsia="Times New Roman" w:hAnsi="Times New Roman" w:cs="Times New Roman"/>
          <w:color w:val="50595E"/>
          <w:sz w:val="20"/>
          <w:szCs w:val="20"/>
        </w:rPr>
        <w:t>future prospects</w:t>
      </w:r>
      <w:proofErr w:type="gramEnd"/>
      <w:r w:rsidRPr="00DB72A9">
        <w:rPr>
          <w:rFonts w:ascii="Times New Roman" w:eastAsia="Times New Roman" w:hAnsi="Times New Roman" w:cs="Times New Roman"/>
          <w:color w:val="50595E"/>
          <w:sz w:val="20"/>
          <w:szCs w:val="20"/>
        </w:rPr>
        <w:t xml:space="preserve"> of themselves and their families. Refugees </w:t>
      </w:r>
      <w:proofErr w:type="gramStart"/>
      <w:r w:rsidRPr="00DB72A9">
        <w:rPr>
          <w:rFonts w:ascii="Times New Roman" w:eastAsia="Times New Roman" w:hAnsi="Times New Roman" w:cs="Times New Roman"/>
          <w:color w:val="50595E"/>
          <w:sz w:val="20"/>
          <w:szCs w:val="20"/>
        </w:rPr>
        <w:t>have to</w:t>
      </w:r>
      <w:proofErr w:type="gramEnd"/>
      <w:r w:rsidRPr="00DB72A9">
        <w:rPr>
          <w:rFonts w:ascii="Times New Roman" w:eastAsia="Times New Roman" w:hAnsi="Times New Roman" w:cs="Times New Roman"/>
          <w:color w:val="50595E"/>
          <w:sz w:val="20"/>
          <w:szCs w:val="20"/>
        </w:rPr>
        <w:t xml:space="preserve"> move if they are to save their lives or preserve their freedom.</w:t>
      </w:r>
    </w:p>
    <w:p w14:paraId="20B0E395"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Limitations and Exceptions: </w:t>
      </w:r>
      <w:r w:rsidRPr="00DB72A9">
        <w:rPr>
          <w:rFonts w:ascii="Times New Roman" w:eastAsia="Times New Roman" w:hAnsi="Times New Roman" w:cs="Times New Roman"/>
          <w:color w:val="50595E"/>
          <w:sz w:val="20"/>
          <w:szCs w:val="20"/>
        </w:rPr>
        <w:t>International migration is the component of population change most difficult to measure and estimate reliably. Thus, the quality and quantity of the data used in the estimation and projection of net migration varies considerably by country. Furthermore, the movement of people across international boundaries, which is very often a response to changing socio-economic, political and environmental forces, is subject to a great deal of volatility. Refugee movements, for instance, may involve large numbers of people moving across boundaries in a short time. For these reasons, projections of future international migration levels are the least robust part of current population projections and reflect mainly a continuation of recent levels and trends in net migration.</w:t>
      </w:r>
    </w:p>
    <w:p w14:paraId="3D17965B"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Long Definition: </w:t>
      </w:r>
      <w:r w:rsidRPr="00DB72A9">
        <w:rPr>
          <w:rFonts w:ascii="Times New Roman" w:eastAsia="Times New Roman" w:hAnsi="Times New Roman" w:cs="Times New Roman"/>
          <w:color w:val="50595E"/>
          <w:sz w:val="20"/>
          <w:szCs w:val="20"/>
        </w:rPr>
        <w:t>Net migration is the net total of migrants during the period, that is, the total number of immigrants less the annual number of emigrants, including both citizens and noncitizens. Data are five-year estimates.</w:t>
      </w:r>
    </w:p>
    <w:p w14:paraId="4CF008FC"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Periodicity: </w:t>
      </w:r>
      <w:r w:rsidRPr="00DB72A9">
        <w:rPr>
          <w:rFonts w:ascii="Times New Roman" w:eastAsia="Times New Roman" w:hAnsi="Times New Roman" w:cs="Times New Roman"/>
          <w:color w:val="50595E"/>
          <w:sz w:val="20"/>
          <w:szCs w:val="20"/>
        </w:rPr>
        <w:t>Annual</w:t>
      </w:r>
    </w:p>
    <w:p w14:paraId="2F9582EA"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proofErr w:type="spellStart"/>
      <w:r w:rsidRPr="00DB72A9">
        <w:rPr>
          <w:rFonts w:ascii="Times New Roman" w:eastAsia="Times New Roman" w:hAnsi="Times New Roman" w:cs="Times New Roman"/>
          <w:b/>
          <w:bCs/>
          <w:color w:val="50595E"/>
          <w:sz w:val="20"/>
          <w:szCs w:val="20"/>
        </w:rPr>
        <w:t>Shortdefinition</w:t>
      </w:r>
      <w:proofErr w:type="spellEnd"/>
      <w:r w:rsidRPr="00DB72A9">
        <w:rPr>
          <w:rFonts w:ascii="Times New Roman" w:eastAsia="Times New Roman" w:hAnsi="Times New Roman" w:cs="Times New Roman"/>
          <w:b/>
          <w:bCs/>
          <w:color w:val="50595E"/>
          <w:sz w:val="20"/>
          <w:szCs w:val="20"/>
        </w:rPr>
        <w:t>: </w:t>
      </w:r>
      <w:r w:rsidRPr="00DB72A9">
        <w:rPr>
          <w:rFonts w:ascii="Times New Roman" w:eastAsia="Times New Roman" w:hAnsi="Times New Roman" w:cs="Times New Roman"/>
          <w:color w:val="50595E"/>
          <w:sz w:val="20"/>
          <w:szCs w:val="20"/>
        </w:rPr>
        <w:t>Net migration is the number of immigrants minus the number of emigrants, including citizens and noncitizens, for the five-year period.</w:t>
      </w:r>
    </w:p>
    <w:p w14:paraId="15CC1CE8"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Statistical Concept and Methodology: </w:t>
      </w:r>
      <w:r w:rsidRPr="00DB72A9">
        <w:rPr>
          <w:rFonts w:ascii="Times New Roman" w:eastAsia="Times New Roman" w:hAnsi="Times New Roman" w:cs="Times New Roman"/>
          <w:color w:val="50595E"/>
          <w:sz w:val="20"/>
          <w:szCs w:val="20"/>
        </w:rPr>
        <w:t xml:space="preserve">The United Nations Population Division provides data on net migration and migrant stock. Because data on migrant stock is difficult for countries to collect, the United Nations Population Division </w:t>
      </w:r>
      <w:proofErr w:type="gramStart"/>
      <w:r w:rsidRPr="00DB72A9">
        <w:rPr>
          <w:rFonts w:ascii="Times New Roman" w:eastAsia="Times New Roman" w:hAnsi="Times New Roman" w:cs="Times New Roman"/>
          <w:color w:val="50595E"/>
          <w:sz w:val="20"/>
          <w:szCs w:val="20"/>
        </w:rPr>
        <w:t>takes into account</w:t>
      </w:r>
      <w:proofErr w:type="gramEnd"/>
      <w:r w:rsidRPr="00DB72A9">
        <w:rPr>
          <w:rFonts w:ascii="Times New Roman" w:eastAsia="Times New Roman" w:hAnsi="Times New Roman" w:cs="Times New Roman"/>
          <w:color w:val="50595E"/>
          <w:sz w:val="20"/>
          <w:szCs w:val="20"/>
        </w:rPr>
        <w:t xml:space="preserve"> the past migration history of a country or area, the migration policy of a country, and the influx of refugees in recent periods when deriving estimates of net migration. The data to calculate these estimates come from a variety of sources, including border statistics, administrative records, surveys, and censuses. When there is insufficient data, net migration is derived through the difference between the overall population growth rate and the rate of natural increase (the difference between the birth rate and the death rate) during the same period. Such calculations are usually made for intercensal periods. The estimates are also derived from the data on foreign-born population - people who have residence in one country but were born in another country. When data on the foreign-born population are not available, data on foreign population - that is, people who are citizens of a country other than the country in which they reside - are used as estimates.</w:t>
      </w:r>
    </w:p>
    <w:p w14:paraId="527DB836" w14:textId="77777777" w:rsidR="00DB72A9" w:rsidRPr="00DB72A9" w:rsidRDefault="00DB72A9" w:rsidP="00DB72A9">
      <w:pPr>
        <w:numPr>
          <w:ilvl w:val="0"/>
          <w:numId w:val="9"/>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B72A9">
        <w:rPr>
          <w:rFonts w:ascii="Times New Roman" w:eastAsia="Times New Roman" w:hAnsi="Times New Roman" w:cs="Times New Roman"/>
          <w:b/>
          <w:bCs/>
          <w:color w:val="50595E"/>
          <w:sz w:val="20"/>
          <w:szCs w:val="20"/>
        </w:rPr>
        <w:t>Topic: </w:t>
      </w:r>
      <w:r w:rsidRPr="00DB72A9">
        <w:rPr>
          <w:rFonts w:ascii="Times New Roman" w:eastAsia="Times New Roman" w:hAnsi="Times New Roman" w:cs="Times New Roman"/>
          <w:color w:val="50595E"/>
          <w:sz w:val="20"/>
          <w:szCs w:val="20"/>
        </w:rPr>
        <w:t>Social Protection &amp; Labor: Migration</w:t>
      </w:r>
    </w:p>
    <w:p w14:paraId="32D0EFB4" w14:textId="77777777" w:rsidR="00D8208F" w:rsidRPr="00D8208F" w:rsidRDefault="00D8208F" w:rsidP="00D8208F">
      <w:pPr>
        <w:spacing w:after="0" w:line="420" w:lineRule="atLeast"/>
        <w:outlineLvl w:val="1"/>
        <w:rPr>
          <w:rFonts w:ascii="Times New Roman" w:eastAsia="Times New Roman" w:hAnsi="Times New Roman" w:cs="Times New Roman"/>
          <w:b/>
          <w:bCs/>
          <w:color w:val="101F28"/>
          <w:sz w:val="36"/>
          <w:szCs w:val="36"/>
        </w:rPr>
      </w:pPr>
      <w:r w:rsidRPr="00D8208F">
        <w:rPr>
          <w:rFonts w:ascii="Times New Roman" w:eastAsia="Times New Roman" w:hAnsi="Times New Roman" w:cs="Times New Roman"/>
          <w:b/>
          <w:bCs/>
          <w:color w:val="101F28"/>
          <w:sz w:val="36"/>
          <w:szCs w:val="36"/>
        </w:rPr>
        <w:t>Fertility rate, total (births per woman)</w:t>
      </w:r>
    </w:p>
    <w:p w14:paraId="1488911A" w14:textId="77777777" w:rsidR="00D8208F" w:rsidRPr="00D8208F" w:rsidRDefault="00D8208F" w:rsidP="00D8208F">
      <w:pPr>
        <w:spacing w:after="300" w:line="240" w:lineRule="auto"/>
        <w:rPr>
          <w:rFonts w:ascii="Times New Roman" w:eastAsia="Times New Roman" w:hAnsi="Times New Roman" w:cs="Times New Roman"/>
          <w:color w:val="50595E"/>
          <w:sz w:val="20"/>
          <w:szCs w:val="20"/>
        </w:rPr>
      </w:pPr>
      <w:r w:rsidRPr="00D8208F">
        <w:rPr>
          <w:rFonts w:ascii="Times New Roman" w:eastAsia="Times New Roman" w:hAnsi="Times New Roman" w:cs="Times New Roman"/>
          <w:color w:val="50595E"/>
          <w:sz w:val="20"/>
          <w:szCs w:val="20"/>
        </w:rPr>
        <w:t>Total fertility rate represents the number of children that would be born to a woman if she were to live to the end of her childbearing years and bear children in accordance with age-specific fertility rates of the specified year.</w:t>
      </w:r>
    </w:p>
    <w:p w14:paraId="7E7883CE"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Aggregation Method: </w:t>
      </w:r>
      <w:r w:rsidRPr="00D8208F">
        <w:rPr>
          <w:rFonts w:ascii="Times New Roman" w:eastAsia="Times New Roman" w:hAnsi="Times New Roman" w:cs="Times New Roman"/>
          <w:color w:val="50595E"/>
          <w:sz w:val="20"/>
          <w:szCs w:val="20"/>
        </w:rPr>
        <w:t>Weighted average</w:t>
      </w:r>
    </w:p>
    <w:p w14:paraId="70657A02"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Development Relevance: </w:t>
      </w:r>
      <w:r w:rsidRPr="00D8208F">
        <w:rPr>
          <w:rFonts w:ascii="Times New Roman" w:eastAsia="Times New Roman" w:hAnsi="Times New Roman" w:cs="Times New Roman"/>
          <w:color w:val="50595E"/>
          <w:sz w:val="20"/>
          <w:szCs w:val="20"/>
        </w:rPr>
        <w:t>Reproductive health is a state of physical and mental well-being in relation to the reproductive system and its functions and processes. Means of achieving reproductive health include education and services during pregnancy and childbirth, safe and effective contraception, and prevention and treatment of sexually transmitted diseases. Complications of pregnancy and childbirth are the leading cause of death and disability among women of reproductive age in developing countries.</w:t>
      </w:r>
    </w:p>
    <w:p w14:paraId="00068874"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lastRenderedPageBreak/>
        <w:t>General Comments: </w:t>
      </w:r>
      <w:r w:rsidRPr="00D8208F">
        <w:rPr>
          <w:rFonts w:ascii="Times New Roman" w:eastAsia="Times New Roman" w:hAnsi="Times New Roman" w:cs="Times New Roman"/>
          <w:color w:val="50595E"/>
          <w:sz w:val="20"/>
          <w:szCs w:val="20"/>
        </w:rPr>
        <w:t>Relevance to gender indicator: it can indicate the status of women within households and a woman’s decision about the number and spacing of children.</w:t>
      </w:r>
    </w:p>
    <w:p w14:paraId="15AD8902"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Limitations and Exceptions: </w:t>
      </w:r>
      <w:r w:rsidRPr="00D8208F">
        <w:rPr>
          <w:rFonts w:ascii="Times New Roman" w:eastAsia="Times New Roman" w:hAnsi="Times New Roman" w:cs="Times New Roman"/>
          <w:color w:val="50595E"/>
          <w:sz w:val="20"/>
          <w:szCs w:val="20"/>
        </w:rPr>
        <w:t xml:space="preserve">Annual data series from United Nations Population Division's World Population Prospects are interpolated data from 5-year period data. </w:t>
      </w:r>
      <w:proofErr w:type="gramStart"/>
      <w:r w:rsidRPr="00D8208F">
        <w:rPr>
          <w:rFonts w:ascii="Times New Roman" w:eastAsia="Times New Roman" w:hAnsi="Times New Roman" w:cs="Times New Roman"/>
          <w:color w:val="50595E"/>
          <w:sz w:val="20"/>
          <w:szCs w:val="20"/>
        </w:rPr>
        <w:t>Therefore</w:t>
      </w:r>
      <w:proofErr w:type="gramEnd"/>
      <w:r w:rsidRPr="00D8208F">
        <w:rPr>
          <w:rFonts w:ascii="Times New Roman" w:eastAsia="Times New Roman" w:hAnsi="Times New Roman" w:cs="Times New Roman"/>
          <w:color w:val="50595E"/>
          <w:sz w:val="20"/>
          <w:szCs w:val="20"/>
        </w:rPr>
        <w:t xml:space="preserve"> they may not reflect real events as much as observed data.</w:t>
      </w:r>
    </w:p>
    <w:p w14:paraId="3D6DD46A"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Long Definition: </w:t>
      </w:r>
      <w:r w:rsidRPr="00D8208F">
        <w:rPr>
          <w:rFonts w:ascii="Times New Roman" w:eastAsia="Times New Roman" w:hAnsi="Times New Roman" w:cs="Times New Roman"/>
          <w:color w:val="50595E"/>
          <w:sz w:val="20"/>
          <w:szCs w:val="20"/>
        </w:rPr>
        <w:t>Total fertility rate represents the number of children that would be born to a woman if she were to live to the end of her childbearing years and bear children in accordance with age-specific fertility rates of the specified year.</w:t>
      </w:r>
    </w:p>
    <w:p w14:paraId="397AC0F7"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Periodicity: </w:t>
      </w:r>
      <w:r w:rsidRPr="00D8208F">
        <w:rPr>
          <w:rFonts w:ascii="Times New Roman" w:eastAsia="Times New Roman" w:hAnsi="Times New Roman" w:cs="Times New Roman"/>
          <w:color w:val="50595E"/>
          <w:sz w:val="20"/>
          <w:szCs w:val="20"/>
        </w:rPr>
        <w:t>Annual</w:t>
      </w:r>
    </w:p>
    <w:p w14:paraId="35499EEB"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Statistical Concept and Methodology: </w:t>
      </w:r>
      <w:r w:rsidRPr="00D8208F">
        <w:rPr>
          <w:rFonts w:ascii="Times New Roman" w:eastAsia="Times New Roman" w:hAnsi="Times New Roman" w:cs="Times New Roman"/>
          <w:color w:val="50595E"/>
          <w:sz w:val="20"/>
          <w:szCs w:val="20"/>
        </w:rPr>
        <w:t>Total fertility rates are based on data on registered live births from vital registration systems or, in the absence of such systems, from censuses or sample surveys. The estimated rates are generally considered reliable measures of fertility in the recent past. Where no empirical information on age-specific fertility rates is available, a model is used to estimate the share of births to adolescents. For countries without vital registration systems fertility rates are generally based on extrapolations from trends observed in censuses or surveys from earlier years.</w:t>
      </w:r>
    </w:p>
    <w:p w14:paraId="64627962" w14:textId="77777777" w:rsidR="00D8208F" w:rsidRPr="00D8208F" w:rsidRDefault="00D8208F" w:rsidP="00D8208F">
      <w:pPr>
        <w:numPr>
          <w:ilvl w:val="0"/>
          <w:numId w:val="10"/>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D8208F">
        <w:rPr>
          <w:rFonts w:ascii="Times New Roman" w:eastAsia="Times New Roman" w:hAnsi="Times New Roman" w:cs="Times New Roman"/>
          <w:b/>
          <w:bCs/>
          <w:color w:val="50595E"/>
          <w:sz w:val="20"/>
          <w:szCs w:val="20"/>
        </w:rPr>
        <w:t>Topic: </w:t>
      </w:r>
      <w:r w:rsidRPr="00D8208F">
        <w:rPr>
          <w:rFonts w:ascii="Times New Roman" w:eastAsia="Times New Roman" w:hAnsi="Times New Roman" w:cs="Times New Roman"/>
          <w:color w:val="50595E"/>
          <w:sz w:val="20"/>
          <w:szCs w:val="20"/>
        </w:rPr>
        <w:t>Health: Reproductive health</w:t>
      </w:r>
    </w:p>
    <w:p w14:paraId="3F5E579C" w14:textId="0C598E49" w:rsidR="00D8208F" w:rsidRPr="00D52118" w:rsidRDefault="00D8208F" w:rsidP="00B445D7">
      <w:pPr>
        <w:ind w:left="50"/>
        <w:rPr>
          <w:rFonts w:ascii="Times New Roman" w:hAnsi="Times New Roman" w:cs="Times New Roman"/>
        </w:rPr>
      </w:pPr>
    </w:p>
    <w:p w14:paraId="62B450FF" w14:textId="3A94359B" w:rsidR="006204A6" w:rsidRPr="00D52118" w:rsidRDefault="006204A6" w:rsidP="00B445D7">
      <w:pPr>
        <w:ind w:left="50"/>
        <w:rPr>
          <w:rFonts w:ascii="Times New Roman" w:hAnsi="Times New Roman" w:cs="Times New Roman"/>
        </w:rPr>
      </w:pPr>
    </w:p>
    <w:p w14:paraId="65C1EBA2" w14:textId="77777777" w:rsidR="006204A6" w:rsidRPr="006204A6" w:rsidRDefault="006204A6" w:rsidP="006204A6">
      <w:pPr>
        <w:spacing w:after="0" w:line="420" w:lineRule="atLeast"/>
        <w:outlineLvl w:val="1"/>
        <w:rPr>
          <w:rFonts w:ascii="Times New Roman" w:eastAsia="Times New Roman" w:hAnsi="Times New Roman" w:cs="Times New Roman"/>
          <w:b/>
          <w:bCs/>
          <w:color w:val="101F28"/>
          <w:sz w:val="36"/>
          <w:szCs w:val="36"/>
        </w:rPr>
      </w:pPr>
      <w:r w:rsidRPr="006204A6">
        <w:rPr>
          <w:rFonts w:ascii="Times New Roman" w:eastAsia="Times New Roman" w:hAnsi="Times New Roman" w:cs="Times New Roman"/>
          <w:b/>
          <w:bCs/>
          <w:color w:val="101F28"/>
          <w:sz w:val="36"/>
          <w:szCs w:val="36"/>
        </w:rPr>
        <w:t>Births attended by skilled health staff (% of total)</w:t>
      </w:r>
    </w:p>
    <w:p w14:paraId="5B79A5D4" w14:textId="77777777" w:rsidR="006204A6" w:rsidRPr="006204A6" w:rsidRDefault="006204A6" w:rsidP="006204A6">
      <w:pPr>
        <w:spacing w:after="300" w:line="240" w:lineRule="auto"/>
        <w:rPr>
          <w:rFonts w:ascii="Times New Roman" w:eastAsia="Times New Roman" w:hAnsi="Times New Roman" w:cs="Times New Roman"/>
          <w:color w:val="50595E"/>
          <w:sz w:val="20"/>
          <w:szCs w:val="20"/>
        </w:rPr>
      </w:pPr>
      <w:r w:rsidRPr="006204A6">
        <w:rPr>
          <w:rFonts w:ascii="Times New Roman" w:eastAsia="Times New Roman" w:hAnsi="Times New Roman" w:cs="Times New Roman"/>
          <w:color w:val="50595E"/>
          <w:sz w:val="20"/>
          <w:szCs w:val="20"/>
        </w:rPr>
        <w:t>Births attended by skilled health staff are the percentage of deliveries attended by personnel trained to give the necessary supervision, care, and advice to women during pregnancy, labor, and the postpartum period; to conduct deliveries on their own; and to care for newborns.</w:t>
      </w:r>
    </w:p>
    <w:p w14:paraId="4551FC05"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Aggregation Method: </w:t>
      </w:r>
      <w:r w:rsidRPr="006204A6">
        <w:rPr>
          <w:rFonts w:ascii="Times New Roman" w:eastAsia="Times New Roman" w:hAnsi="Times New Roman" w:cs="Times New Roman"/>
          <w:color w:val="50595E"/>
          <w:sz w:val="20"/>
          <w:szCs w:val="20"/>
        </w:rPr>
        <w:t>Weighted average</w:t>
      </w:r>
    </w:p>
    <w:p w14:paraId="753E2F3E"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Development Relevance: </w:t>
      </w:r>
      <w:r w:rsidRPr="006204A6">
        <w:rPr>
          <w:rFonts w:ascii="Times New Roman" w:eastAsia="Times New Roman" w:hAnsi="Times New Roman" w:cs="Times New Roman"/>
          <w:color w:val="50595E"/>
          <w:sz w:val="20"/>
          <w:szCs w:val="20"/>
        </w:rPr>
        <w:t>Reproductive health is a state of physical and mental well-being in relation to the reproductive system and its functions and processes. Means of achieving reproductive health include education and services during pregnancy and childbirth, safe and effective contraception, and prevention and treatment of sexually transmitted diseases. Complications of pregnancy and childbirth are the leading cause of death and disability among women of reproductive age in developing countries. The share of births attended by skilled health staff is an indicator of a health system's ability to provide adequate care for pregnant women.</w:t>
      </w:r>
    </w:p>
    <w:p w14:paraId="6DA75F26"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General Comments: </w:t>
      </w:r>
      <w:r w:rsidRPr="006204A6">
        <w:rPr>
          <w:rFonts w:ascii="Times New Roman" w:eastAsia="Times New Roman" w:hAnsi="Times New Roman" w:cs="Times New Roman"/>
          <w:color w:val="50595E"/>
          <w:sz w:val="20"/>
          <w:szCs w:val="20"/>
        </w:rPr>
        <w:t>Assistance by trained professionals during birth reduces the incidence of maternal deaths during childbirth. The share of births attended by skilled health staff is an indicator of a health system’s ability to provide adequate care for pregnant women.</w:t>
      </w:r>
    </w:p>
    <w:p w14:paraId="48FA17EF"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Limitations and Exceptions: </w:t>
      </w:r>
      <w:r w:rsidRPr="006204A6">
        <w:rPr>
          <w:rFonts w:ascii="Times New Roman" w:eastAsia="Times New Roman" w:hAnsi="Times New Roman" w:cs="Times New Roman"/>
          <w:color w:val="50595E"/>
          <w:sz w:val="20"/>
          <w:szCs w:val="20"/>
        </w:rPr>
        <w:t>For the indicators that are from household surveys, the year refers to the survey year. For more information, consult the original sources.</w:t>
      </w:r>
    </w:p>
    <w:p w14:paraId="3D7511A7"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Long Definition: </w:t>
      </w:r>
      <w:r w:rsidRPr="006204A6">
        <w:rPr>
          <w:rFonts w:ascii="Times New Roman" w:eastAsia="Times New Roman" w:hAnsi="Times New Roman" w:cs="Times New Roman"/>
          <w:color w:val="50595E"/>
          <w:sz w:val="20"/>
          <w:szCs w:val="20"/>
        </w:rPr>
        <w:t>Births attended by skilled health staff are the percentage of deliveries attended by personnel trained to give the necessary supervision, care, and advice to women during pregnancy, labor, and the postpartum period; to conduct deliveries on their own; and to care for newborns.</w:t>
      </w:r>
    </w:p>
    <w:p w14:paraId="4F3307BD"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Periodicity: </w:t>
      </w:r>
      <w:r w:rsidRPr="006204A6">
        <w:rPr>
          <w:rFonts w:ascii="Times New Roman" w:eastAsia="Times New Roman" w:hAnsi="Times New Roman" w:cs="Times New Roman"/>
          <w:color w:val="50595E"/>
          <w:sz w:val="20"/>
          <w:szCs w:val="20"/>
        </w:rPr>
        <w:t>Annual</w:t>
      </w:r>
    </w:p>
    <w:p w14:paraId="73BCAFDB" w14:textId="77777777" w:rsidR="006204A6" w:rsidRPr="006204A6" w:rsidRDefault="006204A6" w:rsidP="006204A6">
      <w:pPr>
        <w:numPr>
          <w:ilvl w:val="0"/>
          <w:numId w:val="11"/>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6204A6">
        <w:rPr>
          <w:rFonts w:ascii="Times New Roman" w:eastAsia="Times New Roman" w:hAnsi="Times New Roman" w:cs="Times New Roman"/>
          <w:b/>
          <w:bCs/>
          <w:color w:val="50595E"/>
          <w:sz w:val="20"/>
          <w:szCs w:val="20"/>
        </w:rPr>
        <w:t>Topic: </w:t>
      </w:r>
      <w:r w:rsidRPr="006204A6">
        <w:rPr>
          <w:rFonts w:ascii="Times New Roman" w:eastAsia="Times New Roman" w:hAnsi="Times New Roman" w:cs="Times New Roman"/>
          <w:color w:val="50595E"/>
          <w:sz w:val="20"/>
          <w:szCs w:val="20"/>
        </w:rPr>
        <w:t>Health: Reproductive health</w:t>
      </w:r>
    </w:p>
    <w:p w14:paraId="62D95585" w14:textId="7A1539A9" w:rsidR="006204A6" w:rsidRPr="00D52118" w:rsidRDefault="006204A6" w:rsidP="00B445D7">
      <w:pPr>
        <w:ind w:left="50"/>
        <w:rPr>
          <w:rFonts w:ascii="Times New Roman" w:hAnsi="Times New Roman" w:cs="Times New Roman"/>
        </w:rPr>
      </w:pPr>
    </w:p>
    <w:p w14:paraId="1B51EFF3" w14:textId="0D9CE33E" w:rsidR="004F1724" w:rsidRDefault="004F1724" w:rsidP="00B445D7">
      <w:pPr>
        <w:ind w:left="50"/>
        <w:rPr>
          <w:rFonts w:ascii="Times New Roman" w:hAnsi="Times New Roman" w:cs="Times New Roman"/>
        </w:rPr>
      </w:pPr>
    </w:p>
    <w:p w14:paraId="56C6784C" w14:textId="77777777" w:rsidR="00A90F1C" w:rsidRPr="00D52118" w:rsidRDefault="00A90F1C" w:rsidP="00B445D7">
      <w:pPr>
        <w:ind w:left="50"/>
        <w:rPr>
          <w:rFonts w:ascii="Times New Roman" w:hAnsi="Times New Roman" w:cs="Times New Roman"/>
        </w:rPr>
      </w:pPr>
    </w:p>
    <w:p w14:paraId="0844EBB8" w14:textId="5713AFA9" w:rsidR="004F1724" w:rsidRPr="00D52118" w:rsidRDefault="004F1724" w:rsidP="00B445D7">
      <w:pPr>
        <w:ind w:left="50"/>
        <w:rPr>
          <w:rFonts w:ascii="Times New Roman" w:hAnsi="Times New Roman" w:cs="Times New Roman"/>
        </w:rPr>
      </w:pPr>
    </w:p>
    <w:p w14:paraId="70FA8559" w14:textId="77777777" w:rsidR="004F1724" w:rsidRPr="004F1724" w:rsidRDefault="004F1724" w:rsidP="004F1724">
      <w:pPr>
        <w:spacing w:after="0" w:line="420" w:lineRule="atLeast"/>
        <w:outlineLvl w:val="1"/>
        <w:rPr>
          <w:rFonts w:ascii="Times New Roman" w:eastAsia="Times New Roman" w:hAnsi="Times New Roman" w:cs="Times New Roman"/>
          <w:b/>
          <w:bCs/>
          <w:color w:val="101F28"/>
          <w:sz w:val="36"/>
          <w:szCs w:val="36"/>
        </w:rPr>
      </w:pPr>
      <w:r w:rsidRPr="004F1724">
        <w:rPr>
          <w:rFonts w:ascii="Times New Roman" w:eastAsia="Times New Roman" w:hAnsi="Times New Roman" w:cs="Times New Roman"/>
          <w:b/>
          <w:bCs/>
          <w:color w:val="101F28"/>
          <w:sz w:val="36"/>
          <w:szCs w:val="36"/>
        </w:rPr>
        <w:lastRenderedPageBreak/>
        <w:t>Hospital beds (per 1,000 people)</w:t>
      </w:r>
    </w:p>
    <w:p w14:paraId="55DA9361" w14:textId="77777777" w:rsidR="004F1724" w:rsidRPr="004F1724" w:rsidRDefault="004F1724" w:rsidP="004F1724">
      <w:pPr>
        <w:spacing w:after="300" w:line="240" w:lineRule="auto"/>
        <w:rPr>
          <w:rFonts w:ascii="Times New Roman" w:eastAsia="Times New Roman" w:hAnsi="Times New Roman" w:cs="Times New Roman"/>
          <w:color w:val="50595E"/>
          <w:sz w:val="20"/>
          <w:szCs w:val="20"/>
        </w:rPr>
      </w:pPr>
      <w:r w:rsidRPr="004F1724">
        <w:rPr>
          <w:rFonts w:ascii="Times New Roman" w:eastAsia="Times New Roman" w:hAnsi="Times New Roman" w:cs="Times New Roman"/>
          <w:color w:val="50595E"/>
          <w:sz w:val="20"/>
          <w:szCs w:val="20"/>
        </w:rPr>
        <w:t>Hospital beds include inpatient beds available in public, private, general, and specialized hospitals and rehabilitation centers. In most cases beds for both acute and chronic care are included.</w:t>
      </w:r>
    </w:p>
    <w:p w14:paraId="4E7586C4"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Aggregation Method: </w:t>
      </w:r>
      <w:r w:rsidRPr="004F1724">
        <w:rPr>
          <w:rFonts w:ascii="Times New Roman" w:eastAsia="Times New Roman" w:hAnsi="Times New Roman" w:cs="Times New Roman"/>
          <w:color w:val="50595E"/>
          <w:sz w:val="20"/>
          <w:szCs w:val="20"/>
        </w:rPr>
        <w:t>Weighted average</w:t>
      </w:r>
    </w:p>
    <w:p w14:paraId="0DBFEB9E"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Limitations and Exceptions: </w:t>
      </w:r>
      <w:r w:rsidRPr="004F1724">
        <w:rPr>
          <w:rFonts w:ascii="Times New Roman" w:eastAsia="Times New Roman" w:hAnsi="Times New Roman" w:cs="Times New Roman"/>
          <w:color w:val="50595E"/>
          <w:sz w:val="20"/>
          <w:szCs w:val="20"/>
        </w:rPr>
        <w:t>Depending on the source and means of monitoring, data may not be exactly comparable across countries. For more information, see the original source.</w:t>
      </w:r>
    </w:p>
    <w:p w14:paraId="16BEBAC8"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Long Definition: </w:t>
      </w:r>
      <w:r w:rsidRPr="004F1724">
        <w:rPr>
          <w:rFonts w:ascii="Times New Roman" w:eastAsia="Times New Roman" w:hAnsi="Times New Roman" w:cs="Times New Roman"/>
          <w:color w:val="50595E"/>
          <w:sz w:val="20"/>
          <w:szCs w:val="20"/>
        </w:rPr>
        <w:t>Hospital beds include inpatient beds available in public, private, general, and specialized hospitals and rehabilitation centers. In most cases beds for both acute and chronic care are included.</w:t>
      </w:r>
    </w:p>
    <w:p w14:paraId="2E104ED8" w14:textId="415A1A1A"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Notes</w:t>
      </w:r>
      <w:r w:rsidR="003B6BBD">
        <w:rPr>
          <w:rFonts w:ascii="Times New Roman" w:eastAsia="Times New Roman" w:hAnsi="Times New Roman" w:cs="Times New Roman"/>
          <w:b/>
          <w:bCs/>
          <w:color w:val="50595E"/>
          <w:sz w:val="20"/>
          <w:szCs w:val="20"/>
        </w:rPr>
        <w:t xml:space="preserve"> </w:t>
      </w:r>
      <w:r w:rsidRPr="004F1724">
        <w:rPr>
          <w:rFonts w:ascii="Times New Roman" w:eastAsia="Times New Roman" w:hAnsi="Times New Roman" w:cs="Times New Roman"/>
          <w:b/>
          <w:bCs/>
          <w:color w:val="50595E"/>
          <w:sz w:val="20"/>
          <w:szCs w:val="20"/>
        </w:rPr>
        <w:t>from</w:t>
      </w:r>
      <w:r w:rsidR="003B6BBD">
        <w:rPr>
          <w:rFonts w:ascii="Times New Roman" w:eastAsia="Times New Roman" w:hAnsi="Times New Roman" w:cs="Times New Roman"/>
          <w:b/>
          <w:bCs/>
          <w:color w:val="50595E"/>
          <w:sz w:val="20"/>
          <w:szCs w:val="20"/>
        </w:rPr>
        <w:t xml:space="preserve"> </w:t>
      </w:r>
      <w:r w:rsidRPr="004F1724">
        <w:rPr>
          <w:rFonts w:ascii="Times New Roman" w:eastAsia="Times New Roman" w:hAnsi="Times New Roman" w:cs="Times New Roman"/>
          <w:b/>
          <w:bCs/>
          <w:color w:val="50595E"/>
          <w:sz w:val="20"/>
          <w:szCs w:val="20"/>
        </w:rPr>
        <w:t>original</w:t>
      </w:r>
      <w:r w:rsidR="003B6BBD">
        <w:rPr>
          <w:rFonts w:ascii="Times New Roman" w:eastAsia="Times New Roman" w:hAnsi="Times New Roman" w:cs="Times New Roman"/>
          <w:b/>
          <w:bCs/>
          <w:color w:val="50595E"/>
          <w:sz w:val="20"/>
          <w:szCs w:val="20"/>
        </w:rPr>
        <w:t xml:space="preserve"> </w:t>
      </w:r>
      <w:r w:rsidRPr="004F1724">
        <w:rPr>
          <w:rFonts w:ascii="Times New Roman" w:eastAsia="Times New Roman" w:hAnsi="Times New Roman" w:cs="Times New Roman"/>
          <w:b/>
          <w:bCs/>
          <w:color w:val="50595E"/>
          <w:sz w:val="20"/>
          <w:szCs w:val="20"/>
        </w:rPr>
        <w:t>source: </w:t>
      </w:r>
      <w:r w:rsidRPr="004F1724">
        <w:rPr>
          <w:rFonts w:ascii="Times New Roman" w:eastAsia="Times New Roman" w:hAnsi="Times New Roman" w:cs="Times New Roman"/>
          <w:color w:val="50595E"/>
          <w:sz w:val="20"/>
          <w:szCs w:val="20"/>
        </w:rPr>
        <w:t>Depending on the source and means of monitoring, data may not be exactly comparable across countries. See listed source for country-specific details.</w:t>
      </w:r>
    </w:p>
    <w:p w14:paraId="42AD732F"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Periodicity: </w:t>
      </w:r>
      <w:r w:rsidRPr="004F1724">
        <w:rPr>
          <w:rFonts w:ascii="Times New Roman" w:eastAsia="Times New Roman" w:hAnsi="Times New Roman" w:cs="Times New Roman"/>
          <w:color w:val="50595E"/>
          <w:sz w:val="20"/>
          <w:szCs w:val="20"/>
        </w:rPr>
        <w:t>Annual</w:t>
      </w:r>
    </w:p>
    <w:p w14:paraId="1328AD31"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Statistical Concept and Methodology: </w:t>
      </w:r>
      <w:r w:rsidRPr="004F1724">
        <w:rPr>
          <w:rFonts w:ascii="Times New Roman" w:eastAsia="Times New Roman" w:hAnsi="Times New Roman" w:cs="Times New Roman"/>
          <w:color w:val="50595E"/>
          <w:sz w:val="20"/>
          <w:szCs w:val="20"/>
        </w:rPr>
        <w:t>Health systems - the combined arrangements of institutions and actions whose primary purpose is to promote, restore, or maintain health (World Health Organization, World Health Report 2000) - are increasingly being recognized as key to combating disease and improving the health status of populations. The World Bank's Healthy Development: Strategy for Health, Nutrition, and Population Results emphasizes the need to strengthen health systems, which are weak in many countries, in order to increase the effectiveness of programs aimed at reducing specific diseases an</w:t>
      </w:r>
      <w:bookmarkStart w:id="0" w:name="_GoBack"/>
      <w:bookmarkEnd w:id="0"/>
      <w:r w:rsidRPr="004F1724">
        <w:rPr>
          <w:rFonts w:ascii="Times New Roman" w:eastAsia="Times New Roman" w:hAnsi="Times New Roman" w:cs="Times New Roman"/>
          <w:color w:val="50595E"/>
          <w:sz w:val="20"/>
          <w:szCs w:val="20"/>
        </w:rPr>
        <w:t>d further reduce morbidity and mortality. To evaluate health systems, the World Health Organization (WHO) has recommended that key components - such as financing, service delivery, workforce, governance, and information - be monitored using several key indicators. The data are a subset of the key indicators. Monitoring health systems allows the effectiveness, efficiency, and equity of different health system models to be compared. Health system data also help identify weaknesses and strengths and areas that need investment, such as additional health facilities, better health information systems, or better trained human resources. Availability and use of health services, such as hospital beds per 1,000 people, reflect both demand- and supply-side factors. In the absence of a consistent definition this is a crude indicator of the extent of physical, financial, and other barriers to health care.</w:t>
      </w:r>
    </w:p>
    <w:p w14:paraId="1A88DF7C" w14:textId="77777777" w:rsidR="004F1724" w:rsidRPr="004F1724" w:rsidRDefault="004F1724" w:rsidP="004F1724">
      <w:pPr>
        <w:numPr>
          <w:ilvl w:val="0"/>
          <w:numId w:val="12"/>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Topic: </w:t>
      </w:r>
      <w:r w:rsidRPr="004F1724">
        <w:rPr>
          <w:rFonts w:ascii="Times New Roman" w:eastAsia="Times New Roman" w:hAnsi="Times New Roman" w:cs="Times New Roman"/>
          <w:color w:val="50595E"/>
          <w:sz w:val="20"/>
          <w:szCs w:val="20"/>
        </w:rPr>
        <w:t>Health: Health systems</w:t>
      </w:r>
    </w:p>
    <w:p w14:paraId="2946BA9E" w14:textId="0FF251BF" w:rsidR="004F1724" w:rsidRPr="00D52118" w:rsidRDefault="004F1724" w:rsidP="00B445D7">
      <w:pPr>
        <w:ind w:left="50"/>
        <w:rPr>
          <w:rFonts w:ascii="Times New Roman" w:hAnsi="Times New Roman" w:cs="Times New Roman"/>
        </w:rPr>
      </w:pPr>
    </w:p>
    <w:p w14:paraId="63F9657C" w14:textId="77777777" w:rsidR="004F1724" w:rsidRPr="004F1724" w:rsidRDefault="004F1724" w:rsidP="004F1724">
      <w:pPr>
        <w:spacing w:after="0" w:line="420" w:lineRule="atLeast"/>
        <w:outlineLvl w:val="1"/>
        <w:rPr>
          <w:rFonts w:ascii="Times New Roman" w:eastAsia="Times New Roman" w:hAnsi="Times New Roman" w:cs="Times New Roman"/>
          <w:b/>
          <w:bCs/>
          <w:color w:val="101F28"/>
          <w:sz w:val="36"/>
          <w:szCs w:val="36"/>
        </w:rPr>
      </w:pPr>
      <w:r w:rsidRPr="004F1724">
        <w:rPr>
          <w:rFonts w:ascii="Times New Roman" w:eastAsia="Times New Roman" w:hAnsi="Times New Roman" w:cs="Times New Roman"/>
          <w:b/>
          <w:bCs/>
          <w:color w:val="101F28"/>
          <w:sz w:val="36"/>
          <w:szCs w:val="36"/>
        </w:rPr>
        <w:t>Fixed broadband subscriptions (per 100 people)</w:t>
      </w:r>
    </w:p>
    <w:p w14:paraId="71B73610" w14:textId="77777777" w:rsidR="004F1724" w:rsidRPr="004F1724" w:rsidRDefault="004F1724" w:rsidP="004F1724">
      <w:pPr>
        <w:spacing w:after="300" w:line="240" w:lineRule="auto"/>
        <w:rPr>
          <w:rFonts w:ascii="Times New Roman" w:eastAsia="Times New Roman" w:hAnsi="Times New Roman" w:cs="Times New Roman"/>
          <w:color w:val="50595E"/>
          <w:sz w:val="20"/>
          <w:szCs w:val="20"/>
        </w:rPr>
      </w:pPr>
      <w:r w:rsidRPr="004F1724">
        <w:rPr>
          <w:rFonts w:ascii="Times New Roman" w:eastAsia="Times New Roman" w:hAnsi="Times New Roman" w:cs="Times New Roman"/>
          <w:color w:val="50595E"/>
          <w:sz w:val="20"/>
          <w:szCs w:val="20"/>
        </w:rPr>
        <w:t xml:space="preserve">Fixed broadband subscriptions </w:t>
      </w:r>
      <w:proofErr w:type="gramStart"/>
      <w:r w:rsidRPr="004F1724">
        <w:rPr>
          <w:rFonts w:ascii="Times New Roman" w:eastAsia="Times New Roman" w:hAnsi="Times New Roman" w:cs="Times New Roman"/>
          <w:color w:val="50595E"/>
          <w:sz w:val="20"/>
          <w:szCs w:val="20"/>
        </w:rPr>
        <w:t>refers</w:t>
      </w:r>
      <w:proofErr w:type="gramEnd"/>
      <w:r w:rsidRPr="004F1724">
        <w:rPr>
          <w:rFonts w:ascii="Times New Roman" w:eastAsia="Times New Roman" w:hAnsi="Times New Roman" w:cs="Times New Roman"/>
          <w:color w:val="50595E"/>
          <w:sz w:val="20"/>
          <w:szCs w:val="20"/>
        </w:rPr>
        <w:t xml:space="preserve"> to fixed subscriptions to high-speed access to the public Internet (a TCP/IP connection), at downstream speeds equal to, or greater than, 256 </w:t>
      </w:r>
      <w:proofErr w:type="spellStart"/>
      <w:r w:rsidRPr="004F1724">
        <w:rPr>
          <w:rFonts w:ascii="Times New Roman" w:eastAsia="Times New Roman" w:hAnsi="Times New Roman" w:cs="Times New Roman"/>
          <w:color w:val="50595E"/>
          <w:sz w:val="20"/>
          <w:szCs w:val="20"/>
        </w:rPr>
        <w:t>kbit</w:t>
      </w:r>
      <w:proofErr w:type="spellEnd"/>
      <w:r w:rsidRPr="004F1724">
        <w:rPr>
          <w:rFonts w:ascii="Times New Roman" w:eastAsia="Times New Roman" w:hAnsi="Times New Roman" w:cs="Times New Roman"/>
          <w:color w:val="50595E"/>
          <w:sz w:val="20"/>
          <w:szCs w:val="20"/>
        </w:rPr>
        <w:t>/s. This includes cable modem, DSL, fiber-to-the-home/building,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2B6F2ADF"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Development Relevance: </w:t>
      </w:r>
      <w:r w:rsidRPr="004F1724">
        <w:rPr>
          <w:rFonts w:ascii="Times New Roman" w:eastAsia="Times New Roman" w:hAnsi="Times New Roman" w:cs="Times New Roman"/>
          <w:color w:val="50595E"/>
          <w:sz w:val="20"/>
          <w:szCs w:val="20"/>
        </w:rPr>
        <w:t xml:space="preserve">The quality of an economy's infrastructure, including power and communications, is an important element in investment decisions for both domestic and foreign investors. Government effort alone is not enough to meet the need for investments in modern infrastructure; public-private partnerships, especially those involving local providers and financiers, are critical for lowering costs and delivering value for money. In telecommunications, competition in the marketplace, along with sound regulation, is lowering costs, improving quality, and easing access to services around the globe. Comparable statistics on access, use, quality, and affordability of ICT are needed to formulate growth-enabling policies for the sector and to monitor and evaluate the sector's impact on development. Although basic access data are available for many countries, in most developing countries little is known about who uses ICT; what they are used for (school, work, business, research, government); and how they affect people and businesses. The global Partnership on Measuring ICT for Development is helping to set standards, harmonize information and communications technology statistics, and build statistical capacity in developing countries. However, despite significant improvements in the developing world, the gap between the ICT haves and have-nots remains. There are several economic gains associated with broadband. For example, with DSL, users can use a single standard </w:t>
      </w:r>
      <w:r w:rsidRPr="004F1724">
        <w:rPr>
          <w:rFonts w:ascii="Times New Roman" w:eastAsia="Times New Roman" w:hAnsi="Times New Roman" w:cs="Times New Roman"/>
          <w:color w:val="50595E"/>
          <w:sz w:val="20"/>
          <w:szCs w:val="20"/>
        </w:rPr>
        <w:lastRenderedPageBreak/>
        <w:t>phone line for both voice and data services. This enables them to surf the Internet and call a friend at the same time - all using the same phone line. Broadband also enhances many Internet applications such as new e-government services like electronic tax filing, online health care services, e-learning and increased levels of electronic commerce. Access to telecommunication services rose on an unprecedented scale over the past two decades. This growth was driven primarily by wireless technologies and liberalization of telecommunications markets, which have enabled faster and less costly network rollout. Mobile communications have a particularly important impact in rural areas. The mobility, ease of use, flexible deployment, and relatively low and declining rollout costs of wireless technologies enable them to reach rural populations with low levels of income and literacy. The next billion mobile subscribers will consist mainly of the rural poor. Access is the key to delivering telecommunications services to people. If the service is not affordable to most people, goals of universal usage will not be met. Over the past decade new financing and technology, along with privatization and market liberalization, have spurred dramatic growth in telecommunications in many countries. With the rapid development of mobile telephony and the global expansion of the Internet, information and communication technologies are increasingly recognized as essential tools of development, contributing to global integration and enhancing public sector effectiveness, efficiency, and transparency.</w:t>
      </w:r>
    </w:p>
    <w:p w14:paraId="62CC71DE"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General Comments: </w:t>
      </w:r>
      <w:r w:rsidRPr="004F1724">
        <w:rPr>
          <w:rFonts w:ascii="Times New Roman" w:eastAsia="Times New Roman" w:hAnsi="Times New Roman" w:cs="Times New Roman"/>
          <w:color w:val="50595E"/>
          <w:sz w:val="20"/>
          <w:szCs w:val="20"/>
        </w:rPr>
        <w:t>Please cite the International Telecommunication Union for third-party use of these data.</w:t>
      </w:r>
    </w:p>
    <w:p w14:paraId="58394F14"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Limitations and Exceptions: </w:t>
      </w:r>
      <w:r w:rsidRPr="004F1724">
        <w:rPr>
          <w:rFonts w:ascii="Times New Roman" w:eastAsia="Times New Roman" w:hAnsi="Times New Roman" w:cs="Times New Roman"/>
          <w:color w:val="50595E"/>
          <w:sz w:val="20"/>
          <w:szCs w:val="20"/>
        </w:rPr>
        <w:t xml:space="preserve">Data are collected by national statistics offices through household surveys. Because survey questions and definitions differ, the estimates may not be strictly comparable across countries. Fixed broadband Internet includes cable modem, DSL, </w:t>
      </w:r>
      <w:proofErr w:type="spellStart"/>
      <w:r w:rsidRPr="004F1724">
        <w:rPr>
          <w:rFonts w:ascii="Times New Roman" w:eastAsia="Times New Roman" w:hAnsi="Times New Roman" w:cs="Times New Roman"/>
          <w:color w:val="50595E"/>
          <w:sz w:val="20"/>
          <w:szCs w:val="20"/>
        </w:rPr>
        <w:t>fibre</w:t>
      </w:r>
      <w:proofErr w:type="spellEnd"/>
      <w:r w:rsidRPr="004F1724">
        <w:rPr>
          <w:rFonts w:ascii="Times New Roman" w:eastAsia="Times New Roman" w:hAnsi="Times New Roman" w:cs="Times New Roman"/>
          <w:color w:val="50595E"/>
          <w:sz w:val="20"/>
          <w:szCs w:val="20"/>
        </w:rPr>
        <w:t xml:space="preserve"> and other fixed broadband technology (such as satellite broadband Internet, Ethernet LANs, fixed-wireless access, Wireless Local Area Network, WiMAX etc.). Subscribers with access to data communications (including the Internet) via mobile cellular networks are excluded. Advertised and real speeds can differ substantially. In some countries, regulatory authorities monitor the speed and quality of broadband services and oblige operators to provide accurate quality-of-service information to end users. Regional and global totals are calculated as unweighted sums of the country values. Regional and global penetration rates (per 100 inhabitants) are weighted averages of the country values weighted by the population of the countries/regions. Discrepancies between global and national figures may arise when countries use a different definition than the one used by ITU. Discrepancies may also arise in cases where the end of a fiscal year differs from that used by ITU, which is end of December of every year. </w:t>
      </w:r>
      <w:proofErr w:type="gramStart"/>
      <w:r w:rsidRPr="004F1724">
        <w:rPr>
          <w:rFonts w:ascii="Times New Roman" w:eastAsia="Times New Roman" w:hAnsi="Times New Roman" w:cs="Times New Roman"/>
          <w:color w:val="50595E"/>
          <w:sz w:val="20"/>
          <w:szCs w:val="20"/>
        </w:rPr>
        <w:t>A number of</w:t>
      </w:r>
      <w:proofErr w:type="gramEnd"/>
      <w:r w:rsidRPr="004F1724">
        <w:rPr>
          <w:rFonts w:ascii="Times New Roman" w:eastAsia="Times New Roman" w:hAnsi="Times New Roman" w:cs="Times New Roman"/>
          <w:color w:val="50595E"/>
          <w:sz w:val="20"/>
          <w:szCs w:val="20"/>
        </w:rPr>
        <w:t xml:space="preserve"> countries have fiscal years that end in March or June of every year.</w:t>
      </w:r>
    </w:p>
    <w:p w14:paraId="299B8EA7"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Long Definition: </w:t>
      </w:r>
      <w:r w:rsidRPr="004F1724">
        <w:rPr>
          <w:rFonts w:ascii="Times New Roman" w:eastAsia="Times New Roman" w:hAnsi="Times New Roman" w:cs="Times New Roman"/>
          <w:color w:val="50595E"/>
          <w:sz w:val="20"/>
          <w:szCs w:val="20"/>
        </w:rPr>
        <w:t xml:space="preserve">Fixed broadband subscriptions refers to fixed subscriptions to high-speed access to the public Internet (a TCP/IP connection), at downstream speeds equal to, or greater than, 256 </w:t>
      </w:r>
      <w:proofErr w:type="spellStart"/>
      <w:r w:rsidRPr="004F1724">
        <w:rPr>
          <w:rFonts w:ascii="Times New Roman" w:eastAsia="Times New Roman" w:hAnsi="Times New Roman" w:cs="Times New Roman"/>
          <w:color w:val="50595E"/>
          <w:sz w:val="20"/>
          <w:szCs w:val="20"/>
        </w:rPr>
        <w:t>kbit</w:t>
      </w:r>
      <w:proofErr w:type="spellEnd"/>
      <w:r w:rsidRPr="004F1724">
        <w:rPr>
          <w:rFonts w:ascii="Times New Roman" w:eastAsia="Times New Roman" w:hAnsi="Times New Roman" w:cs="Times New Roman"/>
          <w:color w:val="50595E"/>
          <w:sz w:val="20"/>
          <w:szCs w:val="20"/>
        </w:rPr>
        <w:t>/s. This includes cable modem, DSL, fiber-to-the-home/building,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4FBC7515"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Periodicity: </w:t>
      </w:r>
      <w:r w:rsidRPr="004F1724">
        <w:rPr>
          <w:rFonts w:ascii="Times New Roman" w:eastAsia="Times New Roman" w:hAnsi="Times New Roman" w:cs="Times New Roman"/>
          <w:color w:val="50595E"/>
          <w:sz w:val="20"/>
          <w:szCs w:val="20"/>
        </w:rPr>
        <w:t>Annual</w:t>
      </w:r>
    </w:p>
    <w:p w14:paraId="0BE48D5C"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Statistical Concept and Methodology: </w:t>
      </w:r>
      <w:r w:rsidRPr="004F1724">
        <w:rPr>
          <w:rFonts w:ascii="Times New Roman" w:eastAsia="Times New Roman" w:hAnsi="Times New Roman" w:cs="Times New Roman"/>
          <w:color w:val="50595E"/>
          <w:sz w:val="20"/>
          <w:szCs w:val="20"/>
        </w:rPr>
        <w:t xml:space="preserve">Data refer to subscriptions to high-speed access to the public Internet (a TCP/IP connection), at downstream speeds equal to, or greater than, 256 </w:t>
      </w:r>
      <w:proofErr w:type="spellStart"/>
      <w:r w:rsidRPr="004F1724">
        <w:rPr>
          <w:rFonts w:ascii="Times New Roman" w:eastAsia="Times New Roman" w:hAnsi="Times New Roman" w:cs="Times New Roman"/>
          <w:color w:val="50595E"/>
          <w:sz w:val="20"/>
          <w:szCs w:val="20"/>
        </w:rPr>
        <w:t>kbit</w:t>
      </w:r>
      <w:proofErr w:type="spellEnd"/>
      <w:r w:rsidRPr="004F1724">
        <w:rPr>
          <w:rFonts w:ascii="Times New Roman" w:eastAsia="Times New Roman" w:hAnsi="Times New Roman" w:cs="Times New Roman"/>
          <w:color w:val="50595E"/>
          <w:sz w:val="20"/>
          <w:szCs w:val="20"/>
        </w:rPr>
        <w:t xml:space="preserve">/s. This includes cable modem, DSL, </w:t>
      </w:r>
      <w:proofErr w:type="spellStart"/>
      <w:r w:rsidRPr="004F1724">
        <w:rPr>
          <w:rFonts w:ascii="Times New Roman" w:eastAsia="Times New Roman" w:hAnsi="Times New Roman" w:cs="Times New Roman"/>
          <w:color w:val="50595E"/>
          <w:sz w:val="20"/>
          <w:szCs w:val="20"/>
        </w:rPr>
        <w:t>fibre</w:t>
      </w:r>
      <w:proofErr w:type="spellEnd"/>
      <w:r w:rsidRPr="004F1724">
        <w:rPr>
          <w:rFonts w:ascii="Times New Roman" w:eastAsia="Times New Roman" w:hAnsi="Times New Roman" w:cs="Times New Roman"/>
          <w:color w:val="50595E"/>
          <w:sz w:val="20"/>
          <w:szCs w:val="20"/>
        </w:rPr>
        <w:t>-to-the-home/building and other fixed (wired)-broadband subscriptions. This total is measured irrespective of the method of payment. It excludes subscriptions that have access to data communications (including the Internet) via mobile-cellular networks. It excludes technologies listed under the wireless-broadband category. Fixed broadband Internet subscribers per 100 people is obtained by dividing the number of fixed broadband Internet subscribers by the population and then multiplying by 100. For additional/latest information on sources and country notes, please also refer to: </w:t>
      </w:r>
      <w:hyperlink r:id="rId8" w:history="1">
        <w:r w:rsidRPr="004F1724">
          <w:rPr>
            <w:rFonts w:ascii="Times New Roman" w:eastAsia="Times New Roman" w:hAnsi="Times New Roman" w:cs="Times New Roman"/>
            <w:color w:val="22A6F5"/>
            <w:sz w:val="20"/>
            <w:szCs w:val="20"/>
            <w:u w:val="single"/>
          </w:rPr>
          <w:t>itu.int/</w:t>
        </w:r>
        <w:proofErr w:type="spellStart"/>
        <w:r w:rsidRPr="004F1724">
          <w:rPr>
            <w:rFonts w:ascii="Times New Roman" w:eastAsia="Times New Roman" w:hAnsi="Times New Roman" w:cs="Times New Roman"/>
            <w:color w:val="22A6F5"/>
            <w:sz w:val="20"/>
            <w:szCs w:val="20"/>
            <w:u w:val="single"/>
          </w:rPr>
          <w:t>en</w:t>
        </w:r>
        <w:proofErr w:type="spellEnd"/>
        <w:r w:rsidRPr="004F1724">
          <w:rPr>
            <w:rFonts w:ascii="Times New Roman" w:eastAsia="Times New Roman" w:hAnsi="Times New Roman" w:cs="Times New Roman"/>
            <w:color w:val="22A6F5"/>
            <w:sz w:val="20"/>
            <w:szCs w:val="20"/>
            <w:u w:val="single"/>
          </w:rPr>
          <w:t>/ITU-D/Statistics/Pages/stat/default.aspx</w:t>
        </w:r>
      </w:hyperlink>
    </w:p>
    <w:p w14:paraId="5A0FB705" w14:textId="77777777" w:rsidR="004F1724" w:rsidRPr="004F1724" w:rsidRDefault="004F1724" w:rsidP="004F1724">
      <w:pPr>
        <w:numPr>
          <w:ilvl w:val="0"/>
          <w:numId w:val="13"/>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Topic: </w:t>
      </w:r>
      <w:r w:rsidRPr="004F1724">
        <w:rPr>
          <w:rFonts w:ascii="Times New Roman" w:eastAsia="Times New Roman" w:hAnsi="Times New Roman" w:cs="Times New Roman"/>
          <w:color w:val="50595E"/>
          <w:sz w:val="20"/>
          <w:szCs w:val="20"/>
        </w:rPr>
        <w:t>Infrastructure: Communications</w:t>
      </w:r>
    </w:p>
    <w:p w14:paraId="5E36BA9E" w14:textId="27ED284A" w:rsidR="004F1724" w:rsidRPr="00D52118" w:rsidRDefault="004F1724" w:rsidP="00B445D7">
      <w:pPr>
        <w:ind w:left="50"/>
        <w:rPr>
          <w:rFonts w:ascii="Times New Roman" w:hAnsi="Times New Roman" w:cs="Times New Roman"/>
        </w:rPr>
      </w:pPr>
    </w:p>
    <w:p w14:paraId="502F60D2" w14:textId="44A22C22" w:rsidR="004F1724" w:rsidRPr="00D52118" w:rsidRDefault="004F1724" w:rsidP="00B445D7">
      <w:pPr>
        <w:ind w:left="50"/>
        <w:rPr>
          <w:rFonts w:ascii="Times New Roman" w:hAnsi="Times New Roman" w:cs="Times New Roman"/>
        </w:rPr>
      </w:pPr>
    </w:p>
    <w:p w14:paraId="2070B52D" w14:textId="77777777" w:rsidR="004F1724" w:rsidRPr="004F1724" w:rsidRDefault="004F1724" w:rsidP="004F1724">
      <w:pPr>
        <w:spacing w:after="0" w:line="420" w:lineRule="atLeast"/>
        <w:outlineLvl w:val="1"/>
        <w:rPr>
          <w:rFonts w:ascii="Times New Roman" w:eastAsia="Times New Roman" w:hAnsi="Times New Roman" w:cs="Times New Roman"/>
          <w:b/>
          <w:bCs/>
          <w:color w:val="101F28"/>
          <w:sz w:val="36"/>
          <w:szCs w:val="36"/>
        </w:rPr>
      </w:pPr>
      <w:r w:rsidRPr="004F1724">
        <w:rPr>
          <w:rFonts w:ascii="Times New Roman" w:eastAsia="Times New Roman" w:hAnsi="Times New Roman" w:cs="Times New Roman"/>
          <w:b/>
          <w:bCs/>
          <w:color w:val="101F28"/>
          <w:sz w:val="36"/>
          <w:szCs w:val="36"/>
        </w:rPr>
        <w:lastRenderedPageBreak/>
        <w:t>Literacy rate, adult female (% of females ages 15 and above)</w:t>
      </w:r>
    </w:p>
    <w:p w14:paraId="1EE34688" w14:textId="77777777" w:rsidR="004F1724" w:rsidRPr="004F1724" w:rsidRDefault="004F1724" w:rsidP="004F1724">
      <w:pPr>
        <w:spacing w:after="300" w:line="240" w:lineRule="auto"/>
        <w:rPr>
          <w:rFonts w:ascii="Times New Roman" w:eastAsia="Times New Roman" w:hAnsi="Times New Roman" w:cs="Times New Roman"/>
          <w:color w:val="50595E"/>
          <w:sz w:val="20"/>
          <w:szCs w:val="20"/>
        </w:rPr>
      </w:pPr>
      <w:r w:rsidRPr="004F1724">
        <w:rPr>
          <w:rFonts w:ascii="Times New Roman" w:eastAsia="Times New Roman" w:hAnsi="Times New Roman" w:cs="Times New Roman"/>
          <w:color w:val="50595E"/>
          <w:sz w:val="20"/>
          <w:szCs w:val="20"/>
        </w:rPr>
        <w:t>Adult literacy rate is the percentage of people ages 15 and above who can both read and write with understanding a short simple statement about their everyday life.</w:t>
      </w:r>
    </w:p>
    <w:p w14:paraId="1C60F402"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Aggregation Method: </w:t>
      </w:r>
      <w:r w:rsidRPr="004F1724">
        <w:rPr>
          <w:rFonts w:ascii="Times New Roman" w:eastAsia="Times New Roman" w:hAnsi="Times New Roman" w:cs="Times New Roman"/>
          <w:color w:val="50595E"/>
          <w:sz w:val="20"/>
          <w:szCs w:val="20"/>
        </w:rPr>
        <w:t>Weighted average</w:t>
      </w:r>
    </w:p>
    <w:p w14:paraId="4E7DB2BD"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Development Relevance: </w:t>
      </w:r>
      <w:r w:rsidRPr="004F1724">
        <w:rPr>
          <w:rFonts w:ascii="Times New Roman" w:eastAsia="Times New Roman" w:hAnsi="Times New Roman" w:cs="Times New Roman"/>
          <w:color w:val="50595E"/>
          <w:sz w:val="20"/>
          <w:szCs w:val="20"/>
        </w:rPr>
        <w:t xml:space="preserve">Literacy rate is an outcome indicator to evaluate educational attainment. This data can predict the quality of future labor force and can be used in ensuring policies for life skills for men and women. It can be also used as a proxy instrument to see the effectiveness of education system; a high literacy rate suggests the capacity of an education system to provide a large population with opportunities to acquire literacy skills. The accumulated achievement of education is fundamental for further intellectual growth and social and economic development, although it doesn't necessarily ensure the quality of education. Literate women </w:t>
      </w:r>
      <w:proofErr w:type="gramStart"/>
      <w:r w:rsidRPr="004F1724">
        <w:rPr>
          <w:rFonts w:ascii="Times New Roman" w:eastAsia="Times New Roman" w:hAnsi="Times New Roman" w:cs="Times New Roman"/>
          <w:color w:val="50595E"/>
          <w:sz w:val="20"/>
          <w:szCs w:val="20"/>
        </w:rPr>
        <w:t>implies</w:t>
      </w:r>
      <w:proofErr w:type="gramEnd"/>
      <w:r w:rsidRPr="004F1724">
        <w:rPr>
          <w:rFonts w:ascii="Times New Roman" w:eastAsia="Times New Roman" w:hAnsi="Times New Roman" w:cs="Times New Roman"/>
          <w:color w:val="50595E"/>
          <w:sz w:val="20"/>
          <w:szCs w:val="20"/>
        </w:rPr>
        <w:t xml:space="preserve"> that they can seek and use information for the betterment of the health, nutrition and education of their household members. Literate women are also empowered to play a meaningful role.</w:t>
      </w:r>
    </w:p>
    <w:p w14:paraId="473ED779"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Limitations and Exceptions: </w:t>
      </w:r>
      <w:r w:rsidRPr="004F1724">
        <w:rPr>
          <w:rFonts w:ascii="Times New Roman" w:eastAsia="Times New Roman" w:hAnsi="Times New Roman" w:cs="Times New Roman"/>
          <w:color w:val="50595E"/>
          <w:sz w:val="20"/>
          <w:szCs w:val="20"/>
        </w:rPr>
        <w:t>In practice, literacy is difficult to measure. Estimating literacy rates requires census or survey measurements under controlled conditions. Many countries report the number of literate people from self-reported data. Some use educational attainment data as a proxy but apply different lengths of school attendance or levels of completion. Ant there is a trend among recent national and international surveys toward using a direct reading test of literacy skills. Because definitions and methods of data collection differ across countries, data should be used cautiously.</w:t>
      </w:r>
    </w:p>
    <w:p w14:paraId="50DD1C7D"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Long Definition: </w:t>
      </w:r>
      <w:r w:rsidRPr="004F1724">
        <w:rPr>
          <w:rFonts w:ascii="Times New Roman" w:eastAsia="Times New Roman" w:hAnsi="Times New Roman" w:cs="Times New Roman"/>
          <w:color w:val="50595E"/>
          <w:sz w:val="20"/>
          <w:szCs w:val="20"/>
        </w:rPr>
        <w:t>Adult literacy rate is the percentage of people ages 15 and above who can both read and write with understanding a short simple statement about their everyday life.</w:t>
      </w:r>
    </w:p>
    <w:p w14:paraId="4D9AD7F4"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proofErr w:type="spellStart"/>
      <w:r w:rsidRPr="004F1724">
        <w:rPr>
          <w:rFonts w:ascii="Times New Roman" w:eastAsia="Times New Roman" w:hAnsi="Times New Roman" w:cs="Times New Roman"/>
          <w:b/>
          <w:bCs/>
          <w:color w:val="50595E"/>
          <w:sz w:val="20"/>
          <w:szCs w:val="20"/>
        </w:rPr>
        <w:t>Othernotes</w:t>
      </w:r>
      <w:proofErr w:type="spellEnd"/>
      <w:r w:rsidRPr="004F1724">
        <w:rPr>
          <w:rFonts w:ascii="Times New Roman" w:eastAsia="Times New Roman" w:hAnsi="Times New Roman" w:cs="Times New Roman"/>
          <w:b/>
          <w:bCs/>
          <w:color w:val="50595E"/>
          <w:sz w:val="20"/>
          <w:szCs w:val="20"/>
        </w:rPr>
        <w:t>: </w:t>
      </w:r>
      <w:r w:rsidRPr="004F1724">
        <w:rPr>
          <w:rFonts w:ascii="Times New Roman" w:eastAsia="Times New Roman" w:hAnsi="Times New Roman" w:cs="Times New Roman"/>
          <w:color w:val="50595E"/>
          <w:sz w:val="20"/>
          <w:szCs w:val="20"/>
        </w:rPr>
        <w:t xml:space="preserve">Data retrieved via API in March 2019. For detailed information on the observation level (e.g. National Estimation, UIS Estimation, or Category not applicable), please visit </w:t>
      </w:r>
      <w:proofErr w:type="spellStart"/>
      <w:r w:rsidRPr="004F1724">
        <w:rPr>
          <w:rFonts w:ascii="Times New Roman" w:eastAsia="Times New Roman" w:hAnsi="Times New Roman" w:cs="Times New Roman"/>
          <w:color w:val="50595E"/>
          <w:sz w:val="20"/>
          <w:szCs w:val="20"/>
        </w:rPr>
        <w:t>UIS.Stat</w:t>
      </w:r>
      <w:proofErr w:type="spellEnd"/>
      <w:r w:rsidRPr="004F1724">
        <w:rPr>
          <w:rFonts w:ascii="Times New Roman" w:eastAsia="Times New Roman" w:hAnsi="Times New Roman" w:cs="Times New Roman"/>
          <w:color w:val="50595E"/>
          <w:sz w:val="20"/>
          <w:szCs w:val="20"/>
        </w:rPr>
        <w:t xml:space="preserve"> (</w:t>
      </w:r>
      <w:hyperlink r:id="rId9" w:history="1">
        <w:r w:rsidRPr="004F1724">
          <w:rPr>
            <w:rFonts w:ascii="Times New Roman" w:eastAsia="Times New Roman" w:hAnsi="Times New Roman" w:cs="Times New Roman"/>
            <w:color w:val="22A6F5"/>
            <w:sz w:val="20"/>
            <w:szCs w:val="20"/>
            <w:u w:val="single"/>
          </w:rPr>
          <w:t>data.uis.unesco.org/)</w:t>
        </w:r>
      </w:hyperlink>
      <w:r w:rsidRPr="004F1724">
        <w:rPr>
          <w:rFonts w:ascii="Times New Roman" w:eastAsia="Times New Roman" w:hAnsi="Times New Roman" w:cs="Times New Roman"/>
          <w:color w:val="50595E"/>
          <w:sz w:val="20"/>
          <w:szCs w:val="20"/>
        </w:rPr>
        <w:t>.</w:t>
      </w:r>
    </w:p>
    <w:p w14:paraId="485B7EBC"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Periodicity: </w:t>
      </w:r>
      <w:r w:rsidRPr="004F1724">
        <w:rPr>
          <w:rFonts w:ascii="Times New Roman" w:eastAsia="Times New Roman" w:hAnsi="Times New Roman" w:cs="Times New Roman"/>
          <w:color w:val="50595E"/>
          <w:sz w:val="20"/>
          <w:szCs w:val="20"/>
        </w:rPr>
        <w:t>Annual</w:t>
      </w:r>
    </w:p>
    <w:p w14:paraId="7919DCFE" w14:textId="77777777" w:rsidR="004F1724" w:rsidRPr="004F1724" w:rsidRDefault="004F1724" w:rsidP="004F1724">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Statistical Concept and Methodology: </w:t>
      </w:r>
      <w:r w:rsidRPr="004F1724">
        <w:rPr>
          <w:rFonts w:ascii="Times New Roman" w:eastAsia="Times New Roman" w:hAnsi="Times New Roman" w:cs="Times New Roman"/>
          <w:color w:val="50595E"/>
          <w:sz w:val="20"/>
          <w:szCs w:val="20"/>
        </w:rPr>
        <w:t>Literacy statistics for most countries cover the population ages 15 and older, but some include younger ages or are confined to age ranges that tend to inflate literacy rates. The youth literacy rate for ages 15-24 reflects recent progress in education. It measures the accumulated outcomes of primary education over the previous 10 years or so by indicating the proportion of the population who have passed through the primary education system and acquired basic literacy and numeracy skills. Generally, literacy also encompasses numeracy, the ability to make simple arithmetic calculations. Data on literacy are compiled by the UNESCO Institute for Statistics based on national censuses and household surveys and, for countries without recent literacy data, using the Global Age-Specific Literacy Projection Model (GALP). For detailed information, see </w:t>
      </w:r>
      <w:hyperlink r:id="rId10" w:history="1">
        <w:r w:rsidRPr="004F1724">
          <w:rPr>
            <w:rFonts w:ascii="Times New Roman" w:eastAsia="Times New Roman" w:hAnsi="Times New Roman" w:cs="Times New Roman"/>
            <w:color w:val="22A6F5"/>
            <w:sz w:val="20"/>
            <w:szCs w:val="20"/>
            <w:u w:val="single"/>
          </w:rPr>
          <w:t>uis.unesco.org</w:t>
        </w:r>
      </w:hyperlink>
      <w:r w:rsidRPr="004F1724">
        <w:rPr>
          <w:rFonts w:ascii="Times New Roman" w:eastAsia="Times New Roman" w:hAnsi="Times New Roman" w:cs="Times New Roman"/>
          <w:color w:val="50595E"/>
          <w:sz w:val="20"/>
          <w:szCs w:val="20"/>
        </w:rPr>
        <w:t>.</w:t>
      </w:r>
    </w:p>
    <w:p w14:paraId="2617EDDB" w14:textId="5089D887" w:rsidR="004F1724" w:rsidRPr="00A90F1C" w:rsidRDefault="004F1724" w:rsidP="00A90F1C">
      <w:pPr>
        <w:numPr>
          <w:ilvl w:val="0"/>
          <w:numId w:val="14"/>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Topic: </w:t>
      </w:r>
      <w:r w:rsidRPr="004F1724">
        <w:rPr>
          <w:rFonts w:ascii="Times New Roman" w:eastAsia="Times New Roman" w:hAnsi="Times New Roman" w:cs="Times New Roman"/>
          <w:color w:val="50595E"/>
          <w:sz w:val="20"/>
          <w:szCs w:val="20"/>
        </w:rPr>
        <w:t>Education: Outcomes</w:t>
      </w:r>
    </w:p>
    <w:p w14:paraId="630FE9D5" w14:textId="77777777" w:rsidR="004F1724" w:rsidRPr="004F1724" w:rsidRDefault="004F1724" w:rsidP="004F1724">
      <w:pPr>
        <w:spacing w:after="0" w:line="420" w:lineRule="atLeast"/>
        <w:outlineLvl w:val="1"/>
        <w:rPr>
          <w:rFonts w:ascii="Times New Roman" w:eastAsia="Times New Roman" w:hAnsi="Times New Roman" w:cs="Times New Roman"/>
          <w:b/>
          <w:bCs/>
          <w:color w:val="101F28"/>
          <w:sz w:val="36"/>
          <w:szCs w:val="36"/>
        </w:rPr>
      </w:pPr>
      <w:r w:rsidRPr="004F1724">
        <w:rPr>
          <w:rFonts w:ascii="Times New Roman" w:eastAsia="Times New Roman" w:hAnsi="Times New Roman" w:cs="Times New Roman"/>
          <w:b/>
          <w:bCs/>
          <w:color w:val="101F28"/>
          <w:sz w:val="36"/>
          <w:szCs w:val="36"/>
        </w:rPr>
        <w:t>Literacy rate, youth female (% of females ages 15-24)</w:t>
      </w:r>
    </w:p>
    <w:p w14:paraId="748A7441" w14:textId="77777777" w:rsidR="004F1724" w:rsidRPr="004F1724" w:rsidRDefault="004F1724" w:rsidP="004F1724">
      <w:pPr>
        <w:spacing w:after="300" w:line="240" w:lineRule="auto"/>
        <w:rPr>
          <w:rFonts w:ascii="Times New Roman" w:eastAsia="Times New Roman" w:hAnsi="Times New Roman" w:cs="Times New Roman"/>
          <w:color w:val="50595E"/>
          <w:sz w:val="20"/>
          <w:szCs w:val="20"/>
        </w:rPr>
      </w:pPr>
      <w:r w:rsidRPr="004F1724">
        <w:rPr>
          <w:rFonts w:ascii="Times New Roman" w:eastAsia="Times New Roman" w:hAnsi="Times New Roman" w:cs="Times New Roman"/>
          <w:color w:val="50595E"/>
          <w:sz w:val="20"/>
          <w:szCs w:val="20"/>
        </w:rPr>
        <w:t>Youth literacy rate is the percentage of people ages 15-24 who can both read and write with understanding a short simple statement about their everyday life.</w:t>
      </w:r>
    </w:p>
    <w:p w14:paraId="114529BC"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Aggregation Method: </w:t>
      </w:r>
      <w:r w:rsidRPr="004F1724">
        <w:rPr>
          <w:rFonts w:ascii="Times New Roman" w:eastAsia="Times New Roman" w:hAnsi="Times New Roman" w:cs="Times New Roman"/>
          <w:color w:val="50595E"/>
          <w:sz w:val="20"/>
          <w:szCs w:val="20"/>
        </w:rPr>
        <w:t>Weighted average</w:t>
      </w:r>
    </w:p>
    <w:p w14:paraId="255EDA34"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Development Relevance: </w:t>
      </w:r>
      <w:r w:rsidRPr="004F1724">
        <w:rPr>
          <w:rFonts w:ascii="Times New Roman" w:eastAsia="Times New Roman" w:hAnsi="Times New Roman" w:cs="Times New Roman"/>
          <w:color w:val="50595E"/>
          <w:sz w:val="20"/>
          <w:szCs w:val="20"/>
        </w:rPr>
        <w:t xml:space="preserve">Literacy rate is an outcome indicator to evaluate educational attainment. This data can predict the quality of future labor force and can be used in ensuring policies for life skills for men and women. It can be also used as a proxy instrument to see the effectiveness of education system; a high literacy rate suggests the capacity of an education system to provide a large population with opportunities to acquire literacy skills. The accumulated achievement of education is fundamental for further intellectual growth and social and economic development, although it doesn't necessarily ensure the quality of education. Literate women </w:t>
      </w:r>
      <w:proofErr w:type="gramStart"/>
      <w:r w:rsidRPr="004F1724">
        <w:rPr>
          <w:rFonts w:ascii="Times New Roman" w:eastAsia="Times New Roman" w:hAnsi="Times New Roman" w:cs="Times New Roman"/>
          <w:color w:val="50595E"/>
          <w:sz w:val="20"/>
          <w:szCs w:val="20"/>
        </w:rPr>
        <w:t>implies</w:t>
      </w:r>
      <w:proofErr w:type="gramEnd"/>
      <w:r w:rsidRPr="004F1724">
        <w:rPr>
          <w:rFonts w:ascii="Times New Roman" w:eastAsia="Times New Roman" w:hAnsi="Times New Roman" w:cs="Times New Roman"/>
          <w:color w:val="50595E"/>
          <w:sz w:val="20"/>
          <w:szCs w:val="20"/>
        </w:rPr>
        <w:t xml:space="preserve"> that they can seek and use information for the betterment of the health, nutrition and education of their household members. Literate women are also empowered to play a meaningful role.</w:t>
      </w:r>
    </w:p>
    <w:p w14:paraId="42E5CC9D"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Limitations and Exceptions: </w:t>
      </w:r>
      <w:r w:rsidRPr="004F1724">
        <w:rPr>
          <w:rFonts w:ascii="Times New Roman" w:eastAsia="Times New Roman" w:hAnsi="Times New Roman" w:cs="Times New Roman"/>
          <w:color w:val="50595E"/>
          <w:sz w:val="20"/>
          <w:szCs w:val="20"/>
        </w:rPr>
        <w:t xml:space="preserve">In practice, literacy is difficult to measure. Estimating literacy rates requires census or survey measurements under controlled conditions. Many countries report the number of literate people from self-reported data. Some use educational attainment data as a proxy but apply different lengths of school attendance or levels of completion. Ant there is a trend among recent national and international </w:t>
      </w:r>
      <w:r w:rsidRPr="004F1724">
        <w:rPr>
          <w:rFonts w:ascii="Times New Roman" w:eastAsia="Times New Roman" w:hAnsi="Times New Roman" w:cs="Times New Roman"/>
          <w:color w:val="50595E"/>
          <w:sz w:val="20"/>
          <w:szCs w:val="20"/>
        </w:rPr>
        <w:lastRenderedPageBreak/>
        <w:t>surveys toward using a direct reading test of literacy skills. Because definitions and methods of data collection differ across countries, data should be used cautiously.</w:t>
      </w:r>
    </w:p>
    <w:p w14:paraId="04E78711"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Long Definition: </w:t>
      </w:r>
      <w:r w:rsidRPr="004F1724">
        <w:rPr>
          <w:rFonts w:ascii="Times New Roman" w:eastAsia="Times New Roman" w:hAnsi="Times New Roman" w:cs="Times New Roman"/>
          <w:color w:val="50595E"/>
          <w:sz w:val="20"/>
          <w:szCs w:val="20"/>
        </w:rPr>
        <w:t>Youth literacy rate is the percentage of people ages 15-24 who can both read and write with understanding a short simple statement about their everyday life.</w:t>
      </w:r>
    </w:p>
    <w:p w14:paraId="41355D75"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proofErr w:type="spellStart"/>
      <w:r w:rsidRPr="004F1724">
        <w:rPr>
          <w:rFonts w:ascii="Times New Roman" w:eastAsia="Times New Roman" w:hAnsi="Times New Roman" w:cs="Times New Roman"/>
          <w:b/>
          <w:bCs/>
          <w:color w:val="50595E"/>
          <w:sz w:val="20"/>
          <w:szCs w:val="20"/>
        </w:rPr>
        <w:t>Othernotes</w:t>
      </w:r>
      <w:proofErr w:type="spellEnd"/>
      <w:r w:rsidRPr="004F1724">
        <w:rPr>
          <w:rFonts w:ascii="Times New Roman" w:eastAsia="Times New Roman" w:hAnsi="Times New Roman" w:cs="Times New Roman"/>
          <w:b/>
          <w:bCs/>
          <w:color w:val="50595E"/>
          <w:sz w:val="20"/>
          <w:szCs w:val="20"/>
        </w:rPr>
        <w:t>: </w:t>
      </w:r>
      <w:r w:rsidRPr="004F1724">
        <w:rPr>
          <w:rFonts w:ascii="Times New Roman" w:eastAsia="Times New Roman" w:hAnsi="Times New Roman" w:cs="Times New Roman"/>
          <w:color w:val="50595E"/>
          <w:sz w:val="20"/>
          <w:szCs w:val="20"/>
        </w:rPr>
        <w:t xml:space="preserve">Data retrieved via API in March 2019. For detailed information on the observation level (e.g. National Estimation, UIS Estimation, or Category not applicable), please visit </w:t>
      </w:r>
      <w:proofErr w:type="spellStart"/>
      <w:r w:rsidRPr="004F1724">
        <w:rPr>
          <w:rFonts w:ascii="Times New Roman" w:eastAsia="Times New Roman" w:hAnsi="Times New Roman" w:cs="Times New Roman"/>
          <w:color w:val="50595E"/>
          <w:sz w:val="20"/>
          <w:szCs w:val="20"/>
        </w:rPr>
        <w:t>UIS.Stat</w:t>
      </w:r>
      <w:proofErr w:type="spellEnd"/>
      <w:r w:rsidRPr="004F1724">
        <w:rPr>
          <w:rFonts w:ascii="Times New Roman" w:eastAsia="Times New Roman" w:hAnsi="Times New Roman" w:cs="Times New Roman"/>
          <w:color w:val="50595E"/>
          <w:sz w:val="20"/>
          <w:szCs w:val="20"/>
        </w:rPr>
        <w:t xml:space="preserve"> (</w:t>
      </w:r>
      <w:hyperlink r:id="rId11" w:history="1">
        <w:r w:rsidRPr="004F1724">
          <w:rPr>
            <w:rFonts w:ascii="Times New Roman" w:eastAsia="Times New Roman" w:hAnsi="Times New Roman" w:cs="Times New Roman"/>
            <w:color w:val="22A6F5"/>
            <w:sz w:val="20"/>
            <w:szCs w:val="20"/>
            <w:u w:val="single"/>
          </w:rPr>
          <w:t>data.uis.unesco.org/)</w:t>
        </w:r>
      </w:hyperlink>
      <w:r w:rsidRPr="004F1724">
        <w:rPr>
          <w:rFonts w:ascii="Times New Roman" w:eastAsia="Times New Roman" w:hAnsi="Times New Roman" w:cs="Times New Roman"/>
          <w:color w:val="50595E"/>
          <w:sz w:val="20"/>
          <w:szCs w:val="20"/>
        </w:rPr>
        <w:t>.</w:t>
      </w:r>
    </w:p>
    <w:p w14:paraId="374F39E1"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Periodicity: </w:t>
      </w:r>
      <w:r w:rsidRPr="004F1724">
        <w:rPr>
          <w:rFonts w:ascii="Times New Roman" w:eastAsia="Times New Roman" w:hAnsi="Times New Roman" w:cs="Times New Roman"/>
          <w:color w:val="50595E"/>
          <w:sz w:val="20"/>
          <w:szCs w:val="20"/>
        </w:rPr>
        <w:t>Annual</w:t>
      </w:r>
    </w:p>
    <w:p w14:paraId="756C478C"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Statistical Concept and Methodology: </w:t>
      </w:r>
      <w:r w:rsidRPr="004F1724">
        <w:rPr>
          <w:rFonts w:ascii="Times New Roman" w:eastAsia="Times New Roman" w:hAnsi="Times New Roman" w:cs="Times New Roman"/>
          <w:color w:val="50595E"/>
          <w:sz w:val="20"/>
          <w:szCs w:val="20"/>
        </w:rPr>
        <w:t>Literacy statistics for most countries cover the population ages 15 and older, but some include younger ages or are confined to age ranges that tend to inflate literacy rates. The youth literacy rate for ages 15-24 reflects recent progress in education. It measures the accumulated outcomes of primary education over the previous 10 years or so by indicating the proportion of the population who have passed through the primary education system and acquired basic literacy and numeracy skills. Generally, literacy also encompasses numeracy, the ability to make simple arithmetic calculations. Data on literacy are compiled by the UNESCO Institute for Statistics based on national censuses and household surveys and, for countries without recent literacy data, using the Global Age-Specific Literacy Projection Model (GALP). For detailed information, see </w:t>
      </w:r>
      <w:hyperlink r:id="rId12" w:history="1">
        <w:r w:rsidRPr="004F1724">
          <w:rPr>
            <w:rFonts w:ascii="Times New Roman" w:eastAsia="Times New Roman" w:hAnsi="Times New Roman" w:cs="Times New Roman"/>
            <w:color w:val="22A6F5"/>
            <w:sz w:val="20"/>
            <w:szCs w:val="20"/>
            <w:u w:val="single"/>
          </w:rPr>
          <w:t>uis.unesco.org</w:t>
        </w:r>
      </w:hyperlink>
      <w:r w:rsidRPr="004F1724">
        <w:rPr>
          <w:rFonts w:ascii="Times New Roman" w:eastAsia="Times New Roman" w:hAnsi="Times New Roman" w:cs="Times New Roman"/>
          <w:color w:val="50595E"/>
          <w:sz w:val="20"/>
          <w:szCs w:val="20"/>
        </w:rPr>
        <w:t>.</w:t>
      </w:r>
    </w:p>
    <w:p w14:paraId="5601CBC1" w14:textId="77777777" w:rsidR="004F1724" w:rsidRPr="004F1724" w:rsidRDefault="004F1724" w:rsidP="004F1724">
      <w:pPr>
        <w:numPr>
          <w:ilvl w:val="0"/>
          <w:numId w:val="15"/>
        </w:numPr>
        <w:spacing w:before="100" w:beforeAutospacing="1" w:after="100" w:afterAutospacing="1" w:line="240" w:lineRule="auto"/>
        <w:ind w:left="600"/>
        <w:rPr>
          <w:rFonts w:ascii="Times New Roman" w:eastAsia="Times New Roman" w:hAnsi="Times New Roman" w:cs="Times New Roman"/>
          <w:color w:val="50595E"/>
          <w:sz w:val="20"/>
          <w:szCs w:val="20"/>
        </w:rPr>
      </w:pPr>
      <w:r w:rsidRPr="004F1724">
        <w:rPr>
          <w:rFonts w:ascii="Times New Roman" w:eastAsia="Times New Roman" w:hAnsi="Times New Roman" w:cs="Times New Roman"/>
          <w:b/>
          <w:bCs/>
          <w:color w:val="50595E"/>
          <w:sz w:val="20"/>
          <w:szCs w:val="20"/>
        </w:rPr>
        <w:t>Topic: </w:t>
      </w:r>
      <w:r w:rsidRPr="004F1724">
        <w:rPr>
          <w:rFonts w:ascii="Times New Roman" w:eastAsia="Times New Roman" w:hAnsi="Times New Roman" w:cs="Times New Roman"/>
          <w:color w:val="50595E"/>
          <w:sz w:val="20"/>
          <w:szCs w:val="20"/>
        </w:rPr>
        <w:t>Education: Outcomes</w:t>
      </w:r>
    </w:p>
    <w:p w14:paraId="22652D74" w14:textId="7E53A5F1" w:rsidR="004F1724" w:rsidRPr="00D52118" w:rsidRDefault="004F1724" w:rsidP="00B445D7">
      <w:pPr>
        <w:ind w:left="50"/>
        <w:rPr>
          <w:rFonts w:ascii="Times New Roman" w:hAnsi="Times New Roman" w:cs="Times New Roman"/>
        </w:rPr>
      </w:pPr>
    </w:p>
    <w:p w14:paraId="6A121857" w14:textId="3B77847E" w:rsidR="00105383" w:rsidRPr="00D52118" w:rsidRDefault="00B33924" w:rsidP="00B445D7">
      <w:pPr>
        <w:ind w:left="50"/>
        <w:rPr>
          <w:rFonts w:ascii="Times New Roman" w:hAnsi="Times New Roman" w:cs="Times New Roman"/>
          <w:b/>
          <w:bCs/>
          <w:sz w:val="44"/>
          <w:szCs w:val="44"/>
        </w:rPr>
      </w:pPr>
      <w:r w:rsidRPr="00D52118">
        <w:rPr>
          <w:rFonts w:ascii="Times New Roman" w:hAnsi="Times New Roman" w:cs="Times New Roman"/>
          <w:b/>
          <w:bCs/>
          <w:color w:val="5D5D5D"/>
          <w:sz w:val="40"/>
          <w:szCs w:val="40"/>
          <w:shd w:val="clear" w:color="auto" w:fill="FFFFFF"/>
        </w:rPr>
        <w:t>Corruption Perceptions Index</w:t>
      </w:r>
    </w:p>
    <w:p w14:paraId="5D1D7148" w14:textId="06778B25" w:rsidR="00105383" w:rsidRPr="00D52118" w:rsidRDefault="003B6BBD" w:rsidP="00B445D7">
      <w:pPr>
        <w:ind w:left="50"/>
        <w:rPr>
          <w:rFonts w:ascii="Times New Roman" w:hAnsi="Times New Roman" w:cs="Times New Roman"/>
        </w:rPr>
      </w:pPr>
      <w:hyperlink r:id="rId13" w:history="1">
        <w:r w:rsidR="00B33924" w:rsidRPr="00D52118">
          <w:rPr>
            <w:rStyle w:val="Hyperlink"/>
            <w:rFonts w:ascii="Times New Roman" w:hAnsi="Times New Roman" w:cs="Times New Roman"/>
          </w:rPr>
          <w:t>https://www.transparency.org/</w:t>
        </w:r>
      </w:hyperlink>
    </w:p>
    <w:p w14:paraId="215A00B3" w14:textId="3321D1A0" w:rsidR="00105383" w:rsidRPr="00D52118" w:rsidRDefault="00105383" w:rsidP="00B445D7">
      <w:pPr>
        <w:ind w:left="50"/>
        <w:rPr>
          <w:rFonts w:ascii="Times New Roman" w:hAnsi="Times New Roman" w:cs="Times New Roman"/>
          <w:b/>
          <w:bCs/>
        </w:rPr>
      </w:pPr>
      <w:r w:rsidRPr="00D52118">
        <w:rPr>
          <w:rFonts w:ascii="Times New Roman" w:hAnsi="Times New Roman" w:cs="Times New Roman"/>
          <w:color w:val="5D5D5D"/>
          <w:sz w:val="20"/>
          <w:szCs w:val="20"/>
          <w:shd w:val="clear" w:color="auto" w:fill="FFFFFF"/>
        </w:rPr>
        <w:t>Since its inception in 1995, the Corruption Perceptions Index, Transparency International’s flagship research product, has become the leading global indicator of public sector corruption. The index offers an annual snapshot of the relative degree of corruption by ranking countries and territories from all over the globe. In 2012, Transparency International revised the methodology used to construct the index to allow for comparison of scores from one year to the next. The 2018 CPI draws on 13 surveys and expert assessments to measure public sector corruption in 180 countries and territories, giving each a score from zero (highly corrupt) to 100 (very clean). </w:t>
      </w:r>
      <w:r w:rsidR="00B33924" w:rsidRPr="00D52118">
        <w:rPr>
          <w:rFonts w:ascii="Times New Roman" w:hAnsi="Times New Roman" w:cs="Times New Roman"/>
          <w:color w:val="5D5D5D"/>
          <w:sz w:val="20"/>
          <w:szCs w:val="20"/>
          <w:shd w:val="clear" w:color="auto" w:fill="FFFFFF"/>
        </w:rPr>
        <w:t xml:space="preserve"> </w:t>
      </w:r>
    </w:p>
    <w:sectPr w:rsidR="00105383" w:rsidRPr="00D5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933"/>
    <w:multiLevelType w:val="multilevel"/>
    <w:tmpl w:val="902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460"/>
    <w:multiLevelType w:val="multilevel"/>
    <w:tmpl w:val="E4E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02DE8"/>
    <w:multiLevelType w:val="multilevel"/>
    <w:tmpl w:val="D5D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3194C"/>
    <w:multiLevelType w:val="multilevel"/>
    <w:tmpl w:val="39E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E5B4D"/>
    <w:multiLevelType w:val="multilevel"/>
    <w:tmpl w:val="EB3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51ED0"/>
    <w:multiLevelType w:val="multilevel"/>
    <w:tmpl w:val="6F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43B1"/>
    <w:multiLevelType w:val="multilevel"/>
    <w:tmpl w:val="5E5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657CD"/>
    <w:multiLevelType w:val="multilevel"/>
    <w:tmpl w:val="121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73018"/>
    <w:multiLevelType w:val="multilevel"/>
    <w:tmpl w:val="915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A2642"/>
    <w:multiLevelType w:val="hybridMultilevel"/>
    <w:tmpl w:val="384AD00A"/>
    <w:lvl w:ilvl="0" w:tplc="A316F65E">
      <w:numFmt w:val="bullet"/>
      <w:lvlText w:val=""/>
      <w:lvlJc w:val="left"/>
      <w:pPr>
        <w:ind w:left="410" w:hanging="360"/>
      </w:pPr>
      <w:rPr>
        <w:rFonts w:ascii="Wingdings" w:eastAsiaTheme="minorHAnsi" w:hAnsi="Wingdings"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0" w15:restartNumberingAfterBreak="0">
    <w:nsid w:val="54FB623E"/>
    <w:multiLevelType w:val="multilevel"/>
    <w:tmpl w:val="633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95027"/>
    <w:multiLevelType w:val="multilevel"/>
    <w:tmpl w:val="627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35D33"/>
    <w:multiLevelType w:val="multilevel"/>
    <w:tmpl w:val="94C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D031D"/>
    <w:multiLevelType w:val="multilevel"/>
    <w:tmpl w:val="262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C345B"/>
    <w:multiLevelType w:val="multilevel"/>
    <w:tmpl w:val="64C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4607D"/>
    <w:multiLevelType w:val="multilevel"/>
    <w:tmpl w:val="DE0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4"/>
  </w:num>
  <w:num w:numId="4">
    <w:abstractNumId w:val="8"/>
  </w:num>
  <w:num w:numId="5">
    <w:abstractNumId w:val="10"/>
  </w:num>
  <w:num w:numId="6">
    <w:abstractNumId w:val="12"/>
  </w:num>
  <w:num w:numId="7">
    <w:abstractNumId w:val="15"/>
  </w:num>
  <w:num w:numId="8">
    <w:abstractNumId w:val="6"/>
  </w:num>
  <w:num w:numId="9">
    <w:abstractNumId w:val="13"/>
  </w:num>
  <w:num w:numId="10">
    <w:abstractNumId w:val="11"/>
  </w:num>
  <w:num w:numId="11">
    <w:abstractNumId w:val="2"/>
  </w:num>
  <w:num w:numId="12">
    <w:abstractNumId w:val="5"/>
  </w:num>
  <w:num w:numId="13">
    <w:abstractNumId w:val="1"/>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6C"/>
    <w:rsid w:val="00105383"/>
    <w:rsid w:val="003B6BBD"/>
    <w:rsid w:val="004F1724"/>
    <w:rsid w:val="00523D49"/>
    <w:rsid w:val="006204A6"/>
    <w:rsid w:val="00A90F1C"/>
    <w:rsid w:val="00AC28F4"/>
    <w:rsid w:val="00B33924"/>
    <w:rsid w:val="00B445D7"/>
    <w:rsid w:val="00D52118"/>
    <w:rsid w:val="00D8208F"/>
    <w:rsid w:val="00DB72A9"/>
    <w:rsid w:val="00F01F44"/>
    <w:rsid w:val="00FD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ECDE"/>
  <w15:chartTrackingRefBased/>
  <w15:docId w15:val="{26CB4AEC-A5E0-4CA3-B381-187A502E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6C"/>
    <w:pPr>
      <w:ind w:left="720"/>
      <w:contextualSpacing/>
    </w:pPr>
  </w:style>
  <w:style w:type="character" w:customStyle="1" w:styleId="Heading2Char">
    <w:name w:val="Heading 2 Char"/>
    <w:basedOn w:val="DefaultParagraphFont"/>
    <w:link w:val="Heading2"/>
    <w:uiPriority w:val="9"/>
    <w:rsid w:val="00B445D7"/>
    <w:rPr>
      <w:rFonts w:ascii="Times New Roman" w:eastAsia="Times New Roman" w:hAnsi="Times New Roman" w:cs="Times New Roman"/>
      <w:b/>
      <w:bCs/>
      <w:sz w:val="36"/>
      <w:szCs w:val="36"/>
    </w:rPr>
  </w:style>
  <w:style w:type="paragraph" w:customStyle="1" w:styleId="description">
    <w:name w:val="description"/>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id">
    <w:name w:val="indicator-id"/>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5D7"/>
    <w:rPr>
      <w:i/>
      <w:iCs/>
    </w:rPr>
  </w:style>
  <w:style w:type="character" w:styleId="Hyperlink">
    <w:name w:val="Hyperlink"/>
    <w:basedOn w:val="DefaultParagraphFont"/>
    <w:uiPriority w:val="99"/>
    <w:semiHidden/>
    <w:unhideWhenUsed/>
    <w:rsid w:val="00B44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124">
      <w:bodyDiv w:val="1"/>
      <w:marLeft w:val="0"/>
      <w:marRight w:val="0"/>
      <w:marTop w:val="0"/>
      <w:marBottom w:val="0"/>
      <w:divBdr>
        <w:top w:val="none" w:sz="0" w:space="0" w:color="auto"/>
        <w:left w:val="none" w:sz="0" w:space="0" w:color="auto"/>
        <w:bottom w:val="none" w:sz="0" w:space="0" w:color="auto"/>
        <w:right w:val="none" w:sz="0" w:space="0" w:color="auto"/>
      </w:divBdr>
      <w:divsChild>
        <w:div w:id="660088478">
          <w:marLeft w:val="600"/>
          <w:marRight w:val="600"/>
          <w:marTop w:val="0"/>
          <w:marBottom w:val="0"/>
          <w:divBdr>
            <w:top w:val="none" w:sz="0" w:space="0" w:color="auto"/>
            <w:left w:val="none" w:sz="0" w:space="0" w:color="auto"/>
            <w:bottom w:val="none" w:sz="0" w:space="0" w:color="auto"/>
            <w:right w:val="none" w:sz="0" w:space="0" w:color="auto"/>
          </w:divBdr>
        </w:div>
      </w:divsChild>
    </w:div>
    <w:div w:id="227688768">
      <w:bodyDiv w:val="1"/>
      <w:marLeft w:val="0"/>
      <w:marRight w:val="0"/>
      <w:marTop w:val="0"/>
      <w:marBottom w:val="0"/>
      <w:divBdr>
        <w:top w:val="none" w:sz="0" w:space="0" w:color="auto"/>
        <w:left w:val="none" w:sz="0" w:space="0" w:color="auto"/>
        <w:bottom w:val="none" w:sz="0" w:space="0" w:color="auto"/>
        <w:right w:val="none" w:sz="0" w:space="0" w:color="auto"/>
      </w:divBdr>
      <w:divsChild>
        <w:div w:id="1510096674">
          <w:marLeft w:val="600"/>
          <w:marRight w:val="600"/>
          <w:marTop w:val="0"/>
          <w:marBottom w:val="0"/>
          <w:divBdr>
            <w:top w:val="none" w:sz="0" w:space="0" w:color="auto"/>
            <w:left w:val="none" w:sz="0" w:space="0" w:color="auto"/>
            <w:bottom w:val="none" w:sz="0" w:space="0" w:color="auto"/>
            <w:right w:val="none" w:sz="0" w:space="0" w:color="auto"/>
          </w:divBdr>
        </w:div>
      </w:divsChild>
    </w:div>
    <w:div w:id="323894141">
      <w:bodyDiv w:val="1"/>
      <w:marLeft w:val="0"/>
      <w:marRight w:val="0"/>
      <w:marTop w:val="0"/>
      <w:marBottom w:val="0"/>
      <w:divBdr>
        <w:top w:val="none" w:sz="0" w:space="0" w:color="auto"/>
        <w:left w:val="none" w:sz="0" w:space="0" w:color="auto"/>
        <w:bottom w:val="none" w:sz="0" w:space="0" w:color="auto"/>
        <w:right w:val="none" w:sz="0" w:space="0" w:color="auto"/>
      </w:divBdr>
      <w:divsChild>
        <w:div w:id="1103651727">
          <w:marLeft w:val="600"/>
          <w:marRight w:val="600"/>
          <w:marTop w:val="0"/>
          <w:marBottom w:val="0"/>
          <w:divBdr>
            <w:top w:val="none" w:sz="0" w:space="0" w:color="auto"/>
            <w:left w:val="none" w:sz="0" w:space="0" w:color="auto"/>
            <w:bottom w:val="none" w:sz="0" w:space="0" w:color="auto"/>
            <w:right w:val="none" w:sz="0" w:space="0" w:color="auto"/>
          </w:divBdr>
        </w:div>
      </w:divsChild>
    </w:div>
    <w:div w:id="379132028">
      <w:bodyDiv w:val="1"/>
      <w:marLeft w:val="0"/>
      <w:marRight w:val="0"/>
      <w:marTop w:val="0"/>
      <w:marBottom w:val="0"/>
      <w:divBdr>
        <w:top w:val="none" w:sz="0" w:space="0" w:color="auto"/>
        <w:left w:val="none" w:sz="0" w:space="0" w:color="auto"/>
        <w:bottom w:val="none" w:sz="0" w:space="0" w:color="auto"/>
        <w:right w:val="none" w:sz="0" w:space="0" w:color="auto"/>
      </w:divBdr>
      <w:divsChild>
        <w:div w:id="1230921552">
          <w:marLeft w:val="600"/>
          <w:marRight w:val="600"/>
          <w:marTop w:val="0"/>
          <w:marBottom w:val="0"/>
          <w:divBdr>
            <w:top w:val="none" w:sz="0" w:space="0" w:color="auto"/>
            <w:left w:val="none" w:sz="0" w:space="0" w:color="auto"/>
            <w:bottom w:val="none" w:sz="0" w:space="0" w:color="auto"/>
            <w:right w:val="none" w:sz="0" w:space="0" w:color="auto"/>
          </w:divBdr>
        </w:div>
      </w:divsChild>
    </w:div>
    <w:div w:id="421725529">
      <w:bodyDiv w:val="1"/>
      <w:marLeft w:val="0"/>
      <w:marRight w:val="0"/>
      <w:marTop w:val="0"/>
      <w:marBottom w:val="0"/>
      <w:divBdr>
        <w:top w:val="none" w:sz="0" w:space="0" w:color="auto"/>
        <w:left w:val="none" w:sz="0" w:space="0" w:color="auto"/>
        <w:bottom w:val="none" w:sz="0" w:space="0" w:color="auto"/>
        <w:right w:val="none" w:sz="0" w:space="0" w:color="auto"/>
      </w:divBdr>
      <w:divsChild>
        <w:div w:id="1018583120">
          <w:marLeft w:val="600"/>
          <w:marRight w:val="600"/>
          <w:marTop w:val="0"/>
          <w:marBottom w:val="0"/>
          <w:divBdr>
            <w:top w:val="none" w:sz="0" w:space="0" w:color="auto"/>
            <w:left w:val="none" w:sz="0" w:space="0" w:color="auto"/>
            <w:bottom w:val="none" w:sz="0" w:space="0" w:color="auto"/>
            <w:right w:val="none" w:sz="0" w:space="0" w:color="auto"/>
          </w:divBdr>
        </w:div>
      </w:divsChild>
    </w:div>
    <w:div w:id="423841605">
      <w:bodyDiv w:val="1"/>
      <w:marLeft w:val="0"/>
      <w:marRight w:val="0"/>
      <w:marTop w:val="0"/>
      <w:marBottom w:val="0"/>
      <w:divBdr>
        <w:top w:val="none" w:sz="0" w:space="0" w:color="auto"/>
        <w:left w:val="none" w:sz="0" w:space="0" w:color="auto"/>
        <w:bottom w:val="none" w:sz="0" w:space="0" w:color="auto"/>
        <w:right w:val="none" w:sz="0" w:space="0" w:color="auto"/>
      </w:divBdr>
      <w:divsChild>
        <w:div w:id="973292723">
          <w:marLeft w:val="600"/>
          <w:marRight w:val="600"/>
          <w:marTop w:val="0"/>
          <w:marBottom w:val="0"/>
          <w:divBdr>
            <w:top w:val="none" w:sz="0" w:space="0" w:color="auto"/>
            <w:left w:val="none" w:sz="0" w:space="0" w:color="auto"/>
            <w:bottom w:val="none" w:sz="0" w:space="0" w:color="auto"/>
            <w:right w:val="none" w:sz="0" w:space="0" w:color="auto"/>
          </w:divBdr>
        </w:div>
      </w:divsChild>
    </w:div>
    <w:div w:id="500388575">
      <w:bodyDiv w:val="1"/>
      <w:marLeft w:val="0"/>
      <w:marRight w:val="0"/>
      <w:marTop w:val="0"/>
      <w:marBottom w:val="0"/>
      <w:divBdr>
        <w:top w:val="none" w:sz="0" w:space="0" w:color="auto"/>
        <w:left w:val="none" w:sz="0" w:space="0" w:color="auto"/>
        <w:bottom w:val="none" w:sz="0" w:space="0" w:color="auto"/>
        <w:right w:val="none" w:sz="0" w:space="0" w:color="auto"/>
      </w:divBdr>
    </w:div>
    <w:div w:id="570195638">
      <w:bodyDiv w:val="1"/>
      <w:marLeft w:val="0"/>
      <w:marRight w:val="0"/>
      <w:marTop w:val="0"/>
      <w:marBottom w:val="0"/>
      <w:divBdr>
        <w:top w:val="none" w:sz="0" w:space="0" w:color="auto"/>
        <w:left w:val="none" w:sz="0" w:space="0" w:color="auto"/>
        <w:bottom w:val="none" w:sz="0" w:space="0" w:color="auto"/>
        <w:right w:val="none" w:sz="0" w:space="0" w:color="auto"/>
      </w:divBdr>
      <w:divsChild>
        <w:div w:id="1316490081">
          <w:marLeft w:val="600"/>
          <w:marRight w:val="600"/>
          <w:marTop w:val="0"/>
          <w:marBottom w:val="0"/>
          <w:divBdr>
            <w:top w:val="none" w:sz="0" w:space="0" w:color="auto"/>
            <w:left w:val="none" w:sz="0" w:space="0" w:color="auto"/>
            <w:bottom w:val="none" w:sz="0" w:space="0" w:color="auto"/>
            <w:right w:val="none" w:sz="0" w:space="0" w:color="auto"/>
          </w:divBdr>
        </w:div>
      </w:divsChild>
    </w:div>
    <w:div w:id="570507077">
      <w:bodyDiv w:val="1"/>
      <w:marLeft w:val="0"/>
      <w:marRight w:val="0"/>
      <w:marTop w:val="0"/>
      <w:marBottom w:val="0"/>
      <w:divBdr>
        <w:top w:val="none" w:sz="0" w:space="0" w:color="auto"/>
        <w:left w:val="none" w:sz="0" w:space="0" w:color="auto"/>
        <w:bottom w:val="none" w:sz="0" w:space="0" w:color="auto"/>
        <w:right w:val="none" w:sz="0" w:space="0" w:color="auto"/>
      </w:divBdr>
      <w:divsChild>
        <w:div w:id="2136562525">
          <w:marLeft w:val="600"/>
          <w:marRight w:val="600"/>
          <w:marTop w:val="0"/>
          <w:marBottom w:val="0"/>
          <w:divBdr>
            <w:top w:val="none" w:sz="0" w:space="0" w:color="auto"/>
            <w:left w:val="none" w:sz="0" w:space="0" w:color="auto"/>
            <w:bottom w:val="none" w:sz="0" w:space="0" w:color="auto"/>
            <w:right w:val="none" w:sz="0" w:space="0" w:color="auto"/>
          </w:divBdr>
        </w:div>
      </w:divsChild>
    </w:div>
    <w:div w:id="922645547">
      <w:bodyDiv w:val="1"/>
      <w:marLeft w:val="0"/>
      <w:marRight w:val="0"/>
      <w:marTop w:val="0"/>
      <w:marBottom w:val="0"/>
      <w:divBdr>
        <w:top w:val="none" w:sz="0" w:space="0" w:color="auto"/>
        <w:left w:val="none" w:sz="0" w:space="0" w:color="auto"/>
        <w:bottom w:val="none" w:sz="0" w:space="0" w:color="auto"/>
        <w:right w:val="none" w:sz="0" w:space="0" w:color="auto"/>
      </w:divBdr>
      <w:divsChild>
        <w:div w:id="1299871280">
          <w:marLeft w:val="600"/>
          <w:marRight w:val="600"/>
          <w:marTop w:val="0"/>
          <w:marBottom w:val="0"/>
          <w:divBdr>
            <w:top w:val="none" w:sz="0" w:space="0" w:color="auto"/>
            <w:left w:val="none" w:sz="0" w:space="0" w:color="auto"/>
            <w:bottom w:val="none" w:sz="0" w:space="0" w:color="auto"/>
            <w:right w:val="none" w:sz="0" w:space="0" w:color="auto"/>
          </w:divBdr>
        </w:div>
      </w:divsChild>
    </w:div>
    <w:div w:id="962923671">
      <w:bodyDiv w:val="1"/>
      <w:marLeft w:val="0"/>
      <w:marRight w:val="0"/>
      <w:marTop w:val="0"/>
      <w:marBottom w:val="0"/>
      <w:divBdr>
        <w:top w:val="none" w:sz="0" w:space="0" w:color="auto"/>
        <w:left w:val="none" w:sz="0" w:space="0" w:color="auto"/>
        <w:bottom w:val="none" w:sz="0" w:space="0" w:color="auto"/>
        <w:right w:val="none" w:sz="0" w:space="0" w:color="auto"/>
      </w:divBdr>
      <w:divsChild>
        <w:div w:id="127626119">
          <w:marLeft w:val="600"/>
          <w:marRight w:val="600"/>
          <w:marTop w:val="0"/>
          <w:marBottom w:val="0"/>
          <w:divBdr>
            <w:top w:val="none" w:sz="0" w:space="0" w:color="auto"/>
            <w:left w:val="none" w:sz="0" w:space="0" w:color="auto"/>
            <w:bottom w:val="none" w:sz="0" w:space="0" w:color="auto"/>
            <w:right w:val="none" w:sz="0" w:space="0" w:color="auto"/>
          </w:divBdr>
        </w:div>
      </w:divsChild>
    </w:div>
    <w:div w:id="976102873">
      <w:bodyDiv w:val="1"/>
      <w:marLeft w:val="0"/>
      <w:marRight w:val="0"/>
      <w:marTop w:val="0"/>
      <w:marBottom w:val="0"/>
      <w:divBdr>
        <w:top w:val="none" w:sz="0" w:space="0" w:color="auto"/>
        <w:left w:val="none" w:sz="0" w:space="0" w:color="auto"/>
        <w:bottom w:val="none" w:sz="0" w:space="0" w:color="auto"/>
        <w:right w:val="none" w:sz="0" w:space="0" w:color="auto"/>
      </w:divBdr>
      <w:divsChild>
        <w:div w:id="1064139472">
          <w:marLeft w:val="600"/>
          <w:marRight w:val="600"/>
          <w:marTop w:val="0"/>
          <w:marBottom w:val="0"/>
          <w:divBdr>
            <w:top w:val="none" w:sz="0" w:space="0" w:color="auto"/>
            <w:left w:val="none" w:sz="0" w:space="0" w:color="auto"/>
            <w:bottom w:val="none" w:sz="0" w:space="0" w:color="auto"/>
            <w:right w:val="none" w:sz="0" w:space="0" w:color="auto"/>
          </w:divBdr>
        </w:div>
      </w:divsChild>
    </w:div>
    <w:div w:id="1426151164">
      <w:bodyDiv w:val="1"/>
      <w:marLeft w:val="0"/>
      <w:marRight w:val="0"/>
      <w:marTop w:val="0"/>
      <w:marBottom w:val="0"/>
      <w:divBdr>
        <w:top w:val="none" w:sz="0" w:space="0" w:color="auto"/>
        <w:left w:val="none" w:sz="0" w:space="0" w:color="auto"/>
        <w:bottom w:val="none" w:sz="0" w:space="0" w:color="auto"/>
        <w:right w:val="none" w:sz="0" w:space="0" w:color="auto"/>
      </w:divBdr>
    </w:div>
    <w:div w:id="1464499690">
      <w:bodyDiv w:val="1"/>
      <w:marLeft w:val="0"/>
      <w:marRight w:val="0"/>
      <w:marTop w:val="0"/>
      <w:marBottom w:val="0"/>
      <w:divBdr>
        <w:top w:val="none" w:sz="0" w:space="0" w:color="auto"/>
        <w:left w:val="none" w:sz="0" w:space="0" w:color="auto"/>
        <w:bottom w:val="none" w:sz="0" w:space="0" w:color="auto"/>
        <w:right w:val="none" w:sz="0" w:space="0" w:color="auto"/>
      </w:divBdr>
      <w:divsChild>
        <w:div w:id="1030452087">
          <w:marLeft w:val="600"/>
          <w:marRight w:val="600"/>
          <w:marTop w:val="0"/>
          <w:marBottom w:val="0"/>
          <w:divBdr>
            <w:top w:val="none" w:sz="0" w:space="0" w:color="auto"/>
            <w:left w:val="none" w:sz="0" w:space="0" w:color="auto"/>
            <w:bottom w:val="none" w:sz="0" w:space="0" w:color="auto"/>
            <w:right w:val="none" w:sz="0" w:space="0" w:color="auto"/>
          </w:divBdr>
        </w:div>
      </w:divsChild>
    </w:div>
    <w:div w:id="1532953137">
      <w:bodyDiv w:val="1"/>
      <w:marLeft w:val="0"/>
      <w:marRight w:val="0"/>
      <w:marTop w:val="0"/>
      <w:marBottom w:val="0"/>
      <w:divBdr>
        <w:top w:val="none" w:sz="0" w:space="0" w:color="auto"/>
        <w:left w:val="none" w:sz="0" w:space="0" w:color="auto"/>
        <w:bottom w:val="none" w:sz="0" w:space="0" w:color="auto"/>
        <w:right w:val="none" w:sz="0" w:space="0" w:color="auto"/>
      </w:divBdr>
      <w:divsChild>
        <w:div w:id="2067290374">
          <w:marLeft w:val="600"/>
          <w:marRight w:val="600"/>
          <w:marTop w:val="0"/>
          <w:marBottom w:val="0"/>
          <w:divBdr>
            <w:top w:val="none" w:sz="0" w:space="0" w:color="auto"/>
            <w:left w:val="none" w:sz="0" w:space="0" w:color="auto"/>
            <w:bottom w:val="none" w:sz="0" w:space="0" w:color="auto"/>
            <w:right w:val="none" w:sz="0" w:space="0" w:color="auto"/>
          </w:divBdr>
        </w:div>
      </w:divsChild>
    </w:div>
    <w:div w:id="1911646628">
      <w:bodyDiv w:val="1"/>
      <w:marLeft w:val="0"/>
      <w:marRight w:val="0"/>
      <w:marTop w:val="0"/>
      <w:marBottom w:val="0"/>
      <w:divBdr>
        <w:top w:val="none" w:sz="0" w:space="0" w:color="auto"/>
        <w:left w:val="none" w:sz="0" w:space="0" w:color="auto"/>
        <w:bottom w:val="none" w:sz="0" w:space="0" w:color="auto"/>
        <w:right w:val="none" w:sz="0" w:space="0" w:color="auto"/>
      </w:divBdr>
      <w:divsChild>
        <w:div w:id="257104510">
          <w:marLeft w:val="600"/>
          <w:marRight w:val="600"/>
          <w:marTop w:val="0"/>
          <w:marBottom w:val="0"/>
          <w:divBdr>
            <w:top w:val="none" w:sz="0" w:space="0" w:color="auto"/>
            <w:left w:val="none" w:sz="0" w:space="0" w:color="auto"/>
            <w:bottom w:val="none" w:sz="0" w:space="0" w:color="auto"/>
            <w:right w:val="none" w:sz="0" w:space="0" w:color="auto"/>
          </w:divBdr>
        </w:div>
      </w:divsChild>
    </w:div>
    <w:div w:id="1972782923">
      <w:bodyDiv w:val="1"/>
      <w:marLeft w:val="0"/>
      <w:marRight w:val="0"/>
      <w:marTop w:val="0"/>
      <w:marBottom w:val="0"/>
      <w:divBdr>
        <w:top w:val="none" w:sz="0" w:space="0" w:color="auto"/>
        <w:left w:val="none" w:sz="0" w:space="0" w:color="auto"/>
        <w:bottom w:val="none" w:sz="0" w:space="0" w:color="auto"/>
        <w:right w:val="none" w:sz="0" w:space="0" w:color="auto"/>
      </w:divBdr>
      <w:divsChild>
        <w:div w:id="820271093">
          <w:marLeft w:val="600"/>
          <w:marRight w:val="600"/>
          <w:marTop w:val="0"/>
          <w:marBottom w:val="0"/>
          <w:divBdr>
            <w:top w:val="none" w:sz="0" w:space="0" w:color="auto"/>
            <w:left w:val="none" w:sz="0" w:space="0" w:color="auto"/>
            <w:bottom w:val="none" w:sz="0" w:space="0" w:color="auto"/>
            <w:right w:val="none" w:sz="0" w:space="0" w:color="auto"/>
          </w:divBdr>
        </w:div>
      </w:divsChild>
    </w:div>
    <w:div w:id="2097364060">
      <w:bodyDiv w:val="1"/>
      <w:marLeft w:val="0"/>
      <w:marRight w:val="0"/>
      <w:marTop w:val="0"/>
      <w:marBottom w:val="0"/>
      <w:divBdr>
        <w:top w:val="none" w:sz="0" w:space="0" w:color="auto"/>
        <w:left w:val="none" w:sz="0" w:space="0" w:color="auto"/>
        <w:bottom w:val="none" w:sz="0" w:space="0" w:color="auto"/>
        <w:right w:val="none" w:sz="0" w:space="0" w:color="auto"/>
      </w:divBdr>
      <w:divsChild>
        <w:div w:id="122122161">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D/Statistics/Pages/stat/default.aspx" TargetMode="External"/><Relationship Id="rId13" Type="http://schemas.openxmlformats.org/officeDocument/2006/relationships/hyperlink" Target="https://www.transparency.org/" TargetMode="External"/><Relationship Id="rId3" Type="http://schemas.openxmlformats.org/officeDocument/2006/relationships/settings" Target="settings.xml"/><Relationship Id="rId7" Type="http://schemas.openxmlformats.org/officeDocument/2006/relationships/hyperlink" Target="http://apps.who.int/nha/database" TargetMode="External"/><Relationship Id="rId12" Type="http://schemas.openxmlformats.org/officeDocument/2006/relationships/hyperlink" Target="http://www.uis.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xpd.chex.pp.cd/" TargetMode="External"/><Relationship Id="rId11" Type="http://schemas.openxmlformats.org/officeDocument/2006/relationships/hyperlink" Target="http://data.uis.unesco.org/)" TargetMode="External"/><Relationship Id="rId5" Type="http://schemas.openxmlformats.org/officeDocument/2006/relationships/hyperlink" Target="https://en.wikipedia.org/wiki/Purchasing_power_parity" TargetMode="External"/><Relationship Id="rId15" Type="http://schemas.openxmlformats.org/officeDocument/2006/relationships/theme" Target="theme/theme1.xml"/><Relationship Id="rId10" Type="http://schemas.openxmlformats.org/officeDocument/2006/relationships/hyperlink" Target="http://www.uis.unesco.org/" TargetMode="External"/><Relationship Id="rId4" Type="http://schemas.openxmlformats.org/officeDocument/2006/relationships/webSettings" Target="webSettings.xml"/><Relationship Id="rId9" Type="http://schemas.openxmlformats.org/officeDocument/2006/relationships/hyperlink" Target="http://data.uis.unesc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6350</Words>
  <Characters>36196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9</cp:revision>
  <dcterms:created xsi:type="dcterms:W3CDTF">2019-06-26T19:21:00Z</dcterms:created>
  <dcterms:modified xsi:type="dcterms:W3CDTF">2019-06-27T03:38:00Z</dcterms:modified>
</cp:coreProperties>
</file>