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20F9E" w14:textId="77777777" w:rsidR="002217BB" w:rsidRPr="00B56AD2" w:rsidRDefault="002217BB" w:rsidP="002217BB">
      <w:pPr>
        <w:pStyle w:val="11"/>
      </w:pPr>
      <w:bookmarkStart w:id="0" w:name="_Toc3999056"/>
      <w:r w:rsidRPr="00B56AD2">
        <w:t>7 Технико-экономическое обоснование</w:t>
      </w:r>
      <w:bookmarkEnd w:id="0"/>
    </w:p>
    <w:p w14:paraId="195E22B4" w14:textId="77777777" w:rsidR="002217BB" w:rsidRPr="0077393E" w:rsidRDefault="002217BB" w:rsidP="002217BB">
      <w:pPr>
        <w:pStyle w:val="11"/>
      </w:pPr>
    </w:p>
    <w:p w14:paraId="4B660212" w14:textId="77777777" w:rsidR="002217BB" w:rsidRPr="0077393E" w:rsidRDefault="002217BB" w:rsidP="002217BB">
      <w:pPr>
        <w:pStyle w:val="21"/>
      </w:pPr>
      <w:r w:rsidRPr="0077393E">
        <w:t>7.1 Краткая характеристика приложения</w:t>
      </w:r>
    </w:p>
    <w:p w14:paraId="236A4C99" w14:textId="77777777" w:rsidR="002217BB" w:rsidRPr="0077393E" w:rsidRDefault="002217BB" w:rsidP="002217BB">
      <w:pPr>
        <w:pStyle w:val="21"/>
      </w:pPr>
    </w:p>
    <w:p w14:paraId="40095E2D" w14:textId="77777777" w:rsidR="002217BB" w:rsidRPr="007D5472" w:rsidRDefault="002217BB" w:rsidP="002217BB">
      <w:pPr>
        <w:pStyle w:val="a3"/>
      </w:pPr>
      <w:r w:rsidRPr="0077393E">
        <w:t>Веб</w:t>
      </w:r>
      <w:r w:rsidRPr="007D5472">
        <w:t>-приложение создания и проведения опросов позволяет быстро создавать и проводить опросы. Пользователю предоставляется набор базовых шаблонов опросов. Ссылку на созданный опрос можно послать группе лиц, отобранных для прохождения. Так же пройти опрос сможет любой пользователь, который зарегистрирован в приложении.</w:t>
      </w:r>
    </w:p>
    <w:p w14:paraId="426EC0F6" w14:textId="77777777" w:rsidR="002217BB" w:rsidRPr="007D5472" w:rsidRDefault="002217BB" w:rsidP="002217BB">
      <w:pPr>
        <w:pStyle w:val="a3"/>
      </w:pPr>
      <w:r w:rsidRPr="007D5472">
        <w:t>Основная цель разрабатываемого приложения – это упрощение создания и проведения социальных опросов, включающая в себя снижение трудоёмкости и стоимости их создания и проведения. Так же требуется обеспечить простоту создания опросов, чтобы это мог сделать любой пользователь, который не обладает знаниями в этой области.</w:t>
      </w:r>
    </w:p>
    <w:p w14:paraId="2DED6453" w14:textId="77777777" w:rsidR="002217BB" w:rsidRPr="0077393E" w:rsidRDefault="002217BB" w:rsidP="002217BB">
      <w:pPr>
        <w:pStyle w:val="a3"/>
      </w:pPr>
      <w:r w:rsidRPr="007D5472">
        <w:t>Основными функциями</w:t>
      </w:r>
      <w:r w:rsidRPr="0077393E">
        <w:t xml:space="preserve"> приложения являются:</w:t>
      </w:r>
    </w:p>
    <w:p w14:paraId="072E9E85" w14:textId="77777777" w:rsidR="002217BB" w:rsidRPr="007D5472" w:rsidRDefault="002217BB" w:rsidP="002217BB">
      <w:pPr>
        <w:pStyle w:val="af6"/>
        <w:numPr>
          <w:ilvl w:val="0"/>
          <w:numId w:val="3"/>
        </w:numPr>
        <w:ind w:left="851" w:hanging="153"/>
      </w:pPr>
      <w:r w:rsidRPr="007D5472">
        <w:t>регистрация и авторизация пользователя;</w:t>
      </w:r>
    </w:p>
    <w:p w14:paraId="22840A0B" w14:textId="77777777" w:rsidR="002217BB" w:rsidRPr="007D5472" w:rsidRDefault="002217BB" w:rsidP="002217BB">
      <w:pPr>
        <w:pStyle w:val="af6"/>
        <w:numPr>
          <w:ilvl w:val="0"/>
          <w:numId w:val="3"/>
        </w:numPr>
        <w:ind w:left="851" w:hanging="153"/>
      </w:pPr>
      <w:r w:rsidRPr="007D5472">
        <w:t>создание опроса;</w:t>
      </w:r>
    </w:p>
    <w:p w14:paraId="3E82048A" w14:textId="77777777" w:rsidR="002217BB" w:rsidRPr="007D5472" w:rsidRDefault="002217BB" w:rsidP="002217BB">
      <w:pPr>
        <w:pStyle w:val="af6"/>
        <w:numPr>
          <w:ilvl w:val="0"/>
          <w:numId w:val="3"/>
        </w:numPr>
        <w:ind w:left="851" w:hanging="153"/>
      </w:pPr>
      <w:r w:rsidRPr="007D5472">
        <w:t>создание шаблонов опроса;</w:t>
      </w:r>
    </w:p>
    <w:p w14:paraId="1CF4F2FC" w14:textId="77777777" w:rsidR="002217BB" w:rsidRPr="007D5472" w:rsidRDefault="002217BB" w:rsidP="002217BB">
      <w:pPr>
        <w:pStyle w:val="af6"/>
        <w:numPr>
          <w:ilvl w:val="0"/>
          <w:numId w:val="3"/>
        </w:numPr>
        <w:ind w:left="851" w:hanging="153"/>
      </w:pPr>
      <w:r w:rsidRPr="007D5472">
        <w:t>использование шаблонов для создания опроса;</w:t>
      </w:r>
    </w:p>
    <w:p w14:paraId="7C1A60A5" w14:textId="77777777" w:rsidR="002217BB" w:rsidRPr="007D5472" w:rsidRDefault="002217BB" w:rsidP="002217BB">
      <w:pPr>
        <w:pStyle w:val="af6"/>
        <w:numPr>
          <w:ilvl w:val="0"/>
          <w:numId w:val="3"/>
        </w:numPr>
        <w:ind w:left="851" w:hanging="153"/>
      </w:pPr>
      <w:r w:rsidRPr="007D5472">
        <w:t>редактирование прошлых версий опроса;</w:t>
      </w:r>
    </w:p>
    <w:p w14:paraId="1AFA9580" w14:textId="77777777" w:rsidR="002217BB" w:rsidRPr="007D5472" w:rsidRDefault="002217BB" w:rsidP="002217BB">
      <w:pPr>
        <w:pStyle w:val="af6"/>
        <w:numPr>
          <w:ilvl w:val="0"/>
          <w:numId w:val="3"/>
        </w:numPr>
        <w:ind w:left="851" w:hanging="153"/>
      </w:pPr>
      <w:r w:rsidRPr="007D5472">
        <w:t>прохождение опроса;</w:t>
      </w:r>
    </w:p>
    <w:p w14:paraId="1A461736" w14:textId="77777777" w:rsidR="002217BB" w:rsidRPr="0077393E" w:rsidRDefault="002217BB" w:rsidP="002217BB">
      <w:pPr>
        <w:pStyle w:val="af6"/>
        <w:numPr>
          <w:ilvl w:val="0"/>
          <w:numId w:val="3"/>
        </w:numPr>
        <w:ind w:left="851" w:hanging="153"/>
      </w:pPr>
      <w:r w:rsidRPr="007D5472">
        <w:t>просмотр создателем</w:t>
      </w:r>
      <w:r w:rsidRPr="0077393E">
        <w:t xml:space="preserve"> опроса статистики ответов на вопрос.</w:t>
      </w:r>
    </w:p>
    <w:p w14:paraId="0DF51F94" w14:textId="77777777" w:rsidR="002217BB" w:rsidRPr="007D5472" w:rsidRDefault="002217BB" w:rsidP="002217BB">
      <w:pPr>
        <w:pStyle w:val="a3"/>
      </w:pPr>
      <w:r w:rsidRPr="0077393E">
        <w:t xml:space="preserve">Приложение </w:t>
      </w:r>
      <w:r w:rsidRPr="007D5472">
        <w:t>будет размещено в сети Internet. Разработчик получит экономический эффект в виде прироста прибыли от сотрудничества с различными компаниями</w:t>
      </w:r>
      <w:r>
        <w:t xml:space="preserve"> или сервисами по размещению рекламы</w:t>
      </w:r>
      <w:r w:rsidRPr="007D5472">
        <w:t xml:space="preserve">, которые захотят разместить объявление на сайте, при условии, что администратор одобрит соответствующие предложения от компании. </w:t>
      </w:r>
    </w:p>
    <w:p w14:paraId="0FC923A5" w14:textId="77777777" w:rsidR="002217BB" w:rsidRPr="0077393E" w:rsidRDefault="002217BB" w:rsidP="002217BB">
      <w:pPr>
        <w:pStyle w:val="a3"/>
      </w:pPr>
      <w:r w:rsidRPr="007D5472">
        <w:t>Также пользователи смогут приобрести премиум-пакет, который содержит расширенную функциональность программного средства. Он будет включать возможность пользоваться премиум-шаблонами, которые не доступны обычному пользователю, а также проводить одновременно больше своих опросов, чем простой пользователь</w:t>
      </w:r>
      <w:r w:rsidRPr="0077393E">
        <w:t>.</w:t>
      </w:r>
    </w:p>
    <w:p w14:paraId="3269313B" w14:textId="77777777" w:rsidR="002217BB" w:rsidRDefault="002217BB" w:rsidP="002217BB">
      <w:pPr>
        <w:pStyle w:val="a3"/>
      </w:pPr>
    </w:p>
    <w:p w14:paraId="0892786F" w14:textId="77777777" w:rsidR="002217BB" w:rsidRPr="0077393E" w:rsidRDefault="002217BB" w:rsidP="002217BB">
      <w:pPr>
        <w:pStyle w:val="21"/>
      </w:pPr>
      <w:r w:rsidRPr="0077393E">
        <w:t>7.2 Расч</w:t>
      </w:r>
      <w:r>
        <w:t>ё</w:t>
      </w:r>
      <w:r w:rsidRPr="0077393E">
        <w:t>т затрат на разработку приложения</w:t>
      </w:r>
    </w:p>
    <w:p w14:paraId="7622DF30" w14:textId="77777777" w:rsidR="002217BB" w:rsidRPr="0077393E" w:rsidRDefault="002217BB" w:rsidP="002217BB">
      <w:pPr>
        <w:pStyle w:val="21"/>
      </w:pPr>
    </w:p>
    <w:p w14:paraId="32D91C5D" w14:textId="77777777" w:rsidR="002217BB" w:rsidRPr="0077393E" w:rsidRDefault="002217BB" w:rsidP="002217BB">
      <w:pPr>
        <w:pStyle w:val="a4"/>
      </w:pPr>
      <w:r w:rsidRPr="0077393E">
        <w:rPr>
          <w:b/>
        </w:rPr>
        <w:t>7.2.1</w:t>
      </w:r>
      <w:r w:rsidRPr="0077393E">
        <w:t xml:space="preserve"> Расч</w:t>
      </w:r>
      <w:r>
        <w:t>ё</w:t>
      </w:r>
      <w:r w:rsidRPr="0077393E">
        <w:t>т основной заработной платы участников команды осуществляется по формуле:</w:t>
      </w:r>
    </w:p>
    <w:p w14:paraId="4E21F33A" w14:textId="77777777" w:rsidR="002217BB" w:rsidRPr="0077393E" w:rsidRDefault="002217BB" w:rsidP="002217BB">
      <w:pPr>
        <w:pStyle w:val="a3"/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796"/>
        <w:gridCol w:w="844"/>
      </w:tblGrid>
      <w:tr w:rsidR="002217BB" w:rsidRPr="0077393E" w14:paraId="43C64A84" w14:textId="77777777" w:rsidTr="00D37AC3">
        <w:tc>
          <w:tcPr>
            <w:tcW w:w="704" w:type="dxa"/>
          </w:tcPr>
          <w:p w14:paraId="077CD0F0" w14:textId="77777777" w:rsidR="002217BB" w:rsidRPr="0077393E" w:rsidRDefault="002217BB" w:rsidP="00D37AC3">
            <w:pPr>
              <w:pStyle w:val="a3"/>
              <w:ind w:firstLine="0"/>
            </w:pPr>
          </w:p>
        </w:tc>
        <w:tc>
          <w:tcPr>
            <w:tcW w:w="7796" w:type="dxa"/>
            <w:vAlign w:val="center"/>
          </w:tcPr>
          <w:p w14:paraId="5A684AFF" w14:textId="77777777" w:rsidR="002217BB" w:rsidRPr="0077393E" w:rsidRDefault="002217BB" w:rsidP="00D37AC3">
            <w:pPr>
              <w:pStyle w:val="a3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ч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</m:nary>
              </m:oMath>
            </m:oMathPara>
          </w:p>
        </w:tc>
        <w:tc>
          <w:tcPr>
            <w:tcW w:w="844" w:type="dxa"/>
            <w:vAlign w:val="center"/>
          </w:tcPr>
          <w:p w14:paraId="6E12013C" w14:textId="77777777" w:rsidR="002217BB" w:rsidRPr="0077393E" w:rsidRDefault="002217BB" w:rsidP="00D37AC3">
            <w:pPr>
              <w:pStyle w:val="a3"/>
              <w:ind w:firstLine="0"/>
              <w:jc w:val="center"/>
              <w:rPr>
                <w:lang w:val="en-US"/>
              </w:rPr>
            </w:pPr>
            <w:r w:rsidRPr="0077393E">
              <w:rPr>
                <w:lang w:val="en-US"/>
              </w:rPr>
              <w:t>(7.1)</w:t>
            </w:r>
          </w:p>
        </w:tc>
      </w:tr>
    </w:tbl>
    <w:p w14:paraId="29257D33" w14:textId="77777777" w:rsidR="002217BB" w:rsidRDefault="002217BB" w:rsidP="002217BB">
      <w:pPr>
        <w:pStyle w:val="Default"/>
        <w:jc w:val="both"/>
        <w:rPr>
          <w:spacing w:val="2"/>
          <w:sz w:val="28"/>
          <w:szCs w:val="28"/>
        </w:rPr>
      </w:pPr>
    </w:p>
    <w:p w14:paraId="1E40DFCD" w14:textId="77777777" w:rsidR="002217BB" w:rsidRPr="0077393E" w:rsidRDefault="002217BB" w:rsidP="002217BB">
      <w:pPr>
        <w:pStyle w:val="Default"/>
        <w:jc w:val="both"/>
        <w:rPr>
          <w:spacing w:val="2"/>
          <w:sz w:val="28"/>
          <w:szCs w:val="28"/>
        </w:rPr>
      </w:pPr>
      <w:r w:rsidRPr="0077393E">
        <w:rPr>
          <w:spacing w:val="2"/>
          <w:sz w:val="28"/>
          <w:szCs w:val="28"/>
        </w:rPr>
        <w:lastRenderedPageBreak/>
        <w:t xml:space="preserve">где n – количество исполнителей, занятых разработкой конкретного программного продукта;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пр</m:t>
            </m:r>
          </m:sub>
        </m:sSub>
      </m:oMath>
      <w:r w:rsidRPr="0077393E">
        <w:rPr>
          <w:spacing w:val="2"/>
          <w:sz w:val="28"/>
          <w:szCs w:val="28"/>
        </w:rPr>
        <w:t xml:space="preserve"> – коэффициент премий (1,5);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ч</m:t>
            </m:r>
            <m:r>
              <w:rPr>
                <w:rFonts w:ascii="Cambria Math" w:hAnsi="Cambria Math"/>
              </w:rPr>
              <m:t>i</m:t>
            </m:r>
          </m:sub>
        </m:sSub>
      </m:oMath>
      <w:r w:rsidRPr="0077393E">
        <w:rPr>
          <w:spacing w:val="2"/>
          <w:sz w:val="28"/>
          <w:szCs w:val="28"/>
        </w:rPr>
        <w:t xml:space="preserve"> – часовая тарифная ставка i-</w:t>
      </w:r>
      <w:proofErr w:type="spellStart"/>
      <w:r w:rsidRPr="0077393E">
        <w:rPr>
          <w:spacing w:val="2"/>
          <w:sz w:val="28"/>
          <w:szCs w:val="28"/>
        </w:rPr>
        <w:t>го</w:t>
      </w:r>
      <w:proofErr w:type="spellEnd"/>
      <w:r w:rsidRPr="0077393E">
        <w:rPr>
          <w:spacing w:val="2"/>
          <w:sz w:val="28"/>
          <w:szCs w:val="28"/>
        </w:rPr>
        <w:t xml:space="preserve"> исполнителя, руб.; </w:t>
      </w:r>
      <m:oMath>
        <m:sSub>
          <m:sSubPr>
            <m:ctrlPr>
              <w:rPr>
                <w:rFonts w:ascii="Cambria Math" w:eastAsia="Times New Roman" w:hAnsi="Cambria Math"/>
                <w:i/>
                <w:iCs/>
                <w:color w:val="auto"/>
                <w:sz w:val="28"/>
                <w:szCs w:val="20"/>
                <w:lang w:eastAsia="ru-RU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7393E">
        <w:rPr>
          <w:spacing w:val="2"/>
          <w:sz w:val="28"/>
          <w:szCs w:val="28"/>
        </w:rPr>
        <w:t xml:space="preserve"> − трудоемкость работ, выполняемых </w:t>
      </w:r>
      <w:proofErr w:type="spellStart"/>
      <w:r w:rsidRPr="0077393E">
        <w:rPr>
          <w:spacing w:val="2"/>
          <w:sz w:val="28"/>
          <w:szCs w:val="28"/>
          <w:lang w:val="en-US"/>
        </w:rPr>
        <w:t>i</w:t>
      </w:r>
      <w:proofErr w:type="spellEnd"/>
      <w:r w:rsidRPr="0077393E">
        <w:rPr>
          <w:spacing w:val="2"/>
          <w:sz w:val="28"/>
          <w:szCs w:val="28"/>
        </w:rPr>
        <w:t>−м исполнителем (ч).</w:t>
      </w:r>
    </w:p>
    <w:p w14:paraId="39D67FE2" w14:textId="77777777" w:rsidR="002217BB" w:rsidRPr="00C11900" w:rsidRDefault="002217BB" w:rsidP="002217BB">
      <w:pPr>
        <w:pStyle w:val="af2"/>
        <w:spacing w:line="240" w:lineRule="auto"/>
        <w:ind w:firstLine="720"/>
        <w:rPr>
          <w:rFonts w:cs="Times New Roman"/>
          <w:spacing w:val="-2"/>
          <w:szCs w:val="28"/>
        </w:rPr>
      </w:pPr>
      <w:r w:rsidRPr="00C11900">
        <w:rPr>
          <w:rFonts w:cs="Times New Roman"/>
          <w:spacing w:val="-2"/>
          <w:szCs w:val="28"/>
        </w:rPr>
        <w:t>По данным ресурса dev.by в первом квартале 2019 года величина средней часовой ставки для .</w:t>
      </w:r>
      <w:r w:rsidRPr="00C11900">
        <w:rPr>
          <w:rFonts w:cs="Times New Roman"/>
          <w:spacing w:val="-2"/>
          <w:szCs w:val="28"/>
          <w:lang w:val="en-US"/>
        </w:rPr>
        <w:t>Net</w:t>
      </w:r>
      <w:r w:rsidRPr="00C11900">
        <w:rPr>
          <w:rFonts w:cs="Times New Roman"/>
          <w:spacing w:val="-2"/>
          <w:szCs w:val="28"/>
        </w:rPr>
        <w:t xml:space="preserve">-разработчика с опытом работы 1-3 года – 7 рублей в час, для </w:t>
      </w:r>
      <w:r w:rsidRPr="00C11900">
        <w:rPr>
          <w:rFonts w:cs="Times New Roman"/>
          <w:spacing w:val="-2"/>
          <w:szCs w:val="28"/>
          <w:lang w:val="en-US"/>
        </w:rPr>
        <w:t>HTML</w:t>
      </w:r>
      <w:r w:rsidRPr="00C11900">
        <w:rPr>
          <w:rFonts w:cs="Times New Roman"/>
          <w:spacing w:val="-2"/>
          <w:szCs w:val="28"/>
        </w:rPr>
        <w:t>/</w:t>
      </w:r>
      <w:r w:rsidRPr="00C11900">
        <w:rPr>
          <w:rFonts w:cs="Times New Roman"/>
          <w:spacing w:val="-2"/>
          <w:szCs w:val="28"/>
          <w:lang w:val="en-US"/>
        </w:rPr>
        <w:t>CSS</w:t>
      </w:r>
      <w:r w:rsidRPr="00C11900">
        <w:rPr>
          <w:rFonts w:cs="Times New Roman"/>
          <w:spacing w:val="-2"/>
          <w:szCs w:val="28"/>
        </w:rPr>
        <w:t>/</w:t>
      </w:r>
      <w:r w:rsidRPr="00C11900">
        <w:rPr>
          <w:rFonts w:cs="Times New Roman"/>
          <w:spacing w:val="-2"/>
          <w:szCs w:val="28"/>
          <w:lang w:val="en-US"/>
        </w:rPr>
        <w:t>JS</w:t>
      </w:r>
      <w:r w:rsidRPr="00C11900">
        <w:rPr>
          <w:rFonts w:cs="Times New Roman"/>
          <w:spacing w:val="-2"/>
          <w:szCs w:val="28"/>
        </w:rPr>
        <w:t>-разработчика с опытом работы 1-3 года – 7 рублей в час.</w:t>
      </w:r>
    </w:p>
    <w:p w14:paraId="74F4D4B8" w14:textId="77777777" w:rsidR="002217BB" w:rsidRPr="0077393E" w:rsidRDefault="002217BB" w:rsidP="002217BB">
      <w:pPr>
        <w:pStyle w:val="af2"/>
        <w:spacing w:line="240" w:lineRule="auto"/>
        <w:ind w:firstLine="720"/>
        <w:rPr>
          <w:rFonts w:cs="Times New Roman"/>
          <w:szCs w:val="28"/>
        </w:rPr>
      </w:pPr>
      <w:r w:rsidRPr="0077393E">
        <w:rPr>
          <w:rFonts w:cs="Times New Roman"/>
          <w:szCs w:val="28"/>
        </w:rPr>
        <w:t>Исходя из приведённых выше данных, рассчитаем основную заработную плату исполнителей. Полученные данные приведены в таблице 7.1.</w:t>
      </w:r>
    </w:p>
    <w:p w14:paraId="6F918BF4" w14:textId="77777777" w:rsidR="002217BB" w:rsidRPr="0077393E" w:rsidRDefault="002217BB" w:rsidP="002217BB">
      <w:pPr>
        <w:pStyle w:val="af2"/>
        <w:spacing w:line="240" w:lineRule="auto"/>
        <w:ind w:firstLine="720"/>
        <w:rPr>
          <w:rFonts w:cs="Times New Roman"/>
          <w:szCs w:val="28"/>
        </w:rPr>
      </w:pPr>
    </w:p>
    <w:p w14:paraId="3DB30C3F" w14:textId="77777777" w:rsidR="002217BB" w:rsidRPr="0077393E" w:rsidRDefault="002217BB" w:rsidP="002217BB">
      <w:pPr>
        <w:pStyle w:val="af2"/>
        <w:spacing w:line="240" w:lineRule="auto"/>
        <w:rPr>
          <w:rFonts w:cs="Times New Roman"/>
          <w:noProof/>
          <w:szCs w:val="28"/>
          <w:lang w:eastAsia="ru-RU"/>
        </w:rPr>
      </w:pPr>
      <w:r w:rsidRPr="0077393E">
        <w:rPr>
          <w:rFonts w:cs="Times New Roman"/>
          <w:szCs w:val="28"/>
        </w:rPr>
        <w:t>Таблица 7.1 – Расчёт заработной платы разработчиков</w:t>
      </w:r>
    </w:p>
    <w:tbl>
      <w:tblPr>
        <w:tblW w:w="946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701"/>
        <w:gridCol w:w="2126"/>
        <w:gridCol w:w="1701"/>
        <w:gridCol w:w="2091"/>
      </w:tblGrid>
      <w:tr w:rsidR="002217BB" w:rsidRPr="0077393E" w14:paraId="3EE94FE8" w14:textId="77777777" w:rsidTr="00D37AC3">
        <w:tc>
          <w:tcPr>
            <w:tcW w:w="1843" w:type="dxa"/>
            <w:shd w:val="clear" w:color="auto" w:fill="auto"/>
            <w:vAlign w:val="center"/>
          </w:tcPr>
          <w:p w14:paraId="18E9A96D" w14:textId="77777777" w:rsidR="002217BB" w:rsidRPr="0077393E" w:rsidRDefault="002217BB" w:rsidP="00D37AC3">
            <w:pPr>
              <w:pStyle w:val="af2"/>
              <w:spacing w:line="240" w:lineRule="auto"/>
              <w:jc w:val="left"/>
              <w:rPr>
                <w:rFonts w:cs="Times New Roman"/>
                <w:szCs w:val="28"/>
              </w:rPr>
            </w:pPr>
            <w:r w:rsidRPr="0077393E">
              <w:rPr>
                <w:rFonts w:cs="Times New Roman"/>
                <w:szCs w:val="28"/>
              </w:rPr>
              <w:t>Участник команды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157A96" w14:textId="77777777" w:rsidR="002217BB" w:rsidRPr="0077393E" w:rsidRDefault="002217BB" w:rsidP="00D37AC3">
            <w:pPr>
              <w:pStyle w:val="af2"/>
              <w:spacing w:line="240" w:lineRule="auto"/>
              <w:jc w:val="left"/>
              <w:rPr>
                <w:rFonts w:cs="Times New Roman"/>
                <w:szCs w:val="28"/>
              </w:rPr>
            </w:pPr>
            <w:r w:rsidRPr="0077393E">
              <w:rPr>
                <w:rFonts w:cs="Times New Roman"/>
                <w:szCs w:val="28"/>
              </w:rPr>
              <w:t>Месячная заработная плата, руб.</w:t>
            </w:r>
          </w:p>
        </w:tc>
        <w:tc>
          <w:tcPr>
            <w:tcW w:w="2126" w:type="dxa"/>
            <w:shd w:val="clear" w:color="auto" w:fill="auto"/>
          </w:tcPr>
          <w:p w14:paraId="6E0CAAF9" w14:textId="77777777" w:rsidR="002217BB" w:rsidRPr="0077393E" w:rsidRDefault="002217BB" w:rsidP="00D37AC3">
            <w:pPr>
              <w:pStyle w:val="af2"/>
              <w:spacing w:line="240" w:lineRule="auto"/>
              <w:rPr>
                <w:rFonts w:cs="Times New Roman"/>
                <w:szCs w:val="28"/>
              </w:rPr>
            </w:pPr>
            <w:r w:rsidRPr="0077393E">
              <w:rPr>
                <w:rFonts w:cs="Times New Roman"/>
                <w:szCs w:val="28"/>
              </w:rPr>
              <w:t>Часовая тарифная ставка руб.</w:t>
            </w:r>
          </w:p>
        </w:tc>
        <w:tc>
          <w:tcPr>
            <w:tcW w:w="1701" w:type="dxa"/>
            <w:shd w:val="clear" w:color="auto" w:fill="auto"/>
          </w:tcPr>
          <w:p w14:paraId="77081488" w14:textId="77777777" w:rsidR="002217BB" w:rsidRPr="0077393E" w:rsidRDefault="002217BB" w:rsidP="00D37AC3">
            <w:pPr>
              <w:pStyle w:val="af2"/>
              <w:spacing w:line="240" w:lineRule="auto"/>
              <w:rPr>
                <w:rFonts w:cs="Times New Roman"/>
                <w:szCs w:val="28"/>
              </w:rPr>
            </w:pPr>
            <w:r w:rsidRPr="0077393E">
              <w:rPr>
                <w:rFonts w:cs="Times New Roman"/>
                <w:szCs w:val="28"/>
              </w:rPr>
              <w:t>Трудоёмкость, часов</w:t>
            </w:r>
          </w:p>
        </w:tc>
        <w:tc>
          <w:tcPr>
            <w:tcW w:w="2091" w:type="dxa"/>
            <w:shd w:val="clear" w:color="auto" w:fill="auto"/>
          </w:tcPr>
          <w:p w14:paraId="0C088BD6" w14:textId="77777777" w:rsidR="002217BB" w:rsidRPr="0077393E" w:rsidRDefault="002217BB" w:rsidP="00D37AC3">
            <w:pPr>
              <w:pStyle w:val="af2"/>
              <w:spacing w:line="240" w:lineRule="auto"/>
              <w:rPr>
                <w:rFonts w:cs="Times New Roman"/>
                <w:szCs w:val="28"/>
              </w:rPr>
            </w:pPr>
            <w:r w:rsidRPr="0077393E">
              <w:rPr>
                <w:rFonts w:cs="Times New Roman"/>
                <w:szCs w:val="28"/>
              </w:rPr>
              <w:t>Основная заработная плата, руб.</w:t>
            </w:r>
          </w:p>
        </w:tc>
      </w:tr>
      <w:tr w:rsidR="002217BB" w:rsidRPr="0077393E" w14:paraId="69C549CF" w14:textId="77777777" w:rsidTr="00D37AC3">
        <w:tc>
          <w:tcPr>
            <w:tcW w:w="1843" w:type="dxa"/>
            <w:shd w:val="clear" w:color="auto" w:fill="auto"/>
            <w:vAlign w:val="center"/>
          </w:tcPr>
          <w:p w14:paraId="17AB55D8" w14:textId="77777777" w:rsidR="002217BB" w:rsidRPr="0077393E" w:rsidRDefault="002217BB" w:rsidP="00D37AC3">
            <w:pPr>
              <w:pStyle w:val="af2"/>
              <w:spacing w:line="240" w:lineRule="auto"/>
              <w:jc w:val="left"/>
              <w:rPr>
                <w:rFonts w:cs="Times New Roman"/>
                <w:szCs w:val="28"/>
                <w:lang w:val="en-US"/>
              </w:rPr>
            </w:pPr>
            <w:r w:rsidRPr="0077393E">
              <w:rPr>
                <w:rFonts w:cs="Times New Roman"/>
                <w:szCs w:val="28"/>
              </w:rPr>
              <w:t>.</w:t>
            </w:r>
            <w:r w:rsidRPr="0077393E">
              <w:rPr>
                <w:rFonts w:cs="Times New Roman"/>
                <w:szCs w:val="28"/>
                <w:lang w:val="en-US"/>
              </w:rPr>
              <w:t>Net-</w:t>
            </w:r>
            <w:r w:rsidRPr="0077393E">
              <w:rPr>
                <w:rFonts w:cs="Times New Roman"/>
                <w:szCs w:val="28"/>
              </w:rPr>
              <w:t>разработчик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308FBCA" w14:textId="77777777" w:rsidR="002217BB" w:rsidRPr="0077393E" w:rsidRDefault="002217BB" w:rsidP="00D37AC3">
            <w:pPr>
              <w:pStyle w:val="af2"/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77393E">
              <w:rPr>
                <w:rFonts w:cs="Times New Roman"/>
                <w:szCs w:val="28"/>
              </w:rPr>
              <w:t>1200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AB03054" w14:textId="77777777" w:rsidR="002217BB" w:rsidRPr="0077393E" w:rsidRDefault="002217BB" w:rsidP="00D37AC3">
            <w:pPr>
              <w:pStyle w:val="af2"/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7393E">
              <w:rPr>
                <w:rFonts w:cs="Times New Roman"/>
                <w:szCs w:val="28"/>
              </w:rPr>
              <w:t>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43AC5FB" w14:textId="77777777" w:rsidR="002217BB" w:rsidRPr="0077393E" w:rsidRDefault="002217BB" w:rsidP="00D37AC3">
            <w:pPr>
              <w:pStyle w:val="af2"/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7393E">
              <w:rPr>
                <w:rFonts w:cs="Times New Roman"/>
                <w:szCs w:val="28"/>
                <w:lang w:val="en-US"/>
              </w:rPr>
              <w:t>120</w:t>
            </w:r>
          </w:p>
        </w:tc>
        <w:tc>
          <w:tcPr>
            <w:tcW w:w="2091" w:type="dxa"/>
            <w:shd w:val="clear" w:color="auto" w:fill="auto"/>
            <w:vAlign w:val="center"/>
          </w:tcPr>
          <w:p w14:paraId="1DCA0241" w14:textId="77777777" w:rsidR="002217BB" w:rsidRPr="0077393E" w:rsidRDefault="002217BB" w:rsidP="00D37AC3">
            <w:pPr>
              <w:pStyle w:val="af2"/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77393E">
              <w:rPr>
                <w:rFonts w:cs="Times New Roman"/>
                <w:szCs w:val="28"/>
              </w:rPr>
              <w:t>840</w:t>
            </w:r>
          </w:p>
        </w:tc>
      </w:tr>
      <w:tr w:rsidR="002217BB" w:rsidRPr="0077393E" w14:paraId="0945ACD3" w14:textId="77777777" w:rsidTr="00D37AC3">
        <w:trPr>
          <w:trHeight w:val="805"/>
        </w:trPr>
        <w:tc>
          <w:tcPr>
            <w:tcW w:w="1843" w:type="dxa"/>
            <w:shd w:val="clear" w:color="auto" w:fill="auto"/>
            <w:vAlign w:val="center"/>
          </w:tcPr>
          <w:p w14:paraId="50AD6E01" w14:textId="77777777" w:rsidR="002217BB" w:rsidRPr="0077393E" w:rsidRDefault="002217BB" w:rsidP="00D37AC3">
            <w:pPr>
              <w:pStyle w:val="af2"/>
              <w:spacing w:line="240" w:lineRule="auto"/>
              <w:jc w:val="left"/>
              <w:rPr>
                <w:rFonts w:cs="Times New Roman"/>
                <w:szCs w:val="28"/>
              </w:rPr>
            </w:pPr>
            <w:r w:rsidRPr="0077393E">
              <w:rPr>
                <w:rFonts w:cs="Times New Roman"/>
                <w:szCs w:val="28"/>
                <w:lang w:val="en-US"/>
              </w:rPr>
              <w:t xml:space="preserve">HTML/ CSS/ JS </w:t>
            </w:r>
            <w:r w:rsidRPr="0077393E">
              <w:rPr>
                <w:rFonts w:cs="Times New Roman"/>
                <w:szCs w:val="28"/>
              </w:rPr>
              <w:t>разработчик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861F41B" w14:textId="77777777" w:rsidR="002217BB" w:rsidRPr="0077393E" w:rsidRDefault="002217BB" w:rsidP="00D37AC3">
            <w:pPr>
              <w:pStyle w:val="af2"/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77393E">
              <w:rPr>
                <w:rFonts w:cs="Times New Roman"/>
                <w:szCs w:val="28"/>
              </w:rPr>
              <w:t>1200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DE7E2F" w14:textId="77777777" w:rsidR="002217BB" w:rsidRPr="0077393E" w:rsidRDefault="002217BB" w:rsidP="00D37AC3">
            <w:pPr>
              <w:pStyle w:val="af2"/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77393E">
              <w:rPr>
                <w:rFonts w:cs="Times New Roman"/>
                <w:szCs w:val="28"/>
              </w:rPr>
              <w:t>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29BAAC4" w14:textId="77777777" w:rsidR="002217BB" w:rsidRPr="0077393E" w:rsidRDefault="002217BB" w:rsidP="00D37AC3">
            <w:pPr>
              <w:pStyle w:val="af2"/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77393E">
              <w:rPr>
                <w:rFonts w:cs="Times New Roman"/>
                <w:szCs w:val="28"/>
                <w:lang w:val="en-US"/>
              </w:rPr>
              <w:t>1</w:t>
            </w:r>
            <w:r w:rsidRPr="0077393E">
              <w:rPr>
                <w:rFonts w:cs="Times New Roman"/>
                <w:szCs w:val="28"/>
              </w:rPr>
              <w:t>68</w:t>
            </w:r>
          </w:p>
        </w:tc>
        <w:tc>
          <w:tcPr>
            <w:tcW w:w="2091" w:type="dxa"/>
            <w:shd w:val="clear" w:color="auto" w:fill="auto"/>
            <w:vAlign w:val="center"/>
          </w:tcPr>
          <w:p w14:paraId="28F2E4F1" w14:textId="77777777" w:rsidR="002217BB" w:rsidRPr="0077393E" w:rsidRDefault="002217BB" w:rsidP="00D37AC3">
            <w:pPr>
              <w:pStyle w:val="af2"/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77393E">
              <w:rPr>
                <w:rFonts w:cs="Times New Roman"/>
                <w:szCs w:val="28"/>
              </w:rPr>
              <w:t>1176</w:t>
            </w:r>
          </w:p>
        </w:tc>
      </w:tr>
      <w:tr w:rsidR="002217BB" w:rsidRPr="0077393E" w14:paraId="4D692245" w14:textId="77777777" w:rsidTr="00D37AC3">
        <w:trPr>
          <w:trHeight w:val="535"/>
        </w:trPr>
        <w:tc>
          <w:tcPr>
            <w:tcW w:w="1843" w:type="dxa"/>
            <w:shd w:val="clear" w:color="auto" w:fill="auto"/>
            <w:vAlign w:val="center"/>
          </w:tcPr>
          <w:p w14:paraId="5103D8C4" w14:textId="77777777" w:rsidR="002217BB" w:rsidRPr="0077393E" w:rsidRDefault="002217BB" w:rsidP="00D37AC3">
            <w:pPr>
              <w:pStyle w:val="af2"/>
              <w:spacing w:line="240" w:lineRule="auto"/>
              <w:jc w:val="left"/>
              <w:rPr>
                <w:rFonts w:cs="Times New Roman"/>
                <w:szCs w:val="28"/>
              </w:rPr>
            </w:pPr>
            <w:r w:rsidRPr="0077393E">
              <w:rPr>
                <w:rFonts w:cs="Times New Roman"/>
                <w:szCs w:val="28"/>
              </w:rPr>
              <w:t>Итого</w:t>
            </w:r>
          </w:p>
        </w:tc>
        <w:tc>
          <w:tcPr>
            <w:tcW w:w="1701" w:type="dxa"/>
            <w:tcBorders>
              <w:right w:val="nil"/>
            </w:tcBorders>
            <w:shd w:val="clear" w:color="auto" w:fill="auto"/>
            <w:vAlign w:val="center"/>
          </w:tcPr>
          <w:p w14:paraId="1B9FC74C" w14:textId="77777777" w:rsidR="002217BB" w:rsidRPr="0077393E" w:rsidRDefault="002217BB" w:rsidP="00D37AC3">
            <w:pPr>
              <w:pStyle w:val="af2"/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6" w:type="dxa"/>
            <w:tcBorders>
              <w:left w:val="nil"/>
            </w:tcBorders>
            <w:shd w:val="clear" w:color="auto" w:fill="auto"/>
            <w:vAlign w:val="center"/>
          </w:tcPr>
          <w:p w14:paraId="5BAD7E42" w14:textId="77777777" w:rsidR="002217BB" w:rsidRPr="0077393E" w:rsidRDefault="002217BB" w:rsidP="00D37AC3">
            <w:pPr>
              <w:pStyle w:val="af2"/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9D1870A" w14:textId="77777777" w:rsidR="002217BB" w:rsidRPr="0077393E" w:rsidRDefault="002217BB" w:rsidP="00D37AC3">
            <w:pPr>
              <w:pStyle w:val="af2"/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77393E">
              <w:rPr>
                <w:rFonts w:cs="Times New Roman"/>
                <w:szCs w:val="28"/>
              </w:rPr>
              <w:t>288</w:t>
            </w:r>
          </w:p>
        </w:tc>
        <w:tc>
          <w:tcPr>
            <w:tcW w:w="2091" w:type="dxa"/>
            <w:shd w:val="clear" w:color="auto" w:fill="auto"/>
            <w:vAlign w:val="center"/>
          </w:tcPr>
          <w:p w14:paraId="66365509" w14:textId="77777777" w:rsidR="002217BB" w:rsidRPr="0077393E" w:rsidRDefault="002217BB" w:rsidP="00D37AC3">
            <w:pPr>
              <w:pStyle w:val="af2"/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77393E">
              <w:rPr>
                <w:rFonts w:cs="Times New Roman"/>
                <w:szCs w:val="28"/>
              </w:rPr>
              <w:t>2016</w:t>
            </w:r>
          </w:p>
        </w:tc>
      </w:tr>
      <w:tr w:rsidR="002217BB" w:rsidRPr="0077393E" w14:paraId="435BB678" w14:textId="77777777" w:rsidTr="00D37AC3">
        <w:trPr>
          <w:trHeight w:val="415"/>
        </w:trPr>
        <w:tc>
          <w:tcPr>
            <w:tcW w:w="7371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55548F66" w14:textId="77777777" w:rsidR="002217BB" w:rsidRPr="0077393E" w:rsidRDefault="002217BB" w:rsidP="00D37AC3">
            <w:pPr>
              <w:pStyle w:val="af2"/>
              <w:spacing w:line="240" w:lineRule="auto"/>
              <w:rPr>
                <w:rFonts w:cs="Times New Roman"/>
                <w:szCs w:val="28"/>
              </w:rPr>
            </w:pPr>
            <w:r w:rsidRPr="0077393E">
              <w:rPr>
                <w:rFonts w:cs="Times New Roman"/>
                <w:szCs w:val="28"/>
              </w:rPr>
              <w:t>Премия, 50%</w:t>
            </w:r>
          </w:p>
        </w:tc>
        <w:tc>
          <w:tcPr>
            <w:tcW w:w="209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80E3032" w14:textId="77777777" w:rsidR="002217BB" w:rsidRPr="0077393E" w:rsidRDefault="002217BB" w:rsidP="00D37AC3">
            <w:pPr>
              <w:pStyle w:val="af2"/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77393E">
              <w:rPr>
                <w:rFonts w:cs="Times New Roman"/>
                <w:szCs w:val="28"/>
              </w:rPr>
              <w:t>1008</w:t>
            </w:r>
          </w:p>
        </w:tc>
      </w:tr>
      <w:tr w:rsidR="002217BB" w:rsidRPr="0077393E" w14:paraId="3C4A9C2C" w14:textId="77777777" w:rsidTr="00D37AC3">
        <w:tc>
          <w:tcPr>
            <w:tcW w:w="7371" w:type="dxa"/>
            <w:gridSpan w:val="4"/>
            <w:shd w:val="clear" w:color="auto" w:fill="auto"/>
          </w:tcPr>
          <w:p w14:paraId="3073FE4C" w14:textId="77777777" w:rsidR="002217BB" w:rsidRPr="0077393E" w:rsidRDefault="002217BB" w:rsidP="00D37AC3">
            <w:pPr>
              <w:pStyle w:val="af2"/>
              <w:spacing w:line="240" w:lineRule="auto"/>
              <w:rPr>
                <w:rFonts w:cs="Times New Roman"/>
                <w:szCs w:val="28"/>
              </w:rPr>
            </w:pPr>
            <w:r w:rsidRPr="0077393E">
              <w:rPr>
                <w:rFonts w:cs="Times New Roman"/>
                <w:szCs w:val="28"/>
              </w:rPr>
              <w:t>Итого затраты на основную заработную плату разработчиков</w:t>
            </w:r>
          </w:p>
        </w:tc>
        <w:tc>
          <w:tcPr>
            <w:tcW w:w="2091" w:type="dxa"/>
            <w:shd w:val="clear" w:color="auto" w:fill="auto"/>
            <w:vAlign w:val="center"/>
          </w:tcPr>
          <w:p w14:paraId="6CEF883E" w14:textId="77777777" w:rsidR="002217BB" w:rsidRPr="0077393E" w:rsidRDefault="002217BB" w:rsidP="00D37AC3">
            <w:pPr>
              <w:pStyle w:val="af2"/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77393E">
              <w:rPr>
                <w:rFonts w:cs="Times New Roman"/>
                <w:szCs w:val="28"/>
              </w:rPr>
              <w:t>3024</w:t>
            </w:r>
          </w:p>
        </w:tc>
      </w:tr>
    </w:tbl>
    <w:p w14:paraId="15562252" w14:textId="77777777" w:rsidR="002217BB" w:rsidRPr="0077393E" w:rsidRDefault="002217BB" w:rsidP="002217BB">
      <w:pPr>
        <w:pStyle w:val="a3"/>
      </w:pPr>
    </w:p>
    <w:p w14:paraId="246F7191" w14:textId="77777777" w:rsidR="002217BB" w:rsidRPr="0077393E" w:rsidRDefault="002217BB" w:rsidP="002217BB">
      <w:pPr>
        <w:pStyle w:val="a4"/>
      </w:pPr>
      <w:r w:rsidRPr="0077393E">
        <w:rPr>
          <w:b/>
          <w:bCs/>
        </w:rPr>
        <w:t xml:space="preserve">7.2.2 </w:t>
      </w:r>
      <w:r w:rsidRPr="0077393E">
        <w:t>Затраты на дополнительную заработную плату команды разработчиков включает выплаты, предусмотренные законодательством о труде, и определяется по формуле:</w:t>
      </w:r>
    </w:p>
    <w:p w14:paraId="62648FFB" w14:textId="77777777" w:rsidR="002217BB" w:rsidRPr="0077393E" w:rsidRDefault="002217BB" w:rsidP="002217BB">
      <w:pPr>
        <w:pStyle w:val="a3"/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796"/>
        <w:gridCol w:w="844"/>
      </w:tblGrid>
      <w:tr w:rsidR="002217BB" w:rsidRPr="0077393E" w14:paraId="34F36B1F" w14:textId="77777777" w:rsidTr="00D37AC3">
        <w:tc>
          <w:tcPr>
            <w:tcW w:w="704" w:type="dxa"/>
          </w:tcPr>
          <w:p w14:paraId="46F474E3" w14:textId="77777777" w:rsidR="002217BB" w:rsidRPr="0077393E" w:rsidRDefault="002217BB" w:rsidP="00D37AC3">
            <w:pPr>
              <w:pStyle w:val="a3"/>
              <w:ind w:firstLine="0"/>
            </w:pPr>
          </w:p>
        </w:tc>
        <w:tc>
          <w:tcPr>
            <w:tcW w:w="7796" w:type="dxa"/>
            <w:vAlign w:val="center"/>
          </w:tcPr>
          <w:p w14:paraId="2B35071A" w14:textId="77777777" w:rsidR="002217BB" w:rsidRPr="0077393E" w:rsidRDefault="002217BB" w:rsidP="00D37AC3">
            <w:pPr>
              <w:pStyle w:val="a3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844" w:type="dxa"/>
            <w:vAlign w:val="center"/>
          </w:tcPr>
          <w:p w14:paraId="2C5E33BC" w14:textId="77777777" w:rsidR="002217BB" w:rsidRPr="0077393E" w:rsidRDefault="002217BB" w:rsidP="00D37AC3">
            <w:pPr>
              <w:pStyle w:val="a3"/>
              <w:ind w:firstLine="0"/>
              <w:jc w:val="center"/>
              <w:rPr>
                <w:lang w:val="en-US"/>
              </w:rPr>
            </w:pPr>
            <w:r w:rsidRPr="0077393E">
              <w:rPr>
                <w:lang w:val="en-US"/>
              </w:rPr>
              <w:t>(7.</w:t>
            </w:r>
            <w:r w:rsidRPr="0077393E">
              <w:t>2</w:t>
            </w:r>
            <w:r w:rsidRPr="0077393E">
              <w:rPr>
                <w:lang w:val="en-US"/>
              </w:rPr>
              <w:t>)</w:t>
            </w:r>
          </w:p>
        </w:tc>
      </w:tr>
    </w:tbl>
    <w:p w14:paraId="79614419" w14:textId="77777777" w:rsidR="002217BB" w:rsidRPr="0077393E" w:rsidRDefault="002217BB" w:rsidP="002217BB">
      <w:pPr>
        <w:pStyle w:val="Default"/>
        <w:jc w:val="both"/>
        <w:rPr>
          <w:sz w:val="28"/>
          <w:szCs w:val="28"/>
        </w:rPr>
      </w:pPr>
    </w:p>
    <w:p w14:paraId="237E69FF" w14:textId="77777777" w:rsidR="002217BB" w:rsidRDefault="002217BB" w:rsidP="002217BB">
      <w:pPr>
        <w:pStyle w:val="a3"/>
        <w:ind w:firstLine="0"/>
      </w:pPr>
      <w:r w:rsidRPr="0077393E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д</m:t>
            </m:r>
          </m:sub>
        </m:sSub>
      </m:oMath>
      <w:r w:rsidRPr="0077393E">
        <w:t xml:space="preserve"> – дополнительная заработная плата испо</w:t>
      </w:r>
      <w:proofErr w:type="spellStart"/>
      <w:r w:rsidRPr="0077393E">
        <w:t>лнителей</w:t>
      </w:r>
      <w:proofErr w:type="spellEnd"/>
      <w:r w:rsidRPr="0077393E">
        <w:t xml:space="preserve"> (руб.);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д</m:t>
            </m:r>
          </m:sub>
        </m:sSub>
      </m:oMath>
      <w:r w:rsidRPr="0077393E">
        <w:t xml:space="preserve"> – норматив дополнительной заработной платы равный 10%.</w:t>
      </w:r>
    </w:p>
    <w:p w14:paraId="43B5194E" w14:textId="77777777" w:rsidR="002217BB" w:rsidRPr="0077393E" w:rsidRDefault="002217BB" w:rsidP="002217BB">
      <w:pPr>
        <w:pStyle w:val="a3"/>
        <w:ind w:firstLine="0"/>
      </w:pPr>
    </w:p>
    <w:p w14:paraId="15988B9F" w14:textId="77777777" w:rsidR="002217BB" w:rsidRPr="0077393E" w:rsidRDefault="002217BB" w:rsidP="002217BB">
      <w:pPr>
        <w:pStyle w:val="a3"/>
      </w:pPr>
      <w:r w:rsidRPr="0077393E">
        <w:t>Подставив значения в формулу (7.2), получим</w:t>
      </w:r>
    </w:p>
    <w:p w14:paraId="183114C7" w14:textId="77777777" w:rsidR="002217BB" w:rsidRPr="0077393E" w:rsidRDefault="002217BB" w:rsidP="002217BB">
      <w:pPr>
        <w:pStyle w:val="a3"/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796"/>
        <w:gridCol w:w="844"/>
      </w:tblGrid>
      <w:tr w:rsidR="002217BB" w:rsidRPr="0077393E" w14:paraId="3DE0273C" w14:textId="77777777" w:rsidTr="00D37AC3">
        <w:tc>
          <w:tcPr>
            <w:tcW w:w="704" w:type="dxa"/>
          </w:tcPr>
          <w:p w14:paraId="2DF6CABF" w14:textId="77777777" w:rsidR="002217BB" w:rsidRPr="0077393E" w:rsidRDefault="002217BB" w:rsidP="00D37AC3">
            <w:pPr>
              <w:pStyle w:val="a3"/>
              <w:ind w:firstLine="0"/>
            </w:pPr>
          </w:p>
        </w:tc>
        <w:tc>
          <w:tcPr>
            <w:tcW w:w="7796" w:type="dxa"/>
            <w:vAlign w:val="center"/>
          </w:tcPr>
          <w:p w14:paraId="6FCCBA8E" w14:textId="77777777" w:rsidR="002217BB" w:rsidRPr="0077393E" w:rsidRDefault="002217BB" w:rsidP="00D37AC3">
            <w:pPr>
              <w:pStyle w:val="a3"/>
              <w:ind w:firstLine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3024∙10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=302,4 руб.</m:t>
                </m:r>
              </m:oMath>
            </m:oMathPara>
          </w:p>
        </w:tc>
        <w:tc>
          <w:tcPr>
            <w:tcW w:w="844" w:type="dxa"/>
            <w:vAlign w:val="center"/>
          </w:tcPr>
          <w:p w14:paraId="1C1DCA21" w14:textId="77777777" w:rsidR="002217BB" w:rsidRPr="0077393E" w:rsidRDefault="002217BB" w:rsidP="00D37AC3">
            <w:pPr>
              <w:pStyle w:val="a3"/>
              <w:ind w:firstLine="0"/>
              <w:jc w:val="center"/>
              <w:rPr>
                <w:lang w:val="en-US"/>
              </w:rPr>
            </w:pPr>
            <w:r w:rsidRPr="0077393E">
              <w:rPr>
                <w:lang w:val="en-US"/>
              </w:rPr>
              <w:t>(7.</w:t>
            </w:r>
            <w:r w:rsidRPr="0077393E">
              <w:t>3</w:t>
            </w:r>
            <w:r w:rsidRPr="0077393E">
              <w:rPr>
                <w:lang w:val="en-US"/>
              </w:rPr>
              <w:t>)</w:t>
            </w:r>
          </w:p>
        </w:tc>
      </w:tr>
    </w:tbl>
    <w:p w14:paraId="5B4DFB11" w14:textId="77777777" w:rsidR="002217BB" w:rsidRPr="0077393E" w:rsidRDefault="002217BB" w:rsidP="002217BB">
      <w:pPr>
        <w:pStyle w:val="a3"/>
      </w:pPr>
    </w:p>
    <w:p w14:paraId="59A5A5F3" w14:textId="77777777" w:rsidR="002217BB" w:rsidRPr="0077393E" w:rsidRDefault="002217BB" w:rsidP="002217BB">
      <w:pPr>
        <w:pStyle w:val="a4"/>
        <w:keepLines/>
      </w:pPr>
      <w:r w:rsidRPr="0077393E">
        <w:rPr>
          <w:b/>
          <w:bCs/>
        </w:rPr>
        <w:lastRenderedPageBreak/>
        <w:t xml:space="preserve">7.2.3 </w:t>
      </w:r>
      <w:r w:rsidRPr="0077393E">
        <w:t>Отчисления на социальные нужды (в фонд социальной защиты населения и на обязательное страхование) определяются в соответствии с действующими законодательными актами по следующей формуле:</w:t>
      </w:r>
    </w:p>
    <w:p w14:paraId="42DC2EE6" w14:textId="77777777" w:rsidR="002217BB" w:rsidRPr="0077393E" w:rsidRDefault="002217BB" w:rsidP="002217BB">
      <w:pPr>
        <w:pStyle w:val="a4"/>
      </w:pPr>
    </w:p>
    <w:tbl>
      <w:tblPr>
        <w:tblStyle w:val="af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"/>
        <w:gridCol w:w="7805"/>
        <w:gridCol w:w="844"/>
      </w:tblGrid>
      <w:tr w:rsidR="002217BB" w:rsidRPr="0077393E" w14:paraId="2C14EA91" w14:textId="77777777" w:rsidTr="00D37AC3">
        <w:tc>
          <w:tcPr>
            <w:tcW w:w="377" w:type="pct"/>
          </w:tcPr>
          <w:p w14:paraId="13FFFC4F" w14:textId="77777777" w:rsidR="002217BB" w:rsidRPr="0077393E" w:rsidRDefault="002217BB" w:rsidP="00D37AC3">
            <w:pPr>
              <w:pStyle w:val="a3"/>
              <w:ind w:firstLine="0"/>
            </w:pPr>
          </w:p>
        </w:tc>
        <w:tc>
          <w:tcPr>
            <w:tcW w:w="4172" w:type="pct"/>
            <w:vAlign w:val="center"/>
          </w:tcPr>
          <w:p w14:paraId="5E7F1280" w14:textId="77777777" w:rsidR="002217BB" w:rsidRPr="0077393E" w:rsidRDefault="002217BB" w:rsidP="00D37AC3">
            <w:pPr>
              <w:pStyle w:val="a3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сз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сз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452" w:type="pct"/>
            <w:vAlign w:val="center"/>
          </w:tcPr>
          <w:p w14:paraId="4BF5B45B" w14:textId="77777777" w:rsidR="002217BB" w:rsidRPr="0077393E" w:rsidRDefault="002217BB" w:rsidP="00D37AC3">
            <w:pPr>
              <w:pStyle w:val="a3"/>
              <w:ind w:firstLine="0"/>
            </w:pPr>
            <w:r w:rsidRPr="0077393E">
              <w:t>(7.4)</w:t>
            </w:r>
          </w:p>
        </w:tc>
      </w:tr>
      <w:tr w:rsidR="002217BB" w:rsidRPr="0077393E" w14:paraId="7AA8FB12" w14:textId="77777777" w:rsidTr="00D37AC3">
        <w:tc>
          <w:tcPr>
            <w:tcW w:w="377" w:type="pct"/>
          </w:tcPr>
          <w:p w14:paraId="3977788B" w14:textId="77777777" w:rsidR="002217BB" w:rsidRPr="0077393E" w:rsidRDefault="002217BB" w:rsidP="00D37AC3">
            <w:pPr>
              <w:pStyle w:val="a3"/>
              <w:ind w:firstLine="0"/>
            </w:pPr>
          </w:p>
        </w:tc>
        <w:tc>
          <w:tcPr>
            <w:tcW w:w="4172" w:type="pct"/>
            <w:vAlign w:val="center"/>
          </w:tcPr>
          <w:p w14:paraId="37584B5B" w14:textId="77777777" w:rsidR="002217BB" w:rsidRPr="0077393E" w:rsidRDefault="002217BB" w:rsidP="00D37AC3">
            <w:pPr>
              <w:pStyle w:val="a3"/>
              <w:ind w:firstLine="0"/>
            </w:pPr>
          </w:p>
        </w:tc>
        <w:tc>
          <w:tcPr>
            <w:tcW w:w="452" w:type="pct"/>
            <w:vAlign w:val="center"/>
          </w:tcPr>
          <w:p w14:paraId="514FBA40" w14:textId="77777777" w:rsidR="002217BB" w:rsidRPr="0077393E" w:rsidRDefault="002217BB" w:rsidP="00D37AC3">
            <w:pPr>
              <w:pStyle w:val="a3"/>
              <w:ind w:firstLine="0"/>
            </w:pPr>
          </w:p>
        </w:tc>
      </w:tr>
    </w:tbl>
    <w:p w14:paraId="3FB4C8DE" w14:textId="77777777" w:rsidR="002217BB" w:rsidRPr="0077393E" w:rsidRDefault="002217BB" w:rsidP="002217BB">
      <w:pPr>
        <w:pStyle w:val="a3"/>
        <w:ind w:firstLine="0"/>
      </w:pPr>
      <w:r w:rsidRPr="0077393E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сз</m:t>
            </m:r>
          </m:sub>
        </m:sSub>
      </m:oMath>
      <w:r w:rsidRPr="0077393E">
        <w:t xml:space="preserve"> – норматив отчислений в фонд социальной защиты населения и на обязательное страхование (35%).</w:t>
      </w:r>
    </w:p>
    <w:p w14:paraId="158AB2B6" w14:textId="77777777" w:rsidR="002217BB" w:rsidRPr="0077393E" w:rsidRDefault="002217BB" w:rsidP="002217BB">
      <w:pPr>
        <w:pStyle w:val="a3"/>
      </w:pPr>
      <w:r w:rsidRPr="0077393E">
        <w:t>Размер отчислений в фонд социальной защиты населения и на обязательное страхование составит:</w:t>
      </w:r>
    </w:p>
    <w:p w14:paraId="04F69D3A" w14:textId="77777777" w:rsidR="002217BB" w:rsidRPr="0077393E" w:rsidRDefault="002217BB" w:rsidP="002217BB">
      <w:pPr>
        <w:pStyle w:val="a3"/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796"/>
        <w:gridCol w:w="844"/>
      </w:tblGrid>
      <w:tr w:rsidR="002217BB" w:rsidRPr="0077393E" w14:paraId="351A836E" w14:textId="77777777" w:rsidTr="00D37AC3">
        <w:tc>
          <w:tcPr>
            <w:tcW w:w="704" w:type="dxa"/>
          </w:tcPr>
          <w:p w14:paraId="03FA7AE3" w14:textId="77777777" w:rsidR="002217BB" w:rsidRPr="0077393E" w:rsidRDefault="002217BB" w:rsidP="00D37AC3">
            <w:pPr>
              <w:pStyle w:val="a3"/>
              <w:ind w:firstLine="0"/>
            </w:pPr>
          </w:p>
        </w:tc>
        <w:tc>
          <w:tcPr>
            <w:tcW w:w="7796" w:type="dxa"/>
            <w:vAlign w:val="center"/>
          </w:tcPr>
          <w:p w14:paraId="3B490E83" w14:textId="77777777" w:rsidR="002217BB" w:rsidRPr="0077393E" w:rsidRDefault="002217BB" w:rsidP="00D37AC3">
            <w:pPr>
              <w:pStyle w:val="a3"/>
              <w:ind w:firstLine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сз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(3024+302,4)∙35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=1164,24 руб.</m:t>
                </m:r>
              </m:oMath>
            </m:oMathPara>
          </w:p>
        </w:tc>
        <w:tc>
          <w:tcPr>
            <w:tcW w:w="844" w:type="dxa"/>
            <w:vAlign w:val="center"/>
          </w:tcPr>
          <w:p w14:paraId="7CBE8C55" w14:textId="77777777" w:rsidR="002217BB" w:rsidRPr="0077393E" w:rsidRDefault="002217BB" w:rsidP="00D37AC3">
            <w:pPr>
              <w:pStyle w:val="a3"/>
              <w:ind w:firstLine="0"/>
              <w:jc w:val="center"/>
              <w:rPr>
                <w:lang w:val="en-US"/>
              </w:rPr>
            </w:pPr>
            <w:r w:rsidRPr="0077393E">
              <w:rPr>
                <w:lang w:val="en-US"/>
              </w:rPr>
              <w:t>(7.</w:t>
            </w:r>
            <w:r w:rsidRPr="0077393E">
              <w:t>5</w:t>
            </w:r>
            <w:r w:rsidRPr="0077393E">
              <w:rPr>
                <w:lang w:val="en-US"/>
              </w:rPr>
              <w:t>)</w:t>
            </w:r>
          </w:p>
        </w:tc>
      </w:tr>
      <w:tr w:rsidR="002217BB" w:rsidRPr="0077393E" w14:paraId="5EC83A9B" w14:textId="77777777" w:rsidTr="00D37AC3">
        <w:tc>
          <w:tcPr>
            <w:tcW w:w="704" w:type="dxa"/>
          </w:tcPr>
          <w:p w14:paraId="5530D1D3" w14:textId="77777777" w:rsidR="002217BB" w:rsidRPr="0077393E" w:rsidRDefault="002217BB" w:rsidP="00D37AC3">
            <w:pPr>
              <w:pStyle w:val="a3"/>
              <w:ind w:firstLine="0"/>
            </w:pPr>
          </w:p>
        </w:tc>
        <w:tc>
          <w:tcPr>
            <w:tcW w:w="7796" w:type="dxa"/>
            <w:vAlign w:val="center"/>
          </w:tcPr>
          <w:p w14:paraId="4CEE74B4" w14:textId="77777777" w:rsidR="002217BB" w:rsidRPr="0077393E" w:rsidRDefault="002217BB" w:rsidP="00D37AC3">
            <w:pPr>
              <w:pStyle w:val="a3"/>
              <w:ind w:firstLine="0"/>
              <w:jc w:val="center"/>
            </w:pPr>
          </w:p>
        </w:tc>
        <w:tc>
          <w:tcPr>
            <w:tcW w:w="844" w:type="dxa"/>
            <w:vAlign w:val="center"/>
          </w:tcPr>
          <w:p w14:paraId="72FFEA30" w14:textId="77777777" w:rsidR="002217BB" w:rsidRPr="0077393E" w:rsidRDefault="002217BB" w:rsidP="00D37AC3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</w:tr>
    </w:tbl>
    <w:p w14:paraId="427D4039" w14:textId="77777777" w:rsidR="002217BB" w:rsidRPr="0077393E" w:rsidRDefault="002217BB" w:rsidP="002217BB">
      <w:pPr>
        <w:pStyle w:val="a4"/>
      </w:pPr>
      <w:r w:rsidRPr="0077393E">
        <w:rPr>
          <w:b/>
        </w:rPr>
        <w:t>7.2.4</w:t>
      </w:r>
      <w:r w:rsidRPr="0077393E">
        <w:t xml:space="preserve"> Расходы по статье «Прочие затраты»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з</m:t>
            </m:r>
          </m:sub>
        </m:sSub>
      </m:oMath>
      <w:r w:rsidRPr="0077393E">
        <w:t>) для веб-ориентированного приложения включают затраты на приоб</w:t>
      </w:r>
      <w:proofErr w:type="spellStart"/>
      <w:r w:rsidRPr="0077393E">
        <w:t>ретение</w:t>
      </w:r>
      <w:proofErr w:type="spellEnd"/>
      <w:r w:rsidRPr="0077393E">
        <w:t xml:space="preserve"> лицензионного программного обеспечения, необходимого для разработки ПС, оплату потребляемой электроэнергии, оплату аренды рабочего помещения, оборудование рабочих мест и определяются по формуле:</w:t>
      </w:r>
    </w:p>
    <w:p w14:paraId="5A15A478" w14:textId="77777777" w:rsidR="002217BB" w:rsidRPr="0077393E" w:rsidRDefault="002217BB" w:rsidP="002217BB">
      <w:pPr>
        <w:pStyle w:val="a3"/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796"/>
        <w:gridCol w:w="844"/>
      </w:tblGrid>
      <w:tr w:rsidR="002217BB" w:rsidRPr="0077393E" w14:paraId="521321A0" w14:textId="77777777" w:rsidTr="00D37AC3">
        <w:tc>
          <w:tcPr>
            <w:tcW w:w="704" w:type="dxa"/>
          </w:tcPr>
          <w:p w14:paraId="0B5380AA" w14:textId="77777777" w:rsidR="002217BB" w:rsidRPr="0077393E" w:rsidRDefault="002217BB" w:rsidP="00D37AC3">
            <w:pPr>
              <w:pStyle w:val="a3"/>
              <w:ind w:firstLine="0"/>
            </w:pPr>
          </w:p>
        </w:tc>
        <w:tc>
          <w:tcPr>
            <w:tcW w:w="7796" w:type="dxa"/>
            <w:vAlign w:val="center"/>
          </w:tcPr>
          <w:p w14:paraId="1D7BB0E8" w14:textId="77777777" w:rsidR="002217BB" w:rsidRPr="0077393E" w:rsidRDefault="002217BB" w:rsidP="00D37AC3">
            <w:pPr>
              <w:pStyle w:val="a3"/>
              <w:ind w:firstLine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з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пз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844" w:type="dxa"/>
            <w:vAlign w:val="center"/>
          </w:tcPr>
          <w:p w14:paraId="2D3E8222" w14:textId="77777777" w:rsidR="002217BB" w:rsidRPr="0077393E" w:rsidRDefault="002217BB" w:rsidP="00D37AC3">
            <w:pPr>
              <w:pStyle w:val="a3"/>
              <w:ind w:firstLine="0"/>
              <w:jc w:val="center"/>
              <w:rPr>
                <w:lang w:val="en-US"/>
              </w:rPr>
            </w:pPr>
            <w:r w:rsidRPr="0077393E">
              <w:rPr>
                <w:lang w:val="en-US"/>
              </w:rPr>
              <w:t>(7.</w:t>
            </w:r>
            <w:r w:rsidRPr="0077393E">
              <w:t>6</w:t>
            </w:r>
            <w:r w:rsidRPr="0077393E">
              <w:rPr>
                <w:lang w:val="en-US"/>
              </w:rPr>
              <w:t>)</w:t>
            </w:r>
          </w:p>
        </w:tc>
      </w:tr>
    </w:tbl>
    <w:p w14:paraId="42FDD7B5" w14:textId="77777777" w:rsidR="002217BB" w:rsidRPr="0077393E" w:rsidRDefault="002217BB" w:rsidP="002217BB">
      <w:pPr>
        <w:pStyle w:val="a3"/>
      </w:pPr>
    </w:p>
    <w:p w14:paraId="1F4919C4" w14:textId="77777777" w:rsidR="002217BB" w:rsidRPr="0077393E" w:rsidRDefault="002217BB" w:rsidP="002217BB">
      <w:pPr>
        <w:pStyle w:val="a3"/>
        <w:ind w:firstLine="0"/>
      </w:pPr>
      <w:r w:rsidRPr="0077393E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пз</m:t>
            </m:r>
          </m:sub>
        </m:sSub>
      </m:oMath>
      <w:r w:rsidRPr="0077393E">
        <w:t xml:space="preserve"> – норм</w:t>
      </w:r>
      <w:proofErr w:type="spellStart"/>
      <w:r w:rsidRPr="0077393E">
        <w:t>атив</w:t>
      </w:r>
      <w:proofErr w:type="spellEnd"/>
      <w:r w:rsidRPr="0077393E">
        <w:t xml:space="preserve"> прочих затрат, 100%.</w:t>
      </w:r>
    </w:p>
    <w:p w14:paraId="526E33F7" w14:textId="77777777" w:rsidR="002217BB" w:rsidRPr="0077393E" w:rsidRDefault="002217BB" w:rsidP="002217BB">
      <w:pPr>
        <w:pStyle w:val="a3"/>
        <w:rPr>
          <w:szCs w:val="28"/>
        </w:rPr>
      </w:pPr>
      <w:r w:rsidRPr="0077393E">
        <w:rPr>
          <w:szCs w:val="28"/>
        </w:rPr>
        <w:t>Подставив данные в формулу (7.6), получим:</w:t>
      </w:r>
    </w:p>
    <w:p w14:paraId="68CC7AAC" w14:textId="77777777" w:rsidR="002217BB" w:rsidRPr="0077393E" w:rsidRDefault="002217BB" w:rsidP="002217BB">
      <w:pPr>
        <w:pStyle w:val="a3"/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796"/>
        <w:gridCol w:w="844"/>
      </w:tblGrid>
      <w:tr w:rsidR="002217BB" w:rsidRPr="0077393E" w14:paraId="1A4155D3" w14:textId="77777777" w:rsidTr="00D37AC3">
        <w:tc>
          <w:tcPr>
            <w:tcW w:w="704" w:type="dxa"/>
          </w:tcPr>
          <w:p w14:paraId="078B0090" w14:textId="77777777" w:rsidR="002217BB" w:rsidRPr="0077393E" w:rsidRDefault="002217BB" w:rsidP="00D37AC3">
            <w:pPr>
              <w:pStyle w:val="a3"/>
              <w:ind w:firstLine="0"/>
            </w:pPr>
          </w:p>
        </w:tc>
        <w:tc>
          <w:tcPr>
            <w:tcW w:w="7796" w:type="dxa"/>
            <w:vAlign w:val="center"/>
          </w:tcPr>
          <w:p w14:paraId="7AA15340" w14:textId="77777777" w:rsidR="002217BB" w:rsidRPr="0077393E" w:rsidRDefault="002217BB" w:rsidP="00D37AC3">
            <w:pPr>
              <w:pStyle w:val="a3"/>
              <w:ind w:firstLine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з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3024∙100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=3024 руб.</m:t>
                </m:r>
              </m:oMath>
            </m:oMathPara>
          </w:p>
        </w:tc>
        <w:tc>
          <w:tcPr>
            <w:tcW w:w="844" w:type="dxa"/>
            <w:vAlign w:val="center"/>
          </w:tcPr>
          <w:p w14:paraId="1A03AE45" w14:textId="77777777" w:rsidR="002217BB" w:rsidRPr="0077393E" w:rsidRDefault="002217BB" w:rsidP="00D37AC3">
            <w:pPr>
              <w:pStyle w:val="a3"/>
              <w:ind w:firstLine="0"/>
              <w:jc w:val="center"/>
              <w:rPr>
                <w:lang w:val="en-US"/>
              </w:rPr>
            </w:pPr>
            <w:r w:rsidRPr="0077393E">
              <w:rPr>
                <w:lang w:val="en-US"/>
              </w:rPr>
              <w:t>(7.</w:t>
            </w:r>
            <w:r w:rsidRPr="0077393E">
              <w:t>7</w:t>
            </w:r>
            <w:r w:rsidRPr="0077393E">
              <w:rPr>
                <w:lang w:val="en-US"/>
              </w:rPr>
              <w:t>)</w:t>
            </w:r>
          </w:p>
        </w:tc>
      </w:tr>
    </w:tbl>
    <w:p w14:paraId="57864170" w14:textId="77777777" w:rsidR="002217BB" w:rsidRPr="0077393E" w:rsidRDefault="002217BB" w:rsidP="002217BB">
      <w:pPr>
        <w:pStyle w:val="a3"/>
      </w:pPr>
    </w:p>
    <w:p w14:paraId="548951F5" w14:textId="77777777" w:rsidR="002217BB" w:rsidRPr="0077393E" w:rsidRDefault="002217BB" w:rsidP="002217BB">
      <w:pPr>
        <w:pStyle w:val="a4"/>
      </w:pPr>
      <w:r w:rsidRPr="0077393E">
        <w:rPr>
          <w:b/>
        </w:rPr>
        <w:t>7.2.5</w:t>
      </w:r>
      <w:r w:rsidRPr="0077393E">
        <w:t xml:space="preserve"> Полная сумма затрат на разработку приложения находится путём суммирования всех рассчитанных статей затрат. Все расчёты приведены в таблице 7.2.</w:t>
      </w:r>
    </w:p>
    <w:p w14:paraId="331A0FE7" w14:textId="77777777" w:rsidR="002217BB" w:rsidRDefault="002217BB" w:rsidP="002217BB">
      <w:pPr>
        <w:pStyle w:val="a3"/>
      </w:pPr>
    </w:p>
    <w:p w14:paraId="09E0D9FA" w14:textId="77777777" w:rsidR="002217BB" w:rsidRPr="0077393E" w:rsidRDefault="002217BB" w:rsidP="002217BB">
      <w:pPr>
        <w:pStyle w:val="a3"/>
        <w:ind w:firstLine="0"/>
      </w:pPr>
      <w:r w:rsidRPr="0077393E">
        <w:t>Таблица 7.2 – Затраты на разработку программного средства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38"/>
        <w:gridCol w:w="2198"/>
      </w:tblGrid>
      <w:tr w:rsidR="002217BB" w:rsidRPr="0077393E" w14:paraId="721933F7" w14:textId="77777777" w:rsidTr="00D37AC3">
        <w:tc>
          <w:tcPr>
            <w:tcW w:w="7038" w:type="dxa"/>
            <w:shd w:val="clear" w:color="auto" w:fill="auto"/>
            <w:vAlign w:val="center"/>
          </w:tcPr>
          <w:p w14:paraId="1217031F" w14:textId="77777777" w:rsidR="002217BB" w:rsidRPr="0077393E" w:rsidRDefault="002217BB" w:rsidP="00D37AC3">
            <w:pPr>
              <w:pStyle w:val="Default"/>
              <w:jc w:val="center"/>
              <w:rPr>
                <w:sz w:val="28"/>
                <w:szCs w:val="28"/>
              </w:rPr>
            </w:pPr>
            <w:r w:rsidRPr="0077393E">
              <w:rPr>
                <w:sz w:val="28"/>
                <w:szCs w:val="28"/>
              </w:rPr>
              <w:t>Статья затрат</w:t>
            </w:r>
          </w:p>
        </w:tc>
        <w:tc>
          <w:tcPr>
            <w:tcW w:w="2198" w:type="dxa"/>
            <w:shd w:val="clear" w:color="auto" w:fill="auto"/>
            <w:vAlign w:val="center"/>
          </w:tcPr>
          <w:p w14:paraId="17DF71B0" w14:textId="77777777" w:rsidR="002217BB" w:rsidRPr="0077393E" w:rsidRDefault="002217BB" w:rsidP="00D37AC3">
            <w:pPr>
              <w:pStyle w:val="Default"/>
              <w:jc w:val="center"/>
              <w:rPr>
                <w:sz w:val="28"/>
                <w:szCs w:val="28"/>
              </w:rPr>
            </w:pPr>
            <w:r w:rsidRPr="0077393E">
              <w:rPr>
                <w:sz w:val="28"/>
                <w:szCs w:val="28"/>
              </w:rPr>
              <w:t>Сумма, руб.</w:t>
            </w:r>
          </w:p>
        </w:tc>
      </w:tr>
      <w:tr w:rsidR="002217BB" w:rsidRPr="0077393E" w14:paraId="3E2C5277" w14:textId="77777777" w:rsidTr="00D37AC3">
        <w:tc>
          <w:tcPr>
            <w:tcW w:w="7038" w:type="dxa"/>
            <w:shd w:val="clear" w:color="auto" w:fill="auto"/>
          </w:tcPr>
          <w:p w14:paraId="4BEB926D" w14:textId="77777777" w:rsidR="002217BB" w:rsidRPr="0077393E" w:rsidRDefault="002217BB" w:rsidP="00D37AC3">
            <w:pPr>
              <w:pStyle w:val="Default"/>
              <w:jc w:val="both"/>
              <w:rPr>
                <w:sz w:val="28"/>
                <w:szCs w:val="28"/>
              </w:rPr>
            </w:pPr>
            <w:r w:rsidRPr="0077393E">
              <w:rPr>
                <w:sz w:val="28"/>
                <w:szCs w:val="28"/>
              </w:rPr>
              <w:t xml:space="preserve">Основная заработная плата команды разработчиков </w:t>
            </w:r>
            <w:r w:rsidRPr="0077393E">
              <w:rPr>
                <w:sz w:val="28"/>
                <w:szCs w:val="28"/>
              </w:rPr>
              <w:tab/>
            </w:r>
          </w:p>
        </w:tc>
        <w:tc>
          <w:tcPr>
            <w:tcW w:w="2198" w:type="dxa"/>
            <w:shd w:val="clear" w:color="auto" w:fill="auto"/>
            <w:vAlign w:val="center"/>
          </w:tcPr>
          <w:p w14:paraId="275D37A4" w14:textId="77777777" w:rsidR="002217BB" w:rsidRPr="0077393E" w:rsidRDefault="002217BB" w:rsidP="00D37AC3">
            <w:pPr>
              <w:pStyle w:val="Default"/>
              <w:jc w:val="center"/>
              <w:rPr>
                <w:sz w:val="28"/>
                <w:szCs w:val="28"/>
              </w:rPr>
            </w:pPr>
            <w:r w:rsidRPr="0077393E">
              <w:rPr>
                <w:sz w:val="28"/>
                <w:szCs w:val="28"/>
              </w:rPr>
              <w:t>3024</w:t>
            </w:r>
          </w:p>
        </w:tc>
      </w:tr>
      <w:tr w:rsidR="002217BB" w:rsidRPr="0077393E" w14:paraId="0C781248" w14:textId="77777777" w:rsidTr="00D37AC3">
        <w:tc>
          <w:tcPr>
            <w:tcW w:w="7038" w:type="dxa"/>
            <w:shd w:val="clear" w:color="auto" w:fill="auto"/>
          </w:tcPr>
          <w:p w14:paraId="4564686F" w14:textId="77777777" w:rsidR="002217BB" w:rsidRPr="0077393E" w:rsidRDefault="002217BB" w:rsidP="00D37AC3">
            <w:pPr>
              <w:pStyle w:val="Default"/>
              <w:jc w:val="both"/>
              <w:rPr>
                <w:sz w:val="28"/>
                <w:szCs w:val="28"/>
              </w:rPr>
            </w:pPr>
            <w:r w:rsidRPr="0077393E">
              <w:rPr>
                <w:sz w:val="28"/>
                <w:szCs w:val="28"/>
              </w:rPr>
              <w:t xml:space="preserve">Дополнительная заработная плата команды разработчиков </w:t>
            </w:r>
          </w:p>
        </w:tc>
        <w:tc>
          <w:tcPr>
            <w:tcW w:w="2198" w:type="dxa"/>
            <w:shd w:val="clear" w:color="auto" w:fill="auto"/>
            <w:vAlign w:val="center"/>
          </w:tcPr>
          <w:p w14:paraId="380755EC" w14:textId="77777777" w:rsidR="002217BB" w:rsidRPr="0077393E" w:rsidRDefault="002217BB" w:rsidP="00D37AC3">
            <w:pPr>
              <w:pStyle w:val="Default"/>
              <w:jc w:val="center"/>
              <w:rPr>
                <w:sz w:val="28"/>
                <w:szCs w:val="28"/>
              </w:rPr>
            </w:pPr>
            <w:r w:rsidRPr="0077393E">
              <w:rPr>
                <w:sz w:val="28"/>
                <w:szCs w:val="28"/>
              </w:rPr>
              <w:t>302,4</w:t>
            </w:r>
          </w:p>
        </w:tc>
      </w:tr>
      <w:tr w:rsidR="002217BB" w:rsidRPr="0077393E" w14:paraId="77D73D83" w14:textId="77777777" w:rsidTr="00D37AC3">
        <w:tc>
          <w:tcPr>
            <w:tcW w:w="7038" w:type="dxa"/>
            <w:shd w:val="clear" w:color="auto" w:fill="auto"/>
          </w:tcPr>
          <w:p w14:paraId="75621BEF" w14:textId="77777777" w:rsidR="002217BB" w:rsidRPr="0077393E" w:rsidRDefault="002217BB" w:rsidP="00D37AC3">
            <w:pPr>
              <w:pStyle w:val="Default"/>
              <w:jc w:val="both"/>
              <w:rPr>
                <w:sz w:val="28"/>
                <w:szCs w:val="28"/>
              </w:rPr>
            </w:pPr>
            <w:r w:rsidRPr="0077393E">
              <w:rPr>
                <w:sz w:val="28"/>
                <w:szCs w:val="28"/>
              </w:rPr>
              <w:t xml:space="preserve">Отчисления на социальные нужды </w:t>
            </w:r>
          </w:p>
        </w:tc>
        <w:tc>
          <w:tcPr>
            <w:tcW w:w="2198" w:type="dxa"/>
            <w:shd w:val="clear" w:color="auto" w:fill="auto"/>
            <w:vAlign w:val="center"/>
          </w:tcPr>
          <w:p w14:paraId="4FD6A07A" w14:textId="77777777" w:rsidR="002217BB" w:rsidRPr="0077393E" w:rsidRDefault="002217BB" w:rsidP="00D37AC3">
            <w:pPr>
              <w:pStyle w:val="Default"/>
              <w:jc w:val="center"/>
              <w:rPr>
                <w:sz w:val="28"/>
                <w:szCs w:val="28"/>
              </w:rPr>
            </w:pPr>
            <w:r w:rsidRPr="0077393E">
              <w:rPr>
                <w:sz w:val="28"/>
                <w:szCs w:val="28"/>
              </w:rPr>
              <w:t>1164,24</w:t>
            </w:r>
          </w:p>
        </w:tc>
      </w:tr>
      <w:tr w:rsidR="002217BB" w:rsidRPr="0077393E" w14:paraId="006121D5" w14:textId="77777777" w:rsidTr="00D37AC3">
        <w:tc>
          <w:tcPr>
            <w:tcW w:w="7038" w:type="dxa"/>
            <w:shd w:val="clear" w:color="auto" w:fill="auto"/>
          </w:tcPr>
          <w:p w14:paraId="175FB896" w14:textId="77777777" w:rsidR="002217BB" w:rsidRPr="0077393E" w:rsidRDefault="002217BB" w:rsidP="00D37AC3">
            <w:pPr>
              <w:pStyle w:val="Default"/>
              <w:jc w:val="both"/>
              <w:rPr>
                <w:sz w:val="28"/>
                <w:szCs w:val="28"/>
              </w:rPr>
            </w:pPr>
            <w:r w:rsidRPr="0077393E">
              <w:rPr>
                <w:sz w:val="28"/>
                <w:szCs w:val="28"/>
              </w:rPr>
              <w:t xml:space="preserve">Прочие затраты </w:t>
            </w:r>
          </w:p>
        </w:tc>
        <w:tc>
          <w:tcPr>
            <w:tcW w:w="2198" w:type="dxa"/>
            <w:shd w:val="clear" w:color="auto" w:fill="auto"/>
            <w:vAlign w:val="center"/>
          </w:tcPr>
          <w:p w14:paraId="4E391ED8" w14:textId="77777777" w:rsidR="002217BB" w:rsidRPr="0077393E" w:rsidRDefault="002217BB" w:rsidP="00D37AC3">
            <w:pPr>
              <w:pStyle w:val="Default"/>
              <w:jc w:val="center"/>
              <w:rPr>
                <w:sz w:val="28"/>
                <w:szCs w:val="28"/>
              </w:rPr>
            </w:pPr>
            <w:r w:rsidRPr="0077393E">
              <w:rPr>
                <w:sz w:val="28"/>
                <w:szCs w:val="28"/>
              </w:rPr>
              <w:t>3024</w:t>
            </w:r>
          </w:p>
        </w:tc>
      </w:tr>
      <w:tr w:rsidR="002217BB" w:rsidRPr="0077393E" w14:paraId="01E05310" w14:textId="77777777" w:rsidTr="00D37AC3">
        <w:tc>
          <w:tcPr>
            <w:tcW w:w="7038" w:type="dxa"/>
            <w:shd w:val="clear" w:color="auto" w:fill="auto"/>
          </w:tcPr>
          <w:p w14:paraId="295BA84B" w14:textId="77777777" w:rsidR="002217BB" w:rsidRPr="0077393E" w:rsidRDefault="002217BB" w:rsidP="00D37AC3">
            <w:pPr>
              <w:pStyle w:val="Default"/>
              <w:tabs>
                <w:tab w:val="left" w:pos="1095"/>
              </w:tabs>
              <w:jc w:val="both"/>
              <w:rPr>
                <w:sz w:val="28"/>
                <w:szCs w:val="28"/>
              </w:rPr>
            </w:pPr>
            <w:r w:rsidRPr="0077393E">
              <w:rPr>
                <w:sz w:val="28"/>
                <w:szCs w:val="28"/>
              </w:rPr>
              <w:t xml:space="preserve">Общие затраты на разработку </w:t>
            </w:r>
          </w:p>
        </w:tc>
        <w:tc>
          <w:tcPr>
            <w:tcW w:w="2198" w:type="dxa"/>
            <w:shd w:val="clear" w:color="auto" w:fill="auto"/>
            <w:vAlign w:val="center"/>
          </w:tcPr>
          <w:p w14:paraId="3C541CC4" w14:textId="77777777" w:rsidR="002217BB" w:rsidRPr="0077393E" w:rsidRDefault="002217BB" w:rsidP="00D37AC3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77393E">
              <w:rPr>
                <w:sz w:val="28"/>
                <w:szCs w:val="28"/>
                <w:lang w:val="en-US"/>
              </w:rPr>
              <w:t>7514,64</w:t>
            </w:r>
          </w:p>
        </w:tc>
      </w:tr>
    </w:tbl>
    <w:p w14:paraId="15DF47B6" w14:textId="77777777" w:rsidR="002217BB" w:rsidRPr="0077393E" w:rsidRDefault="002217BB" w:rsidP="002217BB">
      <w:pPr>
        <w:pStyle w:val="21"/>
      </w:pPr>
      <w:r w:rsidRPr="0077393E">
        <w:lastRenderedPageBreak/>
        <w:t xml:space="preserve">7.3 Оценка эффекта от использования </w:t>
      </w:r>
      <w:r>
        <w:t>приложения</w:t>
      </w:r>
    </w:p>
    <w:p w14:paraId="31CEBBC1" w14:textId="77777777" w:rsidR="002217BB" w:rsidRPr="0077393E" w:rsidRDefault="002217BB" w:rsidP="002217BB">
      <w:pPr>
        <w:pStyle w:val="21"/>
      </w:pPr>
    </w:p>
    <w:p w14:paraId="6305B327" w14:textId="77777777" w:rsidR="002217BB" w:rsidRPr="0077393E" w:rsidRDefault="002217BB" w:rsidP="002217BB">
      <w:pPr>
        <w:pStyle w:val="a3"/>
      </w:pPr>
      <w:r w:rsidRPr="0077393E">
        <w:t>Экономический эффект представляет собой прибыль, полученную от соглашений с компаниями, проявившими желание опубликовать объявление и получившими одобрение от администратора. Таким образом планируется заключить не менее 7 соглашений. Так как соглашение заключается на месяц и в среднем будут заключены соглашения на 4 месяца, по итогу получатся 28 месячных соглашения.</w:t>
      </w:r>
      <w:r w:rsidRPr="00F811D1">
        <w:t xml:space="preserve"> </w:t>
      </w:r>
      <w:r w:rsidRPr="0077393E">
        <w:t>Средний уровень цен на размещение объявлений на подобных сайтах составляет 300 руб. Так как предприятие является резидентом ПВТ оно освобождено от уплаты налога на прибыль.</w:t>
      </w:r>
    </w:p>
    <w:p w14:paraId="6CB6C96A" w14:textId="77777777" w:rsidR="002217BB" w:rsidRPr="0077393E" w:rsidRDefault="002217BB" w:rsidP="002217BB">
      <w:pPr>
        <w:pStyle w:val="a3"/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796"/>
        <w:gridCol w:w="844"/>
      </w:tblGrid>
      <w:tr w:rsidR="002217BB" w:rsidRPr="0077393E" w14:paraId="510FCF08" w14:textId="77777777" w:rsidTr="00D37AC3">
        <w:tc>
          <w:tcPr>
            <w:tcW w:w="704" w:type="dxa"/>
          </w:tcPr>
          <w:p w14:paraId="3B59D714" w14:textId="77777777" w:rsidR="002217BB" w:rsidRPr="0077393E" w:rsidRDefault="002217BB" w:rsidP="00D37AC3">
            <w:pPr>
              <w:pStyle w:val="a3"/>
              <w:ind w:firstLine="0"/>
            </w:pPr>
          </w:p>
        </w:tc>
        <w:tc>
          <w:tcPr>
            <w:tcW w:w="7796" w:type="dxa"/>
            <w:vAlign w:val="center"/>
          </w:tcPr>
          <w:p w14:paraId="009CDF94" w14:textId="77777777" w:rsidR="002217BB" w:rsidRPr="0077393E" w:rsidRDefault="002217BB" w:rsidP="00D37AC3">
            <w:pPr>
              <w:pStyle w:val="a3"/>
              <w:ind w:firstLine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=Ц∙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lang w:eastAsia="ja-JP"/>
                  </w:rPr>
                  <m:t>-НДС-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ja-JP"/>
                      </w:rPr>
                      <m:t>З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ja-JP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844" w:type="dxa"/>
            <w:vAlign w:val="center"/>
          </w:tcPr>
          <w:p w14:paraId="1D39E4EB" w14:textId="77777777" w:rsidR="002217BB" w:rsidRPr="0077393E" w:rsidRDefault="002217BB" w:rsidP="00D37AC3">
            <w:pPr>
              <w:pStyle w:val="a3"/>
              <w:ind w:firstLine="0"/>
              <w:jc w:val="center"/>
              <w:rPr>
                <w:lang w:val="en-US"/>
              </w:rPr>
            </w:pPr>
            <w:r w:rsidRPr="0077393E">
              <w:rPr>
                <w:lang w:val="en-US"/>
              </w:rPr>
              <w:t>(7.</w:t>
            </w:r>
            <w:r w:rsidRPr="0077393E">
              <w:t>8</w:t>
            </w:r>
            <w:r w:rsidRPr="0077393E">
              <w:rPr>
                <w:lang w:val="en-US"/>
              </w:rPr>
              <w:t>)</w:t>
            </w:r>
          </w:p>
        </w:tc>
      </w:tr>
    </w:tbl>
    <w:p w14:paraId="66864C12" w14:textId="77777777" w:rsidR="002217BB" w:rsidRPr="0077393E" w:rsidRDefault="002217BB" w:rsidP="002217BB">
      <w:pPr>
        <w:pStyle w:val="a3"/>
      </w:pPr>
    </w:p>
    <w:p w14:paraId="49212EBF" w14:textId="77777777" w:rsidR="002217BB" w:rsidRPr="0077393E" w:rsidRDefault="002217BB" w:rsidP="002217BB">
      <w:pPr>
        <w:pStyle w:val="a3"/>
        <w:ind w:firstLine="0"/>
      </w:pPr>
      <w:r w:rsidRPr="0077393E">
        <w:t xml:space="preserve">где Ц – цена одного соглашения (руб.);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ja-JP"/>
              </w:rPr>
            </m:ctrlPr>
          </m:sSubPr>
          <m:e>
            <m:r>
              <w:rPr>
                <w:rFonts w:ascii="Cambria Math" w:eastAsiaTheme="minorEastAsia" w:hAnsi="Cambria Math"/>
                <w:lang w:eastAsia="ja-JP"/>
              </w:rPr>
              <m:t>З</m:t>
            </m:r>
          </m:e>
          <m:sub>
            <m:r>
              <w:rPr>
                <w:rFonts w:ascii="Cambria Math" w:eastAsiaTheme="minorEastAsia" w:hAnsi="Cambria Math"/>
                <w:lang w:eastAsia="ja-JP"/>
              </w:rPr>
              <m:t>р</m:t>
            </m:r>
          </m:sub>
        </m:sSub>
      </m:oMath>
      <w:r w:rsidRPr="0077393E">
        <w:t xml:space="preserve"> – сумма расходов на разработку и реализацию (руб.); N – количество соглашений; НДС – сумма налога на добавленную стоимость (руб.).</w:t>
      </w:r>
    </w:p>
    <w:p w14:paraId="190B37EC" w14:textId="77777777" w:rsidR="002217BB" w:rsidRPr="0077393E" w:rsidRDefault="002217BB" w:rsidP="002217BB">
      <w:pPr>
        <w:pStyle w:val="a3"/>
        <w:rPr>
          <w:szCs w:val="28"/>
        </w:rPr>
      </w:pPr>
      <w:r w:rsidRPr="0077393E">
        <w:rPr>
          <w:szCs w:val="28"/>
        </w:rPr>
        <w:t>НДС рассчитывается по формуле:</w:t>
      </w:r>
    </w:p>
    <w:p w14:paraId="5E6D06BD" w14:textId="77777777" w:rsidR="002217BB" w:rsidRPr="0077393E" w:rsidRDefault="002217BB" w:rsidP="002217BB">
      <w:pPr>
        <w:pStyle w:val="a3"/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796"/>
        <w:gridCol w:w="844"/>
      </w:tblGrid>
      <w:tr w:rsidR="002217BB" w:rsidRPr="0077393E" w14:paraId="652796D8" w14:textId="77777777" w:rsidTr="00D37AC3">
        <w:tc>
          <w:tcPr>
            <w:tcW w:w="704" w:type="dxa"/>
          </w:tcPr>
          <w:p w14:paraId="17A86EBC" w14:textId="77777777" w:rsidR="002217BB" w:rsidRPr="0077393E" w:rsidRDefault="002217BB" w:rsidP="00D37AC3">
            <w:pPr>
              <w:pStyle w:val="a3"/>
              <w:ind w:firstLine="0"/>
            </w:pPr>
          </w:p>
        </w:tc>
        <w:tc>
          <w:tcPr>
            <w:tcW w:w="7796" w:type="dxa"/>
            <w:vAlign w:val="center"/>
          </w:tcPr>
          <w:p w14:paraId="33ACCF41" w14:textId="77777777" w:rsidR="002217BB" w:rsidRPr="0077393E" w:rsidRDefault="002217BB" w:rsidP="00D37AC3">
            <w:pPr>
              <w:pStyle w:val="a3"/>
              <w:ind w:firstLin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НДС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Ц∙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дс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eastAsia="ja-JP"/>
                      </w:rPr>
                      <m:t>100%+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дс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844" w:type="dxa"/>
            <w:vAlign w:val="center"/>
          </w:tcPr>
          <w:p w14:paraId="0797C9DB" w14:textId="77777777" w:rsidR="002217BB" w:rsidRPr="0077393E" w:rsidRDefault="002217BB" w:rsidP="00D37AC3">
            <w:pPr>
              <w:pStyle w:val="a3"/>
              <w:ind w:firstLine="0"/>
              <w:jc w:val="center"/>
              <w:rPr>
                <w:lang w:val="en-US"/>
              </w:rPr>
            </w:pPr>
            <w:r w:rsidRPr="0077393E">
              <w:rPr>
                <w:lang w:val="en-US"/>
              </w:rPr>
              <w:t>(7.</w:t>
            </w:r>
            <w:r w:rsidRPr="0077393E">
              <w:t>9</w:t>
            </w:r>
            <w:r w:rsidRPr="0077393E">
              <w:rPr>
                <w:lang w:val="en-US"/>
              </w:rPr>
              <w:t>)</w:t>
            </w:r>
          </w:p>
        </w:tc>
      </w:tr>
    </w:tbl>
    <w:p w14:paraId="3AD2D6D4" w14:textId="77777777" w:rsidR="002217BB" w:rsidRPr="0077393E" w:rsidRDefault="002217BB" w:rsidP="002217BB">
      <w:pPr>
        <w:pStyle w:val="a3"/>
      </w:pPr>
    </w:p>
    <w:p w14:paraId="45884E3E" w14:textId="77777777" w:rsidR="002217BB" w:rsidRPr="0077393E" w:rsidRDefault="002217BB" w:rsidP="002217BB">
      <w:pPr>
        <w:pStyle w:val="a3"/>
        <w:ind w:firstLine="0"/>
      </w:pPr>
      <w:r w:rsidRPr="0077393E"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дс</m:t>
            </m:r>
          </m:sub>
        </m:sSub>
      </m:oMath>
      <w:r w:rsidRPr="0077393E">
        <w:t xml:space="preserve"> – ставка налога на добавленную стоимость согласно действующему законодательству (20%). </w:t>
      </w:r>
    </w:p>
    <w:p w14:paraId="29357B25" w14:textId="08C6A285" w:rsidR="002217BB" w:rsidRPr="002217BB" w:rsidRDefault="002217BB" w:rsidP="002217BB">
      <w:pPr>
        <w:pStyle w:val="a3"/>
        <w:rPr>
          <w:spacing w:val="-2"/>
        </w:rPr>
      </w:pPr>
      <w:r w:rsidRPr="002217BB">
        <w:rPr>
          <w:spacing w:val="-2"/>
        </w:rPr>
        <w:t xml:space="preserve">Также экономический эффект включает в себя прибыль, полученную от реализации премиум-пакетов, которые содержат более расширенную функциональность разрабатываемого программного средства. Планируется продать не менее 10 пакетов сроком на 3 месяца. Итого </w:t>
      </w:r>
      <w:proofErr w:type="gramStart"/>
      <w:r w:rsidRPr="002217BB">
        <w:rPr>
          <w:spacing w:val="-2"/>
        </w:rPr>
        <w:t>30 месячных</w:t>
      </w:r>
      <w:proofErr w:type="gramEnd"/>
      <w:r w:rsidRPr="002217BB">
        <w:rPr>
          <w:spacing w:val="-2"/>
        </w:rPr>
        <w:t xml:space="preserve"> продаж.</w:t>
      </w:r>
      <w:r w:rsidRPr="002217BB">
        <w:rPr>
          <w:spacing w:val="-2"/>
        </w:rPr>
        <w:t xml:space="preserve"> </w:t>
      </w:r>
      <w:r w:rsidRPr="002217BB">
        <w:rPr>
          <w:spacing w:val="-2"/>
        </w:rPr>
        <w:t>Средний уровень цен на покупку премиум-пакета на подобных сайтах составляет 300 руб.</w:t>
      </w:r>
    </w:p>
    <w:p w14:paraId="03C20C58" w14:textId="77777777" w:rsidR="002217BB" w:rsidRPr="0077393E" w:rsidRDefault="002217BB" w:rsidP="002217BB">
      <w:pPr>
        <w:pStyle w:val="a3"/>
        <w:rPr>
          <w:szCs w:val="28"/>
        </w:rPr>
      </w:pPr>
      <w:r w:rsidRPr="0077393E">
        <w:rPr>
          <w:szCs w:val="28"/>
        </w:rPr>
        <w:t>Исходя из данных сумма налога на добавленную стоимость составит:</w:t>
      </w:r>
    </w:p>
    <w:p w14:paraId="46602D89" w14:textId="77777777" w:rsidR="002217BB" w:rsidRPr="0077393E" w:rsidRDefault="002217BB" w:rsidP="002217BB">
      <w:pPr>
        <w:pStyle w:val="af2"/>
        <w:spacing w:line="240" w:lineRule="auto"/>
        <w:ind w:firstLine="708"/>
        <w:rPr>
          <w:rFonts w:cs="Times New Roman"/>
          <w:szCs w:val="28"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0"/>
        <w:gridCol w:w="7761"/>
        <w:gridCol w:w="893"/>
      </w:tblGrid>
      <w:tr w:rsidR="002217BB" w:rsidRPr="0077393E" w14:paraId="758BA751" w14:textId="77777777" w:rsidTr="00D37AC3">
        <w:tc>
          <w:tcPr>
            <w:tcW w:w="704" w:type="dxa"/>
          </w:tcPr>
          <w:p w14:paraId="72BFC8FE" w14:textId="77777777" w:rsidR="002217BB" w:rsidRPr="0077393E" w:rsidRDefault="002217BB" w:rsidP="00D37AC3">
            <w:pPr>
              <w:pStyle w:val="a3"/>
              <w:ind w:firstLine="0"/>
            </w:pPr>
          </w:p>
        </w:tc>
        <w:tc>
          <w:tcPr>
            <w:tcW w:w="7796" w:type="dxa"/>
            <w:vAlign w:val="center"/>
          </w:tcPr>
          <w:p w14:paraId="428EAB83" w14:textId="77777777" w:rsidR="002217BB" w:rsidRPr="0077393E" w:rsidRDefault="002217BB" w:rsidP="00D37AC3">
            <w:pPr>
              <w:pStyle w:val="a3"/>
              <w:ind w:firstLin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НДС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eastAsia="ja-JP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300∙28+300∙30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∙20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eastAsia="ja-JP"/>
                      </w:rPr>
                      <m:t>100+</m:t>
                    </m:r>
                    <m:r>
                      <w:rPr>
                        <w:rFonts w:ascii="Cambria Math" w:hAnsi="Cambria Math"/>
                        <w:lang w:val="en-US"/>
                      </w:rPr>
                      <m:t>20</m:t>
                    </m:r>
                  </m:den>
                </m:f>
                <m:r>
                  <w:rPr>
                    <w:rFonts w:ascii="Cambria Math" w:eastAsiaTheme="minorEastAsia" w:hAnsi="Cambria Math"/>
                    <w:lang w:eastAsia="ja-JP"/>
                  </w:rPr>
                  <m:t>=2900 руб.</m:t>
                </m:r>
              </m:oMath>
            </m:oMathPara>
          </w:p>
        </w:tc>
        <w:tc>
          <w:tcPr>
            <w:tcW w:w="844" w:type="dxa"/>
            <w:vAlign w:val="center"/>
          </w:tcPr>
          <w:p w14:paraId="7656A883" w14:textId="77777777" w:rsidR="002217BB" w:rsidRPr="0077393E" w:rsidRDefault="002217BB" w:rsidP="00D37AC3">
            <w:pPr>
              <w:pStyle w:val="a3"/>
              <w:ind w:firstLine="0"/>
              <w:jc w:val="center"/>
              <w:rPr>
                <w:lang w:val="en-US"/>
              </w:rPr>
            </w:pPr>
            <w:r w:rsidRPr="0077393E">
              <w:rPr>
                <w:lang w:val="en-US"/>
              </w:rPr>
              <w:t>(7.</w:t>
            </w:r>
            <w:r w:rsidRPr="0077393E">
              <w:t>10</w:t>
            </w:r>
            <w:r w:rsidRPr="0077393E">
              <w:rPr>
                <w:lang w:val="en-US"/>
              </w:rPr>
              <w:t>)</w:t>
            </w:r>
          </w:p>
        </w:tc>
      </w:tr>
    </w:tbl>
    <w:p w14:paraId="099EC6D7" w14:textId="77777777" w:rsidR="002217BB" w:rsidRDefault="002217BB" w:rsidP="002217BB">
      <w:pPr>
        <w:pStyle w:val="a3"/>
      </w:pPr>
    </w:p>
    <w:p w14:paraId="2B3ED5B0" w14:textId="77777777" w:rsidR="002217BB" w:rsidRPr="0077393E" w:rsidRDefault="002217BB" w:rsidP="002217BB">
      <w:pPr>
        <w:pStyle w:val="a3"/>
      </w:pPr>
      <w:r w:rsidRPr="0077393E">
        <w:t>Таким образом можно подсчитать чистую прибыль разработчиков:</w:t>
      </w:r>
    </w:p>
    <w:p w14:paraId="24988187" w14:textId="77777777" w:rsidR="002217BB" w:rsidRPr="0077393E" w:rsidRDefault="002217BB" w:rsidP="002217BB">
      <w:pPr>
        <w:pStyle w:val="af2"/>
        <w:spacing w:line="240" w:lineRule="auto"/>
        <w:ind w:firstLine="708"/>
        <w:rPr>
          <w:rFonts w:cs="Times New Roman"/>
          <w:szCs w:val="28"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"/>
        <w:gridCol w:w="7760"/>
        <w:gridCol w:w="893"/>
      </w:tblGrid>
      <w:tr w:rsidR="002217BB" w:rsidRPr="0077393E" w14:paraId="11D538E4" w14:textId="77777777" w:rsidTr="00D37AC3">
        <w:tc>
          <w:tcPr>
            <w:tcW w:w="704" w:type="dxa"/>
          </w:tcPr>
          <w:p w14:paraId="09ADE18D" w14:textId="77777777" w:rsidR="002217BB" w:rsidRPr="0077393E" w:rsidRDefault="002217BB" w:rsidP="00D37AC3">
            <w:pPr>
              <w:pStyle w:val="a3"/>
              <w:ind w:firstLine="0"/>
            </w:pPr>
          </w:p>
        </w:tc>
        <w:tc>
          <w:tcPr>
            <w:tcW w:w="7796" w:type="dxa"/>
            <w:vAlign w:val="center"/>
          </w:tcPr>
          <w:p w14:paraId="6EB298F7" w14:textId="77777777" w:rsidR="002217BB" w:rsidRPr="0077393E" w:rsidRDefault="002217BB" w:rsidP="00D37AC3">
            <w:pPr>
              <w:pStyle w:val="a3"/>
              <w:ind w:firstLine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=300∙28+300∙30-2900</m:t>
                </m:r>
                <m:r>
                  <w:rPr>
                    <w:rFonts w:ascii="Cambria Math" w:hAnsi="Cambria Math"/>
                  </w:rPr>
                  <m:t>-7514,64=5785,36 руб.</m:t>
                </m:r>
              </m:oMath>
            </m:oMathPara>
          </w:p>
        </w:tc>
        <w:tc>
          <w:tcPr>
            <w:tcW w:w="844" w:type="dxa"/>
            <w:vAlign w:val="center"/>
          </w:tcPr>
          <w:p w14:paraId="54A32527" w14:textId="77777777" w:rsidR="002217BB" w:rsidRPr="0077393E" w:rsidRDefault="002217BB" w:rsidP="00D37AC3">
            <w:pPr>
              <w:pStyle w:val="a3"/>
              <w:ind w:firstLine="0"/>
              <w:jc w:val="center"/>
              <w:rPr>
                <w:lang w:val="en-US"/>
              </w:rPr>
            </w:pPr>
            <w:r w:rsidRPr="0077393E">
              <w:rPr>
                <w:lang w:val="en-US"/>
              </w:rPr>
              <w:t>(7.</w:t>
            </w:r>
            <w:r w:rsidRPr="0077393E">
              <w:t>11</w:t>
            </w:r>
            <w:r w:rsidRPr="0077393E">
              <w:rPr>
                <w:lang w:val="en-US"/>
              </w:rPr>
              <w:t>)</w:t>
            </w:r>
          </w:p>
        </w:tc>
      </w:tr>
    </w:tbl>
    <w:p w14:paraId="3BF42FA3" w14:textId="77777777" w:rsidR="002217BB" w:rsidRPr="0077393E" w:rsidRDefault="002217BB" w:rsidP="002217BB">
      <w:pPr>
        <w:pStyle w:val="af2"/>
        <w:spacing w:line="240" w:lineRule="auto"/>
        <w:ind w:firstLine="708"/>
        <w:rPr>
          <w:rFonts w:cs="Times New Roman"/>
          <w:szCs w:val="28"/>
        </w:rPr>
      </w:pPr>
    </w:p>
    <w:p w14:paraId="21D44B85" w14:textId="77777777" w:rsidR="002217BB" w:rsidRPr="0077393E" w:rsidRDefault="002217BB" w:rsidP="002217BB">
      <w:pPr>
        <w:pStyle w:val="a3"/>
        <w:keepLines/>
      </w:pPr>
      <w:r w:rsidRPr="0077393E">
        <w:t xml:space="preserve">Для оценки эффективности затрат на разработку </w:t>
      </w:r>
      <w:r>
        <w:t>приложения</w:t>
      </w:r>
      <w:r w:rsidRPr="0077393E">
        <w:t xml:space="preserve"> необходимо рассчитать уровень рентабельности затрат по следующей формуле:</w:t>
      </w:r>
    </w:p>
    <w:p w14:paraId="6861F5D8" w14:textId="77777777" w:rsidR="002217BB" w:rsidRPr="0077393E" w:rsidRDefault="002217BB" w:rsidP="002217BB">
      <w:pPr>
        <w:pStyle w:val="a3"/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"/>
        <w:gridCol w:w="7760"/>
        <w:gridCol w:w="893"/>
      </w:tblGrid>
      <w:tr w:rsidR="002217BB" w:rsidRPr="0077393E" w14:paraId="071AE81F" w14:textId="77777777" w:rsidTr="00D37AC3">
        <w:tc>
          <w:tcPr>
            <w:tcW w:w="704" w:type="dxa"/>
          </w:tcPr>
          <w:p w14:paraId="11215915" w14:textId="77777777" w:rsidR="002217BB" w:rsidRPr="0077393E" w:rsidRDefault="002217BB" w:rsidP="00D37AC3">
            <w:pPr>
              <w:pStyle w:val="a3"/>
              <w:ind w:firstLine="0"/>
            </w:pPr>
          </w:p>
        </w:tc>
        <w:tc>
          <w:tcPr>
            <w:tcW w:w="7796" w:type="dxa"/>
            <w:vAlign w:val="center"/>
          </w:tcPr>
          <w:p w14:paraId="47632689" w14:textId="77777777" w:rsidR="002217BB" w:rsidRPr="0077393E" w:rsidRDefault="002217BB" w:rsidP="00D37AC3">
            <w:pPr>
              <w:pStyle w:val="a3"/>
              <w:ind w:firstLine="0"/>
              <w:jc w:val="center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Р=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∙100%.</m:t>
                </m:r>
              </m:oMath>
            </m:oMathPara>
          </w:p>
        </w:tc>
        <w:tc>
          <w:tcPr>
            <w:tcW w:w="844" w:type="dxa"/>
            <w:vAlign w:val="center"/>
          </w:tcPr>
          <w:p w14:paraId="41CA408B" w14:textId="77777777" w:rsidR="002217BB" w:rsidRPr="0077393E" w:rsidRDefault="002217BB" w:rsidP="00D37AC3">
            <w:pPr>
              <w:pStyle w:val="a3"/>
              <w:ind w:firstLine="0"/>
              <w:jc w:val="center"/>
              <w:rPr>
                <w:lang w:val="en-US"/>
              </w:rPr>
            </w:pPr>
            <w:r w:rsidRPr="0077393E">
              <w:rPr>
                <w:lang w:val="en-US"/>
              </w:rPr>
              <w:t>(7.</w:t>
            </w:r>
            <w:r w:rsidRPr="0077393E">
              <w:t>12</w:t>
            </w:r>
            <w:r w:rsidRPr="0077393E">
              <w:rPr>
                <w:lang w:val="en-US"/>
              </w:rPr>
              <w:t>)</w:t>
            </w:r>
          </w:p>
        </w:tc>
      </w:tr>
    </w:tbl>
    <w:p w14:paraId="2E4795A6" w14:textId="77777777" w:rsidR="002217BB" w:rsidRPr="0077393E" w:rsidRDefault="002217BB" w:rsidP="002217BB">
      <w:pPr>
        <w:pStyle w:val="a3"/>
      </w:pPr>
      <w:r w:rsidRPr="0077393E">
        <w:lastRenderedPageBreak/>
        <w:t>Подставив значения в формулу (7.12), получим:</w:t>
      </w:r>
    </w:p>
    <w:p w14:paraId="0B44D77A" w14:textId="77777777" w:rsidR="002217BB" w:rsidRPr="0077393E" w:rsidRDefault="002217BB" w:rsidP="002217BB">
      <w:pPr>
        <w:pStyle w:val="af2"/>
        <w:spacing w:line="240" w:lineRule="auto"/>
        <w:ind w:firstLine="708"/>
        <w:rPr>
          <w:rFonts w:cs="Times New Roman"/>
          <w:szCs w:val="28"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"/>
        <w:gridCol w:w="7760"/>
        <w:gridCol w:w="893"/>
      </w:tblGrid>
      <w:tr w:rsidR="002217BB" w:rsidRPr="0077393E" w14:paraId="320DE1D3" w14:textId="77777777" w:rsidTr="00D37AC3">
        <w:tc>
          <w:tcPr>
            <w:tcW w:w="704" w:type="dxa"/>
          </w:tcPr>
          <w:p w14:paraId="6B0B1273" w14:textId="77777777" w:rsidR="002217BB" w:rsidRPr="0077393E" w:rsidRDefault="002217BB" w:rsidP="00D37AC3">
            <w:pPr>
              <w:pStyle w:val="a3"/>
              <w:ind w:firstLine="0"/>
            </w:pPr>
          </w:p>
        </w:tc>
        <w:tc>
          <w:tcPr>
            <w:tcW w:w="7796" w:type="dxa"/>
            <w:vAlign w:val="center"/>
          </w:tcPr>
          <w:p w14:paraId="22CFA949" w14:textId="77777777" w:rsidR="002217BB" w:rsidRPr="0077393E" w:rsidRDefault="002217BB" w:rsidP="00D37AC3">
            <w:pPr>
              <w:pStyle w:val="a3"/>
              <w:ind w:firstLine="0"/>
              <w:jc w:val="center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Р=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5785,36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7514,64</m:t>
                    </m:r>
                  </m:den>
                </m:f>
                <m:r>
                  <w:rPr>
                    <w:rFonts w:ascii="Cambria Math" w:hAnsi="Cambria Math"/>
                  </w:rPr>
                  <m:t>∙100%=77%.</m:t>
                </m:r>
              </m:oMath>
            </m:oMathPara>
          </w:p>
        </w:tc>
        <w:tc>
          <w:tcPr>
            <w:tcW w:w="844" w:type="dxa"/>
            <w:vAlign w:val="center"/>
          </w:tcPr>
          <w:p w14:paraId="139E1164" w14:textId="77777777" w:rsidR="002217BB" w:rsidRPr="0077393E" w:rsidRDefault="002217BB" w:rsidP="00D37AC3">
            <w:pPr>
              <w:pStyle w:val="a3"/>
              <w:ind w:firstLine="0"/>
              <w:jc w:val="center"/>
              <w:rPr>
                <w:lang w:val="en-US"/>
              </w:rPr>
            </w:pPr>
            <w:r w:rsidRPr="0077393E">
              <w:rPr>
                <w:lang w:val="en-US"/>
              </w:rPr>
              <w:t>(7.</w:t>
            </w:r>
            <w:r w:rsidRPr="0077393E">
              <w:t>13</w:t>
            </w:r>
            <w:r w:rsidRPr="0077393E">
              <w:rPr>
                <w:lang w:val="en-US"/>
              </w:rPr>
              <w:t>)</w:t>
            </w:r>
          </w:p>
        </w:tc>
      </w:tr>
    </w:tbl>
    <w:p w14:paraId="599D33D7" w14:textId="77777777" w:rsidR="002217BB" w:rsidRPr="0077393E" w:rsidRDefault="002217BB" w:rsidP="002217BB">
      <w:pPr>
        <w:pStyle w:val="a3"/>
      </w:pPr>
    </w:p>
    <w:p w14:paraId="7EDAB749" w14:textId="77777777" w:rsidR="002217BB" w:rsidRPr="0077393E" w:rsidRDefault="002217BB" w:rsidP="002217BB">
      <w:pPr>
        <w:pStyle w:val="a3"/>
      </w:pPr>
      <w:r w:rsidRPr="0077393E">
        <w:t>Проект будет экономически эффективным, если рентабельность затрат на разработку программного обеспечения будет не меньше средней процентной ставки по банковским депозитным вкладам. Средняя процентная ставка по банковским вкладам</w:t>
      </w:r>
      <w:r w:rsidRPr="00F811D1">
        <w:t xml:space="preserve"> </w:t>
      </w:r>
      <w:r w:rsidRPr="0077393E">
        <w:t>для юридических лиц за март 2019 года составила 8,73%. Исходя из этих данных можно сделать вывод, что проект рентабелен, так как рентабельность затрат на разработку приложения составила 77%.</w:t>
      </w:r>
    </w:p>
    <w:p w14:paraId="27B67936" w14:textId="77777777" w:rsidR="002217BB" w:rsidRPr="0077393E" w:rsidRDefault="002217BB" w:rsidP="002217BB">
      <w:pPr>
        <w:pStyle w:val="a3"/>
      </w:pPr>
    </w:p>
    <w:p w14:paraId="1E54D2AD" w14:textId="77777777" w:rsidR="002217BB" w:rsidRDefault="002217BB" w:rsidP="002217BB">
      <w:pPr>
        <w:pStyle w:val="21"/>
      </w:pPr>
      <w:r w:rsidRPr="0077393E">
        <w:t xml:space="preserve">7.4 </w:t>
      </w:r>
      <w:r w:rsidRPr="00234727">
        <w:t>Расчёт показателей эффективности инвестиций в разработку приложения</w:t>
      </w:r>
    </w:p>
    <w:p w14:paraId="37230A52" w14:textId="77777777" w:rsidR="002217BB" w:rsidRPr="00234727" w:rsidRDefault="002217BB" w:rsidP="002217BB">
      <w:pPr>
        <w:pStyle w:val="21"/>
      </w:pPr>
    </w:p>
    <w:p w14:paraId="564FAC9A" w14:textId="77777777" w:rsidR="002217BB" w:rsidRPr="0077393E" w:rsidRDefault="002217BB" w:rsidP="002217BB">
      <w:pPr>
        <w:pStyle w:val="a3"/>
      </w:pPr>
      <w:r w:rsidRPr="0077393E">
        <w:t>Экономическая целесообразность инвестирования в разработку данного веб-ориентированного приложения можно отобразить через рентабельность инвестици</w:t>
      </w:r>
      <w:r>
        <w:t>й</w:t>
      </w:r>
      <w:r w:rsidRPr="0077393E">
        <w:t xml:space="preserve">, которая вычисляется по формуле (7.14). </w:t>
      </w:r>
    </w:p>
    <w:p w14:paraId="499D6E5B" w14:textId="77777777" w:rsidR="002217BB" w:rsidRPr="0077393E" w:rsidRDefault="002217BB" w:rsidP="002217BB">
      <w:pPr>
        <w:pStyle w:val="a3"/>
      </w:pPr>
      <w:r w:rsidRPr="0077393E">
        <w:t xml:space="preserve">Чтобы рассчитать эффективность инвестиций в разработку </w:t>
      </w:r>
      <w:r>
        <w:t>приложения</w:t>
      </w:r>
      <w:r w:rsidRPr="0077393E">
        <w:t xml:space="preserve">, необходимо сравнить размер инвестиций в разработку программного продукта, и получаемый годовой экономический эффект. </w:t>
      </w:r>
    </w:p>
    <w:p w14:paraId="379F6DCE" w14:textId="77777777" w:rsidR="002217BB" w:rsidRPr="0077393E" w:rsidRDefault="002217BB" w:rsidP="002217BB">
      <w:pPr>
        <w:pStyle w:val="a3"/>
        <w:rPr>
          <w:spacing w:val="-12"/>
        </w:rPr>
      </w:pPr>
      <w:r w:rsidRPr="0077393E">
        <w:rPr>
          <w:spacing w:val="-12"/>
        </w:rPr>
        <w:t>Для расчёта рентабельности инвестиций воспользуемся следующей формулой:</w:t>
      </w:r>
    </w:p>
    <w:p w14:paraId="7A443C04" w14:textId="77777777" w:rsidR="002217BB" w:rsidRPr="0077393E" w:rsidRDefault="002217BB" w:rsidP="002217BB">
      <w:pPr>
        <w:pStyle w:val="a3"/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"/>
        <w:gridCol w:w="7760"/>
        <w:gridCol w:w="893"/>
      </w:tblGrid>
      <w:tr w:rsidR="002217BB" w:rsidRPr="0077393E" w14:paraId="25CAE030" w14:textId="77777777" w:rsidTr="00D37AC3">
        <w:tc>
          <w:tcPr>
            <w:tcW w:w="704" w:type="dxa"/>
          </w:tcPr>
          <w:p w14:paraId="26BF70E6" w14:textId="77777777" w:rsidR="002217BB" w:rsidRPr="0077393E" w:rsidRDefault="002217BB" w:rsidP="00D37AC3">
            <w:pPr>
              <w:pStyle w:val="a3"/>
              <w:ind w:firstLine="0"/>
            </w:pPr>
          </w:p>
        </w:tc>
        <w:tc>
          <w:tcPr>
            <w:tcW w:w="7796" w:type="dxa"/>
            <w:vAlign w:val="center"/>
          </w:tcPr>
          <w:p w14:paraId="195ADC62" w14:textId="77777777" w:rsidR="002217BB" w:rsidRPr="0077393E" w:rsidRDefault="002217BB" w:rsidP="00D37AC3">
            <w:pPr>
              <w:pStyle w:val="a3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и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П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ч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р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∙100%.</m:t>
                </m:r>
              </m:oMath>
            </m:oMathPara>
          </w:p>
        </w:tc>
        <w:tc>
          <w:tcPr>
            <w:tcW w:w="844" w:type="dxa"/>
            <w:vAlign w:val="center"/>
          </w:tcPr>
          <w:p w14:paraId="4DC55140" w14:textId="77777777" w:rsidR="002217BB" w:rsidRPr="0077393E" w:rsidRDefault="002217BB" w:rsidP="00D37AC3">
            <w:pPr>
              <w:pStyle w:val="a3"/>
              <w:ind w:firstLine="0"/>
            </w:pPr>
            <w:r w:rsidRPr="0077393E">
              <w:t>(7.14)</w:t>
            </w:r>
          </w:p>
        </w:tc>
      </w:tr>
    </w:tbl>
    <w:p w14:paraId="73076667" w14:textId="77777777" w:rsidR="002217BB" w:rsidRPr="0077393E" w:rsidRDefault="002217BB" w:rsidP="002217BB">
      <w:pPr>
        <w:pStyle w:val="a3"/>
      </w:pPr>
    </w:p>
    <w:p w14:paraId="7DF07CDE" w14:textId="77777777" w:rsidR="002217BB" w:rsidRPr="0077393E" w:rsidRDefault="002217BB" w:rsidP="002217BB">
      <w:pPr>
        <w:pStyle w:val="a3"/>
      </w:pPr>
      <w:r w:rsidRPr="0077393E">
        <w:t>Таким образом рентабельность инвестиций составит:</w:t>
      </w:r>
    </w:p>
    <w:p w14:paraId="0DF34FCE" w14:textId="77777777" w:rsidR="002217BB" w:rsidRPr="0077393E" w:rsidRDefault="002217BB" w:rsidP="002217BB">
      <w:pPr>
        <w:pStyle w:val="a3"/>
        <w:rPr>
          <w:szCs w:val="28"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7752"/>
        <w:gridCol w:w="893"/>
      </w:tblGrid>
      <w:tr w:rsidR="002217BB" w:rsidRPr="0077393E" w14:paraId="08418FCA" w14:textId="77777777" w:rsidTr="00D37AC3">
        <w:tc>
          <w:tcPr>
            <w:tcW w:w="709" w:type="dxa"/>
          </w:tcPr>
          <w:p w14:paraId="4A494EC1" w14:textId="77777777" w:rsidR="002217BB" w:rsidRPr="0077393E" w:rsidRDefault="002217BB" w:rsidP="00D37AC3">
            <w:pPr>
              <w:pStyle w:val="a3"/>
              <w:ind w:firstLine="0"/>
            </w:pPr>
          </w:p>
        </w:tc>
        <w:tc>
          <w:tcPr>
            <w:tcW w:w="7752" w:type="dxa"/>
            <w:vAlign w:val="center"/>
          </w:tcPr>
          <w:p w14:paraId="795F0F70" w14:textId="77777777" w:rsidR="002217BB" w:rsidRPr="0077393E" w:rsidRDefault="002217BB" w:rsidP="00D37AC3">
            <w:pPr>
              <w:pStyle w:val="a3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и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5785,36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7514,64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∙100%=77%.</m:t>
                </m:r>
              </m:oMath>
            </m:oMathPara>
          </w:p>
        </w:tc>
        <w:tc>
          <w:tcPr>
            <w:tcW w:w="893" w:type="dxa"/>
            <w:vAlign w:val="center"/>
          </w:tcPr>
          <w:p w14:paraId="4EE026E9" w14:textId="77777777" w:rsidR="002217BB" w:rsidRPr="0077393E" w:rsidRDefault="002217BB" w:rsidP="00D37AC3">
            <w:pPr>
              <w:pStyle w:val="a3"/>
              <w:ind w:firstLine="0"/>
            </w:pPr>
            <w:r w:rsidRPr="0077393E">
              <w:t>(7.15)</w:t>
            </w:r>
          </w:p>
        </w:tc>
      </w:tr>
    </w:tbl>
    <w:p w14:paraId="5635F560" w14:textId="77777777" w:rsidR="002217BB" w:rsidRPr="0077393E" w:rsidRDefault="002217BB" w:rsidP="002217BB">
      <w:pPr>
        <w:pStyle w:val="a3"/>
      </w:pPr>
    </w:p>
    <w:p w14:paraId="6F13382B" w14:textId="77777777" w:rsidR="002217BB" w:rsidRPr="0077393E" w:rsidRDefault="002217BB" w:rsidP="002217BB">
      <w:pPr>
        <w:pStyle w:val="a3"/>
        <w:rPr>
          <w:szCs w:val="28"/>
        </w:rPr>
      </w:pPr>
      <w:r w:rsidRPr="0077393E">
        <w:rPr>
          <w:szCs w:val="28"/>
        </w:rPr>
        <w:t>Так как рентабельность предприятия превышает средний процент по долгосрочным вкладам в банках (8,73%) можно сделать вывод, что инвестиции будут прибыльнее, чем банковский вклад.</w:t>
      </w:r>
    </w:p>
    <w:p w14:paraId="4F5EB0B9" w14:textId="77777777" w:rsidR="002217BB" w:rsidRPr="0077393E" w:rsidRDefault="002217BB" w:rsidP="002217BB">
      <w:pPr>
        <w:pStyle w:val="a3"/>
      </w:pPr>
    </w:p>
    <w:p w14:paraId="7EAE80A5" w14:textId="77777777" w:rsidR="002217BB" w:rsidRPr="0077393E" w:rsidRDefault="002217BB" w:rsidP="002217BB">
      <w:pPr>
        <w:pStyle w:val="21"/>
      </w:pPr>
      <w:r w:rsidRPr="0077393E">
        <w:t>7.5 Вывод</w:t>
      </w:r>
    </w:p>
    <w:p w14:paraId="078A392C" w14:textId="77777777" w:rsidR="002217BB" w:rsidRPr="0077393E" w:rsidRDefault="002217BB" w:rsidP="002217BB">
      <w:pPr>
        <w:pStyle w:val="a3"/>
      </w:pPr>
    </w:p>
    <w:p w14:paraId="572CE01E" w14:textId="6D2AF169" w:rsidR="0025049A" w:rsidRPr="002217BB" w:rsidRDefault="002217BB" w:rsidP="002217BB">
      <w:pPr>
        <w:pStyle w:val="a3"/>
      </w:pPr>
      <w:r w:rsidRPr="0077393E">
        <w:t xml:space="preserve">Таким образом, полученные результаты технико-экономического обоснования «Веб-приложение создания и проведения опросов с использованием технологий React, Redux, WebApi 2» свидетельствуют об эффективности разработки и внедрения в эксплуатацию данного веб-ориентированного приложения. Окупаемость произойдёт в течение одного года. Общая сумма затрат составила </w:t>
      </w:r>
      <w:r w:rsidRPr="00234727">
        <w:rPr>
          <w:szCs w:val="28"/>
        </w:rPr>
        <w:t>7514,64</w:t>
      </w:r>
      <w:r w:rsidRPr="0077393E">
        <w:t xml:space="preserve"> руб., рентабельность инвестиций 77%.</w:t>
      </w:r>
      <w:bookmarkStart w:id="1" w:name="_GoBack"/>
      <w:bookmarkEnd w:id="1"/>
    </w:p>
    <w:sectPr w:rsidR="0025049A" w:rsidRPr="002217BB" w:rsidSect="002217BB">
      <w:footerReference w:type="default" r:id="rId8"/>
      <w:pgSz w:w="11906" w:h="16838"/>
      <w:pgMar w:top="1134" w:right="851" w:bottom="1531" w:left="1701" w:header="709" w:footer="964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41B4C" w14:textId="77777777" w:rsidR="00A203A0" w:rsidRDefault="00A203A0" w:rsidP="000509F5">
      <w:r>
        <w:separator/>
      </w:r>
    </w:p>
  </w:endnote>
  <w:endnote w:type="continuationSeparator" w:id="0">
    <w:p w14:paraId="3A9FDA86" w14:textId="77777777" w:rsidR="00A203A0" w:rsidRDefault="00A203A0" w:rsidP="00050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4364008"/>
      <w:docPartObj>
        <w:docPartGallery w:val="Page Numbers (Bottom of Page)"/>
        <w:docPartUnique/>
      </w:docPartObj>
    </w:sdtPr>
    <w:sdtEndPr/>
    <w:sdtContent>
      <w:p w14:paraId="176D7C3C" w14:textId="6BD74906" w:rsidR="000509F5" w:rsidRDefault="000509F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1E9FDB" w14:textId="77777777" w:rsidR="000509F5" w:rsidRDefault="000509F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60584" w14:textId="77777777" w:rsidR="00A203A0" w:rsidRDefault="00A203A0" w:rsidP="000509F5">
      <w:r>
        <w:separator/>
      </w:r>
    </w:p>
  </w:footnote>
  <w:footnote w:type="continuationSeparator" w:id="0">
    <w:p w14:paraId="2A50A136" w14:textId="77777777" w:rsidR="00A203A0" w:rsidRDefault="00A203A0" w:rsidP="000509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6BF4"/>
    <w:multiLevelType w:val="hybridMultilevel"/>
    <w:tmpl w:val="0E30BDD6"/>
    <w:lvl w:ilvl="0" w:tplc="AEBCD81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610AB"/>
    <w:multiLevelType w:val="hybridMultilevel"/>
    <w:tmpl w:val="2756564C"/>
    <w:lvl w:ilvl="0" w:tplc="2B28F0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A52BF"/>
    <w:multiLevelType w:val="hybridMultilevel"/>
    <w:tmpl w:val="79E00D1E"/>
    <w:lvl w:ilvl="0" w:tplc="FAEE3894">
      <w:start w:val="1"/>
      <w:numFmt w:val="bullet"/>
      <w:suff w:val="space"/>
      <w:lvlText w:val=""/>
      <w:lvlJc w:val="left"/>
      <w:pPr>
        <w:ind w:left="1429" w:hanging="35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38"/>
    <w:rsid w:val="000029C9"/>
    <w:rsid w:val="000509F5"/>
    <w:rsid w:val="00067BAB"/>
    <w:rsid w:val="00081717"/>
    <w:rsid w:val="000C17A1"/>
    <w:rsid w:val="000E4831"/>
    <w:rsid w:val="00116577"/>
    <w:rsid w:val="00147A1D"/>
    <w:rsid w:val="0018317A"/>
    <w:rsid w:val="00195F78"/>
    <w:rsid w:val="001A017C"/>
    <w:rsid w:val="001E0DF7"/>
    <w:rsid w:val="002217BB"/>
    <w:rsid w:val="00234727"/>
    <w:rsid w:val="0025049A"/>
    <w:rsid w:val="00267DA7"/>
    <w:rsid w:val="003721DD"/>
    <w:rsid w:val="00374202"/>
    <w:rsid w:val="00376FCF"/>
    <w:rsid w:val="00380F7E"/>
    <w:rsid w:val="003A2574"/>
    <w:rsid w:val="003B0D97"/>
    <w:rsid w:val="003B18B8"/>
    <w:rsid w:val="003F5F61"/>
    <w:rsid w:val="004511EA"/>
    <w:rsid w:val="00474F80"/>
    <w:rsid w:val="004D18C8"/>
    <w:rsid w:val="004D5AC5"/>
    <w:rsid w:val="0051138F"/>
    <w:rsid w:val="00545A80"/>
    <w:rsid w:val="00582138"/>
    <w:rsid w:val="0058415E"/>
    <w:rsid w:val="005A188F"/>
    <w:rsid w:val="005B1507"/>
    <w:rsid w:val="005C08D0"/>
    <w:rsid w:val="00670A45"/>
    <w:rsid w:val="0067680E"/>
    <w:rsid w:val="006C6A9A"/>
    <w:rsid w:val="006E2B90"/>
    <w:rsid w:val="00715340"/>
    <w:rsid w:val="0072128D"/>
    <w:rsid w:val="00762044"/>
    <w:rsid w:val="0077393E"/>
    <w:rsid w:val="007D3E6C"/>
    <w:rsid w:val="007F7102"/>
    <w:rsid w:val="0085160A"/>
    <w:rsid w:val="00855BCD"/>
    <w:rsid w:val="008A189B"/>
    <w:rsid w:val="008B0123"/>
    <w:rsid w:val="008E7EF0"/>
    <w:rsid w:val="009C3276"/>
    <w:rsid w:val="009C79D5"/>
    <w:rsid w:val="00A02B65"/>
    <w:rsid w:val="00A13E5B"/>
    <w:rsid w:val="00A203A0"/>
    <w:rsid w:val="00A85CB3"/>
    <w:rsid w:val="00AA3EBE"/>
    <w:rsid w:val="00B56AD2"/>
    <w:rsid w:val="00B81293"/>
    <w:rsid w:val="00C16904"/>
    <w:rsid w:val="00C32E73"/>
    <w:rsid w:val="00C84BDE"/>
    <w:rsid w:val="00CB0D37"/>
    <w:rsid w:val="00CF4C3E"/>
    <w:rsid w:val="00D1604E"/>
    <w:rsid w:val="00D54713"/>
    <w:rsid w:val="00D54B3F"/>
    <w:rsid w:val="00D708CB"/>
    <w:rsid w:val="00DD298D"/>
    <w:rsid w:val="00E76D83"/>
    <w:rsid w:val="00E82F05"/>
    <w:rsid w:val="00EF1991"/>
    <w:rsid w:val="00F6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28E513"/>
  <w15:chartTrackingRefBased/>
  <w15:docId w15:val="{DB344ECC-151D-482D-A478-309B9DA3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32E73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aliases w:val=" Знак Знак"/>
    <w:basedOn w:val="a"/>
    <w:next w:val="a"/>
    <w:link w:val="10"/>
    <w:rsid w:val="000E4831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F66C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ур"/>
    <w:basedOn w:val="a3"/>
    <w:link w:val="12"/>
    <w:qFormat/>
    <w:rsid w:val="00376FCF"/>
    <w:pPr>
      <w:suppressAutoHyphens/>
      <w:ind w:left="936" w:hanging="227"/>
      <w:jc w:val="left"/>
    </w:pPr>
    <w:rPr>
      <w:b/>
      <w:caps/>
      <w:sz w:val="32"/>
    </w:rPr>
  </w:style>
  <w:style w:type="paragraph" w:customStyle="1" w:styleId="21">
    <w:name w:val="Заголовок 2ур"/>
    <w:basedOn w:val="11"/>
    <w:link w:val="22"/>
    <w:qFormat/>
    <w:rsid w:val="003A2574"/>
    <w:pPr>
      <w:ind w:left="1134" w:hanging="425"/>
    </w:pPr>
    <w:rPr>
      <w:caps w:val="0"/>
      <w:sz w:val="28"/>
    </w:rPr>
  </w:style>
  <w:style w:type="character" w:customStyle="1" w:styleId="12">
    <w:name w:val="Заголовок 1ур Знак"/>
    <w:basedOn w:val="a0"/>
    <w:link w:val="11"/>
    <w:rsid w:val="00376FCF"/>
    <w:rPr>
      <w:rFonts w:ascii="Times New Roman" w:eastAsia="Times New Roman" w:hAnsi="Times New Roman" w:cs="Times New Roman"/>
      <w:b/>
      <w:caps/>
      <w:sz w:val="32"/>
      <w:szCs w:val="20"/>
      <w:lang w:eastAsia="ru-RU"/>
    </w:rPr>
  </w:style>
  <w:style w:type="paragraph" w:customStyle="1" w:styleId="a4">
    <w:name w:val="Пункт"/>
    <w:basedOn w:val="a3"/>
    <w:link w:val="a5"/>
    <w:qFormat/>
    <w:rsid w:val="003F5F61"/>
    <w:pPr>
      <w:spacing w:before="120"/>
    </w:pPr>
  </w:style>
  <w:style w:type="character" w:customStyle="1" w:styleId="22">
    <w:name w:val="Заголовок 2ур Знак"/>
    <w:basedOn w:val="12"/>
    <w:link w:val="21"/>
    <w:rsid w:val="003A2574"/>
    <w:rPr>
      <w:rFonts w:ascii="Times New Roman" w:eastAsia="Times New Roman" w:hAnsi="Times New Roman" w:cs="Times New Roman"/>
      <w:b/>
      <w:caps w:val="0"/>
      <w:sz w:val="28"/>
      <w:szCs w:val="20"/>
      <w:lang w:eastAsia="ru-RU"/>
    </w:rPr>
  </w:style>
  <w:style w:type="paragraph" w:customStyle="1" w:styleId="a3">
    <w:name w:val="Осн.Текст"/>
    <w:basedOn w:val="a"/>
    <w:link w:val="a6"/>
    <w:qFormat/>
    <w:rsid w:val="003A2574"/>
    <w:pPr>
      <w:ind w:firstLine="709"/>
    </w:pPr>
  </w:style>
  <w:style w:type="character" w:customStyle="1" w:styleId="a5">
    <w:name w:val="Пункт Знак"/>
    <w:basedOn w:val="22"/>
    <w:link w:val="a4"/>
    <w:rsid w:val="003F5F61"/>
    <w:rPr>
      <w:rFonts w:ascii="Times New Roman" w:eastAsia="Times New Roman" w:hAnsi="Times New Roman" w:cs="Times New Roman"/>
      <w:b w:val="0"/>
      <w:caps w:val="0"/>
      <w:sz w:val="28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0509F5"/>
    <w:pPr>
      <w:tabs>
        <w:tab w:val="center" w:pos="4677"/>
        <w:tab w:val="right" w:pos="9355"/>
      </w:tabs>
    </w:pPr>
  </w:style>
  <w:style w:type="character" w:customStyle="1" w:styleId="a6">
    <w:name w:val="Осн.Текст Знак"/>
    <w:basedOn w:val="a5"/>
    <w:link w:val="a3"/>
    <w:rsid w:val="003A2574"/>
    <w:rPr>
      <w:rFonts w:ascii="Times New Roman" w:eastAsia="Times New Roman" w:hAnsi="Times New Roman" w:cs="Times New Roman"/>
      <w:b w:val="0"/>
      <w:caps w:val="0"/>
      <w:sz w:val="28"/>
      <w:szCs w:val="20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0509F5"/>
  </w:style>
  <w:style w:type="paragraph" w:styleId="a9">
    <w:name w:val="footer"/>
    <w:basedOn w:val="a"/>
    <w:link w:val="aa"/>
    <w:uiPriority w:val="99"/>
    <w:unhideWhenUsed/>
    <w:rsid w:val="000509F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509F5"/>
  </w:style>
  <w:style w:type="character" w:customStyle="1" w:styleId="10">
    <w:name w:val="Заголовок 1 Знак"/>
    <w:aliases w:val=" Знак Знак Знак"/>
    <w:basedOn w:val="a0"/>
    <w:link w:val="1"/>
    <w:rsid w:val="000E4831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b">
    <w:name w:val="Body Text"/>
    <w:basedOn w:val="a"/>
    <w:link w:val="ac"/>
    <w:rsid w:val="000E4831"/>
    <w:pPr>
      <w:spacing w:line="260" w:lineRule="exact"/>
    </w:pPr>
    <w:rPr>
      <w:sz w:val="22"/>
    </w:rPr>
  </w:style>
  <w:style w:type="character" w:customStyle="1" w:styleId="ac">
    <w:name w:val="Основной текст Знак"/>
    <w:basedOn w:val="a0"/>
    <w:link w:val="ab"/>
    <w:rsid w:val="000E4831"/>
    <w:rPr>
      <w:rFonts w:ascii="Times New Roman" w:eastAsia="Times New Roman" w:hAnsi="Times New Roman" w:cs="Times New Roman"/>
      <w:szCs w:val="20"/>
      <w:lang w:eastAsia="ru-RU"/>
    </w:rPr>
  </w:style>
  <w:style w:type="paragraph" w:styleId="ad">
    <w:name w:val="Title"/>
    <w:basedOn w:val="a"/>
    <w:link w:val="ae"/>
    <w:rsid w:val="000E4831"/>
    <w:pPr>
      <w:jc w:val="center"/>
    </w:pPr>
  </w:style>
  <w:style w:type="character" w:customStyle="1" w:styleId="ae">
    <w:name w:val="Заголовок Знак"/>
    <w:basedOn w:val="a0"/>
    <w:link w:val="ad"/>
    <w:rsid w:val="000E483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">
    <w:name w:val="Subtitle"/>
    <w:basedOn w:val="a"/>
    <w:link w:val="af0"/>
    <w:rsid w:val="000E4831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character" w:customStyle="1" w:styleId="af0">
    <w:name w:val="Подзаголовок Знак"/>
    <w:basedOn w:val="a0"/>
    <w:link w:val="af"/>
    <w:rsid w:val="000E4831"/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66C9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f1">
    <w:name w:val="Hyperlink"/>
    <w:basedOn w:val="a0"/>
    <w:uiPriority w:val="99"/>
    <w:unhideWhenUsed/>
    <w:rsid w:val="00A85CB3"/>
    <w:rPr>
      <w:color w:val="0563C1" w:themeColor="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6E2B90"/>
    <w:pPr>
      <w:tabs>
        <w:tab w:val="right" w:leader="dot" w:pos="9344"/>
      </w:tabs>
      <w:suppressAutoHyphens/>
      <w:spacing w:after="100"/>
      <w:ind w:left="794" w:hanging="227"/>
      <w:jc w:val="left"/>
    </w:pPr>
    <w:rPr>
      <w:noProof/>
    </w:rPr>
  </w:style>
  <w:style w:type="paragraph" w:customStyle="1" w:styleId="af2">
    <w:name w:val="Курсач.Основной"/>
    <w:basedOn w:val="a"/>
    <w:link w:val="af3"/>
    <w:rsid w:val="00D708CB"/>
    <w:pPr>
      <w:widowControl/>
      <w:overflowPunct/>
      <w:autoSpaceDE/>
      <w:autoSpaceDN/>
      <w:adjustRightInd/>
      <w:spacing w:line="276" w:lineRule="auto"/>
      <w:ind w:firstLine="0"/>
      <w:textAlignment w:val="auto"/>
    </w:pPr>
    <w:rPr>
      <w:rFonts w:eastAsiaTheme="minorHAnsi" w:cstheme="minorBidi"/>
      <w:szCs w:val="22"/>
      <w:lang w:eastAsia="en-US"/>
    </w:rPr>
  </w:style>
  <w:style w:type="character" w:customStyle="1" w:styleId="af3">
    <w:name w:val="Курсач.Основной Знак"/>
    <w:basedOn w:val="a0"/>
    <w:link w:val="af2"/>
    <w:rsid w:val="00D708CB"/>
    <w:rPr>
      <w:rFonts w:ascii="Times New Roman" w:eastAsiaTheme="minorHAnsi" w:hAnsi="Times New Roman"/>
      <w:sz w:val="28"/>
      <w:lang w:eastAsia="en-US"/>
    </w:rPr>
  </w:style>
  <w:style w:type="table" w:styleId="af4">
    <w:name w:val="Table Grid"/>
    <w:basedOn w:val="a1"/>
    <w:uiPriority w:val="59"/>
    <w:rsid w:val="006C6A9A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Placeholder Text"/>
    <w:basedOn w:val="a0"/>
    <w:uiPriority w:val="99"/>
    <w:semiHidden/>
    <w:rsid w:val="00195F78"/>
    <w:rPr>
      <w:color w:val="808080"/>
    </w:rPr>
  </w:style>
  <w:style w:type="paragraph" w:customStyle="1" w:styleId="Default">
    <w:name w:val="Default"/>
    <w:rsid w:val="00195F7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paragraph" w:customStyle="1" w:styleId="af6">
    <w:name w:val="Перечисление"/>
    <w:basedOn w:val="a3"/>
    <w:link w:val="af7"/>
    <w:qFormat/>
    <w:rsid w:val="002217BB"/>
    <w:pPr>
      <w:ind w:left="851" w:hanging="153"/>
    </w:pPr>
  </w:style>
  <w:style w:type="character" w:customStyle="1" w:styleId="af7">
    <w:name w:val="Перечисление Знак"/>
    <w:basedOn w:val="a6"/>
    <w:link w:val="af6"/>
    <w:rsid w:val="002217BB"/>
    <w:rPr>
      <w:rFonts w:ascii="Times New Roman" w:eastAsia="Times New Roman" w:hAnsi="Times New Roman" w:cs="Times New Roman"/>
      <w:b w:val="0"/>
      <w:caps w:val="0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C2FA7-94D7-472C-A69D-B27426ED1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4532</TotalTime>
  <Pages>5</Pages>
  <Words>1203</Words>
  <Characters>6859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Maxine Caulfield</dc:creator>
  <cp:keywords/>
  <dc:description/>
  <cp:lastModifiedBy>Maxine Caulfield</cp:lastModifiedBy>
  <cp:revision>24</cp:revision>
  <cp:lastPrinted>2019-04-10T18:07:00Z</cp:lastPrinted>
  <dcterms:created xsi:type="dcterms:W3CDTF">2019-03-20T11:24:00Z</dcterms:created>
  <dcterms:modified xsi:type="dcterms:W3CDTF">2019-04-10T18:26:00Z</dcterms:modified>
</cp:coreProperties>
</file>