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3A1A" w:rsidRPr="003331AC" w:rsidRDefault="00AF2CC3" w:rsidP="003331AC">
      <w:pPr>
        <w:pStyle w:val="ListParagraph"/>
        <w:numPr>
          <w:ilvl w:val="0"/>
          <w:numId w:val="2"/>
        </w:numPr>
      </w:pPr>
      <w:r w:rsidRPr="003331AC">
        <w:rPr>
          <w:rFonts w:ascii="Arial" w:hAnsi="Arial" w:cs="Arial"/>
          <w:color w:val="4B4F58"/>
          <w:sz w:val="27"/>
          <w:szCs w:val="27"/>
          <w:shd w:val="clear" w:color="auto" w:fill="FFFFFF"/>
        </w:rPr>
        <w:t>When a peripheral and central device enter into a connection, there is a set of connection parameters that are exchanged</w:t>
      </w:r>
      <w:r w:rsidR="003331AC">
        <w:rPr>
          <w:rFonts w:ascii="Arial" w:hAnsi="Arial" w:cs="Arial"/>
          <w:color w:val="4B4F58"/>
          <w:sz w:val="27"/>
          <w:szCs w:val="27"/>
          <w:shd w:val="clear" w:color="auto" w:fill="FFFFFF"/>
        </w:rPr>
        <w:t xml:space="preserve"> like below.</w:t>
      </w:r>
    </w:p>
    <w:p w:rsidR="003331AC" w:rsidRPr="003331AC" w:rsidRDefault="003331AC" w:rsidP="003331AC">
      <w:pPr>
        <w:pStyle w:val="ListParagraph"/>
        <w:numPr>
          <w:ilvl w:val="0"/>
          <w:numId w:val="3"/>
        </w:numPr>
      </w:pPr>
      <w:r>
        <w:rPr>
          <w:rFonts w:ascii="Arial" w:hAnsi="Arial" w:cs="Arial"/>
          <w:color w:val="4B4F58"/>
          <w:sz w:val="27"/>
          <w:szCs w:val="27"/>
          <w:shd w:val="clear" w:color="auto" w:fill="FFFFFF"/>
        </w:rPr>
        <w:t>The connection interval.</w:t>
      </w:r>
    </w:p>
    <w:p w:rsidR="003331AC" w:rsidRPr="00E90222" w:rsidRDefault="003331AC" w:rsidP="003331AC">
      <w:pPr>
        <w:pStyle w:val="ListParagraph"/>
        <w:numPr>
          <w:ilvl w:val="0"/>
          <w:numId w:val="3"/>
        </w:numPr>
      </w:pPr>
      <w:r>
        <w:rPr>
          <w:rFonts w:ascii="Arial" w:hAnsi="Arial" w:cs="Arial"/>
          <w:color w:val="4B4F58"/>
          <w:sz w:val="27"/>
          <w:szCs w:val="27"/>
          <w:shd w:val="clear" w:color="auto" w:fill="FFFFFF"/>
        </w:rPr>
        <w:t>Connection supervision timeout</w:t>
      </w:r>
      <w:r w:rsidR="00E90222">
        <w:rPr>
          <w:rFonts w:ascii="Arial" w:hAnsi="Arial" w:cs="Arial"/>
          <w:color w:val="4B4F58"/>
          <w:sz w:val="27"/>
          <w:szCs w:val="27"/>
          <w:shd w:val="clear" w:color="auto" w:fill="FFFFFF"/>
        </w:rPr>
        <w:t>.</w:t>
      </w:r>
    </w:p>
    <w:p w:rsidR="00E90222" w:rsidRPr="006D7399" w:rsidRDefault="00E90222" w:rsidP="003331AC">
      <w:pPr>
        <w:pStyle w:val="ListParagraph"/>
        <w:numPr>
          <w:ilvl w:val="0"/>
          <w:numId w:val="3"/>
        </w:numPr>
      </w:pPr>
      <w:r>
        <w:rPr>
          <w:rFonts w:ascii="Arial" w:hAnsi="Arial" w:cs="Arial"/>
          <w:color w:val="4B4F58"/>
          <w:sz w:val="27"/>
          <w:szCs w:val="27"/>
          <w:shd w:val="clear" w:color="auto" w:fill="FFFFFF"/>
        </w:rPr>
        <w:t>Peripheral latency</w:t>
      </w:r>
      <w:r w:rsidR="00206874">
        <w:rPr>
          <w:rFonts w:ascii="Arial" w:hAnsi="Arial" w:cs="Arial"/>
          <w:color w:val="4B4F58"/>
          <w:sz w:val="27"/>
          <w:szCs w:val="27"/>
          <w:shd w:val="clear" w:color="auto" w:fill="FFFFFF"/>
        </w:rPr>
        <w:t>.</w:t>
      </w:r>
    </w:p>
    <w:p w:rsidR="006D7399" w:rsidRPr="00FB2609" w:rsidRDefault="006D7399" w:rsidP="003331AC">
      <w:pPr>
        <w:pStyle w:val="ListParagraph"/>
        <w:numPr>
          <w:ilvl w:val="0"/>
          <w:numId w:val="3"/>
        </w:numPr>
      </w:pPr>
      <w:r>
        <w:rPr>
          <w:rFonts w:ascii="Arial" w:hAnsi="Arial" w:cs="Arial"/>
          <w:color w:val="4B4F58"/>
          <w:sz w:val="27"/>
          <w:szCs w:val="27"/>
          <w:shd w:val="clear" w:color="auto" w:fill="FFFFFF"/>
        </w:rPr>
        <w:t>The radio mode (1M, 2M or coded PHY)</w:t>
      </w:r>
      <w:r w:rsidR="005706A5">
        <w:rPr>
          <w:rFonts w:ascii="Arial" w:hAnsi="Arial" w:cs="Arial"/>
          <w:color w:val="4B4F58"/>
          <w:sz w:val="27"/>
          <w:szCs w:val="27"/>
          <w:shd w:val="clear" w:color="auto" w:fill="FFFFFF"/>
        </w:rPr>
        <w:t>.</w:t>
      </w:r>
    </w:p>
    <w:p w:rsidR="00FB2609" w:rsidRPr="00336989" w:rsidRDefault="00FB2609" w:rsidP="003331AC">
      <w:pPr>
        <w:pStyle w:val="ListParagraph"/>
        <w:numPr>
          <w:ilvl w:val="0"/>
          <w:numId w:val="3"/>
        </w:numPr>
      </w:pPr>
      <w:r>
        <w:rPr>
          <w:rFonts w:ascii="Arial" w:hAnsi="Arial" w:cs="Arial"/>
          <w:color w:val="4B4F58"/>
          <w:sz w:val="27"/>
          <w:szCs w:val="27"/>
          <w:shd w:val="clear" w:color="auto" w:fill="FFFFFF"/>
        </w:rPr>
        <w:t>The data length and MTU (Maximum Transfer Unit)</w:t>
      </w:r>
      <w:r w:rsidR="00336989">
        <w:rPr>
          <w:rFonts w:ascii="Arial" w:hAnsi="Arial" w:cs="Arial"/>
          <w:color w:val="4B4F58"/>
          <w:sz w:val="27"/>
          <w:szCs w:val="27"/>
          <w:shd w:val="clear" w:color="auto" w:fill="FFFFFF"/>
        </w:rPr>
        <w:t>.</w:t>
      </w:r>
    </w:p>
    <w:p w:rsidR="00467016" w:rsidRPr="00236581" w:rsidRDefault="00467016" w:rsidP="00236581">
      <w:pPr>
        <w:shd w:val="clear" w:color="auto" w:fill="FFFFFF"/>
        <w:spacing w:before="270" w:after="270" w:line="360" w:lineRule="atLeast"/>
        <w:textAlignment w:val="baseline"/>
        <w:outlineLvl w:val="2"/>
        <w:rPr>
          <w:rFonts w:ascii="Arial" w:eastAsia="Times New Roman" w:hAnsi="Arial" w:cs="Arial"/>
          <w:color w:val="333F48"/>
          <w:sz w:val="30"/>
          <w:szCs w:val="30"/>
          <w:lang w:eastAsia="en-IN"/>
        </w:rPr>
      </w:pPr>
      <w:r w:rsidRPr="00236581">
        <w:rPr>
          <w:rFonts w:ascii="Arial" w:eastAsia="Times New Roman" w:hAnsi="Arial" w:cs="Arial"/>
          <w:color w:val="333F48"/>
          <w:sz w:val="30"/>
          <w:szCs w:val="30"/>
          <w:lang w:eastAsia="en-IN"/>
        </w:rPr>
        <w:t>Connection interval</w:t>
      </w:r>
    </w:p>
    <w:p w:rsidR="00467016" w:rsidRPr="00467016" w:rsidRDefault="00467016" w:rsidP="007A2802">
      <w:pPr>
        <w:pStyle w:val="ListParagraph"/>
        <w:shd w:val="clear" w:color="auto" w:fill="FFFFFF"/>
        <w:spacing w:after="168" w:line="336" w:lineRule="atLeast"/>
        <w:textAlignment w:val="baseline"/>
        <w:rPr>
          <w:rFonts w:ascii="Arial" w:eastAsia="Times New Roman" w:hAnsi="Arial" w:cs="Arial"/>
          <w:color w:val="4B4F58"/>
          <w:sz w:val="27"/>
          <w:szCs w:val="27"/>
          <w:lang w:eastAsia="en-IN"/>
        </w:rPr>
      </w:pPr>
      <w:r w:rsidRPr="00467016">
        <w:rPr>
          <w:rFonts w:ascii="Arial" w:eastAsia="Times New Roman" w:hAnsi="Arial" w:cs="Arial"/>
          <w:color w:val="4B4F58"/>
          <w:sz w:val="27"/>
          <w:szCs w:val="27"/>
          <w:lang w:eastAsia="en-IN"/>
        </w:rPr>
        <w:t>A Bluetooth LE device spends most of its time “sleeping” (hence the “Low Energy” in the name). In a connection, this is accomplished by agreeing on a connection interval saying how often the devices will communicate with each other. When they are done communicating, they will turn off the radio, set a timer and go into idle mode, and when the timer times out, they will both wake up and communicate again. </w:t>
      </w:r>
    </w:p>
    <w:p w:rsidR="00DD38D9" w:rsidRDefault="00DD38D9" w:rsidP="00297523">
      <w:pPr>
        <w:pStyle w:val="Heading3"/>
        <w:rPr>
          <w:bCs/>
        </w:rPr>
      </w:pPr>
      <w:r>
        <w:t>Supervision timeout</w:t>
      </w:r>
    </w:p>
    <w:p w:rsidR="00DD38D9" w:rsidRDefault="00DD38D9" w:rsidP="00705F8B">
      <w:pPr>
        <w:pStyle w:val="NormalWeb"/>
        <w:shd w:val="clear" w:color="auto" w:fill="FFFFFF"/>
        <w:spacing w:before="0" w:beforeAutospacing="0" w:after="168" w:afterAutospacing="0" w:line="336" w:lineRule="atLeast"/>
        <w:ind w:left="720"/>
        <w:textAlignment w:val="baseline"/>
        <w:rPr>
          <w:rFonts w:ascii="Arial" w:hAnsi="Arial" w:cs="Arial"/>
          <w:color w:val="4B4F58"/>
          <w:sz w:val="27"/>
          <w:szCs w:val="27"/>
        </w:rPr>
      </w:pPr>
      <w:r>
        <w:rPr>
          <w:rFonts w:ascii="Arial" w:hAnsi="Arial" w:cs="Arial"/>
          <w:color w:val="4B4F58"/>
          <w:sz w:val="27"/>
          <w:szCs w:val="27"/>
        </w:rPr>
        <w:t>When two devices are connected, they agree on a parameter that determines how long it should take since the last packet was successfully received until the devices consider the connection lost. This is called the supervision timeout. So if one of the devices is unexpectedly switched off, runs out of battery, or if the devices are out of radio range, then this is the amount of time it takes between successfully receiving the last packet before the connection is considered lost.</w:t>
      </w:r>
    </w:p>
    <w:p w:rsidR="00705F8B" w:rsidRDefault="00705F8B" w:rsidP="00297523">
      <w:pPr>
        <w:pStyle w:val="Heading3"/>
        <w:rPr>
          <w:bCs/>
        </w:rPr>
      </w:pPr>
      <w:r>
        <w:t>Peripheral latency</w:t>
      </w:r>
    </w:p>
    <w:p w:rsidR="00705F8B" w:rsidRDefault="00705F8B" w:rsidP="00866562">
      <w:pPr>
        <w:pStyle w:val="NormalWeb"/>
        <w:shd w:val="clear" w:color="auto" w:fill="FFFFFF"/>
        <w:spacing w:before="0" w:beforeAutospacing="0" w:after="168" w:afterAutospacing="0" w:line="336" w:lineRule="atLeast"/>
        <w:ind w:left="720"/>
        <w:textAlignment w:val="baseline"/>
        <w:rPr>
          <w:rFonts w:ascii="Arial" w:hAnsi="Arial" w:cs="Arial"/>
          <w:color w:val="4B4F58"/>
          <w:sz w:val="27"/>
          <w:szCs w:val="27"/>
        </w:rPr>
      </w:pPr>
      <w:r>
        <w:rPr>
          <w:rFonts w:ascii="Arial" w:hAnsi="Arial" w:cs="Arial"/>
          <w:color w:val="4B4F58"/>
          <w:sz w:val="27"/>
          <w:szCs w:val="27"/>
        </w:rPr>
        <w:t xml:space="preserve">Peripheral latency allows the peripheral to skip waking up for a certain number of connection events if it doesn’t have any data to send. Usually, the connection interval is a strict </w:t>
      </w:r>
      <w:proofErr w:type="spellStart"/>
      <w:r>
        <w:rPr>
          <w:rFonts w:ascii="Arial" w:hAnsi="Arial" w:cs="Arial"/>
          <w:color w:val="4B4F58"/>
          <w:sz w:val="27"/>
          <w:szCs w:val="27"/>
        </w:rPr>
        <w:t>tradeoff</w:t>
      </w:r>
      <w:proofErr w:type="spellEnd"/>
      <w:r>
        <w:rPr>
          <w:rFonts w:ascii="Arial" w:hAnsi="Arial" w:cs="Arial"/>
          <w:color w:val="4B4F58"/>
          <w:sz w:val="27"/>
          <w:szCs w:val="27"/>
        </w:rPr>
        <w:t xml:space="preserve"> between power consumption and low latency or delay in communication. If you want to reduce the latency, but still keep a low power consumption, you can use peripheral latency. This is particularly useful in HID (Human Interface Devices) applications, such as computer mouse and keyboard applications, which usually don’t have any data to send, but when it has data to send, we want to have very low latency.</w:t>
      </w:r>
    </w:p>
    <w:p w:rsidR="001F650D" w:rsidRDefault="001F650D" w:rsidP="00866562">
      <w:pPr>
        <w:pStyle w:val="NormalWeb"/>
        <w:shd w:val="clear" w:color="auto" w:fill="FFFFFF"/>
        <w:spacing w:before="0" w:beforeAutospacing="0" w:after="168" w:afterAutospacing="0" w:line="336" w:lineRule="atLeast"/>
        <w:ind w:left="720"/>
        <w:textAlignment w:val="baseline"/>
        <w:rPr>
          <w:rFonts w:ascii="Arial" w:hAnsi="Arial" w:cs="Arial"/>
          <w:color w:val="4B4F58"/>
          <w:sz w:val="27"/>
          <w:szCs w:val="27"/>
        </w:rPr>
      </w:pPr>
    </w:p>
    <w:p w:rsidR="001F650D" w:rsidRPr="00900FC8" w:rsidRDefault="001F650D" w:rsidP="00297523">
      <w:pPr>
        <w:pStyle w:val="Heading3"/>
      </w:pPr>
      <w:r w:rsidRPr="00900FC8">
        <w:lastRenderedPageBreak/>
        <w:t>PHY radio mode</w:t>
      </w:r>
    </w:p>
    <w:p w:rsidR="001F650D" w:rsidRDefault="001F650D" w:rsidP="001F650D">
      <w:pPr>
        <w:pStyle w:val="NormalWeb"/>
        <w:shd w:val="clear" w:color="auto" w:fill="FFFFFF"/>
        <w:spacing w:before="0" w:beforeAutospacing="0" w:after="168" w:afterAutospacing="0" w:line="336" w:lineRule="atLeast"/>
        <w:ind w:left="720"/>
        <w:textAlignment w:val="baseline"/>
        <w:rPr>
          <w:rFonts w:ascii="Arial" w:hAnsi="Arial" w:cs="Arial"/>
          <w:color w:val="4B4F58"/>
          <w:sz w:val="27"/>
          <w:szCs w:val="27"/>
        </w:rPr>
      </w:pPr>
      <w:r>
        <w:rPr>
          <w:rFonts w:ascii="Arial" w:hAnsi="Arial" w:cs="Arial"/>
          <w:color w:val="4B4F58"/>
          <w:sz w:val="27"/>
          <w:szCs w:val="27"/>
        </w:rPr>
        <w:t>Normal Bluetooth LE (1M PHY) transmits at 1Mbps. However, in Bluetooth 5.0, both high-speed (2M PHY) and long-range (Coded PHY) radio modes were introduced, (as covered in </w:t>
      </w:r>
      <w:hyperlink r:id="rId5" w:tgtFrame="_blank" w:history="1">
        <w:r>
          <w:rPr>
            <w:rStyle w:val="Hyperlink"/>
            <w:rFonts w:ascii="Arial" w:hAnsi="Arial" w:cs="Arial"/>
            <w:color w:val="0170B9"/>
            <w:sz w:val="27"/>
            <w:szCs w:val="27"/>
          </w:rPr>
          <w:t>PHY: Radio modes</w:t>
        </w:r>
      </w:hyperlink>
      <w:r>
        <w:rPr>
          <w:rFonts w:ascii="Arial" w:hAnsi="Arial" w:cs="Arial"/>
          <w:color w:val="4B4F58"/>
          <w:sz w:val="27"/>
          <w:szCs w:val="27"/>
        </w:rPr>
        <w:t>). This gives us two more options.</w:t>
      </w:r>
    </w:p>
    <w:p w:rsidR="00CD1C5B" w:rsidRDefault="00CD1C5B" w:rsidP="001F650D">
      <w:pPr>
        <w:pStyle w:val="NormalWeb"/>
        <w:shd w:val="clear" w:color="auto" w:fill="FFFFFF"/>
        <w:spacing w:before="0" w:beforeAutospacing="0" w:after="168" w:afterAutospacing="0" w:line="336" w:lineRule="atLeast"/>
        <w:ind w:left="720"/>
        <w:textAlignment w:val="baseline"/>
        <w:rPr>
          <w:rFonts w:ascii="Arial" w:hAnsi="Arial" w:cs="Arial"/>
          <w:color w:val="4B4F58"/>
          <w:sz w:val="27"/>
          <w:szCs w:val="27"/>
        </w:rPr>
      </w:pPr>
    </w:p>
    <w:p w:rsidR="00CD1C5B" w:rsidRDefault="00CD1C5B" w:rsidP="00297523">
      <w:pPr>
        <w:pStyle w:val="Heading3"/>
        <w:rPr>
          <w:bCs/>
        </w:rPr>
      </w:pPr>
      <w:r>
        <w:t>Data length and MTU</w:t>
      </w:r>
    </w:p>
    <w:p w:rsidR="00CD1C5B" w:rsidRPr="00900FC8" w:rsidRDefault="00CD1C5B" w:rsidP="00B97DC3">
      <w:pPr>
        <w:pStyle w:val="Heading4"/>
        <w:rPr>
          <w:color w:val="0D0D0D" w:themeColor="text1" w:themeTint="F2"/>
        </w:rPr>
      </w:pPr>
      <w:r w:rsidRPr="00900FC8">
        <w:rPr>
          <w:color w:val="0D0D0D" w:themeColor="text1" w:themeTint="F2"/>
        </w:rPr>
        <w:t>The data length and MTU (Maximum Transfer Unit) are two different parameters, but they often go hand in hand.</w:t>
      </w:r>
    </w:p>
    <w:p w:rsidR="00CD1C5B" w:rsidRDefault="00CD1C5B" w:rsidP="00B97DC3">
      <w:pPr>
        <w:pStyle w:val="Heading4"/>
        <w:rPr>
          <w:color w:val="4B4F58"/>
          <w14:textFill>
            <w14:solidFill>
              <w14:srgbClr w14:val="4B4F58">
                <w14:lumMod w14:val="95000"/>
                <w14:lumOff w14:val="5000"/>
              </w14:srgbClr>
            </w14:solidFill>
          </w14:textFill>
        </w:rPr>
      </w:pPr>
      <w:r w:rsidRPr="00900FC8">
        <w:rPr>
          <w:color w:val="0D0D0D" w:themeColor="text1" w:themeTint="F2"/>
        </w:rPr>
        <w:t>The MTU is the number of bytes that can be sent in one GATT operation (for example, a send operation), while data length is the number of bytes that can be sent in one Bluetooth LE packet. MTU has a default value of 23 bytes, and data length has a default value of 27 bytes. When MTU is larger than data length, such as MTU being 140 bytes while data length</w:t>
      </w:r>
      <w:r>
        <w:rPr>
          <w:color w:val="4B4F58"/>
          <w14:textFill>
            <w14:solidFill>
              <w14:srgbClr w14:val="4B4F58">
                <w14:lumMod w14:val="95000"/>
                <w14:lumOff w14:val="5000"/>
              </w14:srgbClr>
            </w14:solidFill>
          </w14:textFill>
        </w:rPr>
        <w:t xml:space="preserve"> is 27 bytes, the data will be segmented into chunks of the data length’s size. This means that, for your application, it appears like one message is being sent, but on the air, the data is actually split into smaller segments</w:t>
      </w:r>
    </w:p>
    <w:p w:rsidR="00FB5505" w:rsidRDefault="00FB5505" w:rsidP="00E73612">
      <w:pPr>
        <w:pStyle w:val="NormalWeb"/>
        <w:shd w:val="clear" w:color="auto" w:fill="FFFFFF"/>
        <w:spacing w:before="0" w:beforeAutospacing="0" w:after="168" w:afterAutospacing="0" w:line="336" w:lineRule="atLeast"/>
        <w:ind w:left="720"/>
        <w:textAlignment w:val="baseline"/>
        <w:rPr>
          <w:rFonts w:ascii="Arial" w:hAnsi="Arial" w:cs="Arial"/>
          <w:color w:val="4B4F58"/>
          <w:sz w:val="27"/>
          <w:szCs w:val="27"/>
          <w:shd w:val="clear" w:color="auto" w:fill="FFFFFF"/>
        </w:rPr>
      </w:pPr>
      <w:r>
        <w:rPr>
          <w:rFonts w:ascii="Arial" w:hAnsi="Arial" w:cs="Arial"/>
          <w:color w:val="4B4F58"/>
          <w:sz w:val="27"/>
          <w:szCs w:val="27"/>
          <w:shd w:val="clear" w:color="auto" w:fill="FFFFFF"/>
        </w:rPr>
        <w:t>The relation between data length and MTU is not one-to-one. On air, the data length can be up to 251 bytes, while the actual payload that you can send is a maximum of 244 bytes. This is because the 251 byte Data PDU payload needs an L2CAP Header of 4 bytes, and an Attribute header of 3 bytes. This leaves you with 251 – 4 – 3 = 244 bytes that you can actually populate with payload data.</w:t>
      </w:r>
    </w:p>
    <w:p w:rsidR="007C7ED5" w:rsidRDefault="007C7ED5" w:rsidP="0094512E">
      <w:pPr>
        <w:pStyle w:val="NormalWeb"/>
        <w:shd w:val="clear" w:color="auto" w:fill="FFFFFF"/>
        <w:spacing w:before="0" w:beforeAutospacing="0" w:after="168" w:afterAutospacing="0" w:line="336" w:lineRule="atLeast"/>
        <w:ind w:left="720"/>
        <w:jc w:val="center"/>
        <w:textAlignment w:val="baseline"/>
        <w:rPr>
          <w:rFonts w:ascii="Arial" w:hAnsi="Arial" w:cs="Arial"/>
          <w:color w:val="4B4F58"/>
          <w:sz w:val="27"/>
          <w:szCs w:val="27"/>
        </w:rPr>
      </w:pPr>
      <w:r>
        <w:rPr>
          <w:noProof/>
        </w:rPr>
        <w:drawing>
          <wp:inline distT="0" distB="0" distL="0" distR="0" wp14:anchorId="1EB933A8" wp14:editId="536DDBC7">
            <wp:extent cx="3792772" cy="2126658"/>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07753" cy="2135058"/>
                    </a:xfrm>
                    <a:prstGeom prst="rect">
                      <a:avLst/>
                    </a:prstGeom>
                  </pic:spPr>
                </pic:pic>
              </a:graphicData>
            </a:graphic>
          </wp:inline>
        </w:drawing>
      </w:r>
    </w:p>
    <w:p w:rsidR="00CD1C5B" w:rsidRDefault="00CD1C5B" w:rsidP="001F650D">
      <w:pPr>
        <w:pStyle w:val="NormalWeb"/>
        <w:shd w:val="clear" w:color="auto" w:fill="FFFFFF"/>
        <w:spacing w:before="0" w:beforeAutospacing="0" w:after="168" w:afterAutospacing="0" w:line="336" w:lineRule="atLeast"/>
        <w:ind w:left="720"/>
        <w:textAlignment w:val="baseline"/>
        <w:rPr>
          <w:rFonts w:ascii="Arial" w:hAnsi="Arial" w:cs="Arial"/>
          <w:color w:val="4B4F58"/>
          <w:sz w:val="27"/>
          <w:szCs w:val="27"/>
        </w:rPr>
      </w:pPr>
    </w:p>
    <w:p w:rsidR="004A32F3" w:rsidRDefault="004A32F3" w:rsidP="004A32F3">
      <w:pPr>
        <w:pStyle w:val="Heading2"/>
        <w:shd w:val="clear" w:color="auto" w:fill="FFFFFF"/>
        <w:spacing w:before="390" w:after="390" w:line="435" w:lineRule="atLeast"/>
        <w:textAlignment w:val="baseline"/>
        <w:rPr>
          <w:rFonts w:ascii="Arial" w:hAnsi="Arial" w:cs="Arial"/>
          <w:color w:val="333F48"/>
          <w:sz w:val="38"/>
          <w:szCs w:val="38"/>
        </w:rPr>
      </w:pPr>
      <w:r>
        <w:rPr>
          <w:rFonts w:ascii="Arial" w:hAnsi="Arial" w:cs="Arial"/>
          <w:b/>
          <w:bCs/>
          <w:color w:val="333F48"/>
          <w:sz w:val="38"/>
          <w:szCs w:val="38"/>
        </w:rPr>
        <w:lastRenderedPageBreak/>
        <w:t>Updating the connection parameters</w:t>
      </w:r>
    </w:p>
    <w:p w:rsidR="004A32F3" w:rsidRPr="00297523" w:rsidRDefault="004A32F3" w:rsidP="00B97DC3">
      <w:pPr>
        <w:pStyle w:val="Heading4"/>
        <w:rPr>
          <w:color w:val="0D0D0D" w:themeColor="text1" w:themeTint="F2"/>
        </w:rPr>
      </w:pPr>
      <w:r w:rsidRPr="00297523">
        <w:rPr>
          <w:color w:val="0D0D0D" w:themeColor="text1" w:themeTint="F2"/>
        </w:rPr>
        <w:t>The connection interval, supervision timeout and peripheral latency are dictated by the central, but the peripheral can request changes. However, it is always the central that has the final say with these requests.</w:t>
      </w:r>
    </w:p>
    <w:p w:rsidR="001F650D" w:rsidRPr="00297523" w:rsidRDefault="00A343FC" w:rsidP="00B97DC3">
      <w:pPr>
        <w:pStyle w:val="Heading4"/>
        <w:rPr>
          <w:color w:val="0D0D0D" w:themeColor="text1" w:themeTint="F2"/>
        </w:rPr>
      </w:pPr>
      <w:r w:rsidRPr="00297523">
        <w:rPr>
          <w:color w:val="0D0D0D" w:themeColor="text1" w:themeTint="F2"/>
        </w:rPr>
        <w:t>The default value for the PHY radio mode is 1M, and the default MTU is 23.</w:t>
      </w:r>
    </w:p>
    <w:p w:rsidR="00554D9B" w:rsidRDefault="00554D9B" w:rsidP="00297523">
      <w:pPr>
        <w:pStyle w:val="NormalWeb"/>
        <w:shd w:val="clear" w:color="auto" w:fill="FFFFFF"/>
        <w:spacing w:before="0" w:beforeAutospacing="0" w:after="168" w:afterAutospacing="0" w:line="336" w:lineRule="atLeast"/>
        <w:textAlignment w:val="baseline"/>
        <w:rPr>
          <w:rFonts w:ascii="Arial" w:hAnsi="Arial" w:cs="Arial"/>
          <w:color w:val="4B4F58"/>
          <w:sz w:val="27"/>
          <w:szCs w:val="27"/>
        </w:rPr>
      </w:pPr>
    </w:p>
    <w:p w:rsidR="003B25B8" w:rsidRPr="00433650" w:rsidRDefault="003B25B8" w:rsidP="00433650">
      <w:pPr>
        <w:pStyle w:val="Heading1"/>
      </w:pPr>
      <w:r w:rsidRPr="00433650">
        <w:t>GATT operations</w:t>
      </w:r>
    </w:p>
    <w:p w:rsidR="003B25B8" w:rsidRDefault="003B25B8" w:rsidP="00B97DC3">
      <w:pPr>
        <w:pStyle w:val="Heading4"/>
        <w:rPr>
          <w:color w:val="0D0D0D" w:themeColor="text1" w:themeTint="F2"/>
        </w:rPr>
      </w:pPr>
      <w:r>
        <w:rPr>
          <w:color w:val="0D0D0D" w:themeColor="text1" w:themeTint="F2"/>
        </w:rPr>
        <w:t xml:space="preserve">As we’ve seen, the GATT layer defines services and characteristics, made up of </w:t>
      </w:r>
      <w:proofErr w:type="gramStart"/>
      <w:r>
        <w:rPr>
          <w:color w:val="0D0D0D" w:themeColor="text1" w:themeTint="F2"/>
        </w:rPr>
        <w:t>attributes, that</w:t>
      </w:r>
      <w:proofErr w:type="gramEnd"/>
      <w:r>
        <w:rPr>
          <w:color w:val="0D0D0D" w:themeColor="text1" w:themeTint="F2"/>
        </w:rPr>
        <w:t xml:space="preserve"> are stored in the GATT server.</w:t>
      </w:r>
    </w:p>
    <w:p w:rsidR="000245D6" w:rsidRDefault="005954BE" w:rsidP="00B97DC3">
      <w:pPr>
        <w:pStyle w:val="Heading4"/>
        <w:rPr>
          <w:color w:val="0D0D0D" w:themeColor="text1" w:themeTint="F2"/>
          <w:shd w:val="clear" w:color="auto" w:fill="FFFFFF"/>
        </w:rPr>
      </w:pPr>
      <w:r>
        <w:rPr>
          <w:color w:val="0D0D0D" w:themeColor="text1" w:themeTint="F2"/>
          <w:shd w:val="clear" w:color="auto" w:fill="FFFFFF"/>
        </w:rPr>
        <w:t>The server can either send data directly to the client or the client can poll the data from the server. But for the client to know what to request from the server, it needs to know what services and characteristics the GATT server offers. The client will therefore perform service discovery at the beginning of the connection, to learn about the services and characteristics of the server, before performing any operations to access them.</w:t>
      </w:r>
    </w:p>
    <w:p w:rsidR="006A3FF7" w:rsidRDefault="00D942B3" w:rsidP="003B25B8">
      <w:pPr>
        <w:pStyle w:val="NormalWeb"/>
        <w:shd w:val="clear" w:color="auto" w:fill="FFFFFF"/>
        <w:spacing w:before="0" w:beforeAutospacing="0" w:after="168" w:afterAutospacing="0" w:line="336" w:lineRule="atLeast"/>
        <w:textAlignment w:val="baseline"/>
        <w:rPr>
          <w:rStyle w:val="Heading3Char"/>
        </w:rPr>
      </w:pPr>
      <w:r>
        <w:rPr>
          <w:rFonts w:ascii="Arial" w:hAnsi="Arial" w:cs="Arial"/>
          <w:b/>
          <w:bCs/>
          <w:color w:val="4B4F58"/>
          <w:sz w:val="27"/>
          <w:szCs w:val="27"/>
          <w:shd w:val="clear" w:color="auto" w:fill="FFFFFF"/>
        </w:rPr>
        <w:br/>
      </w:r>
      <w:r w:rsidR="006A3FF7">
        <w:rPr>
          <w:rStyle w:val="Heading3Char"/>
        </w:rPr>
        <w:t>Service discovery</w:t>
      </w:r>
    </w:p>
    <w:p w:rsidR="00D942B3" w:rsidRDefault="00D942B3" w:rsidP="00B97DC3">
      <w:pPr>
        <w:pStyle w:val="Heading4"/>
        <w:rPr>
          <w:color w:val="4B4F58"/>
          <w:sz w:val="27"/>
          <w:szCs w:val="27"/>
          <w:shd w:val="clear" w:color="auto" w:fill="FFFFFF"/>
          <w14:textFill>
            <w14:solidFill>
              <w14:srgbClr w14:val="4B4F58">
                <w14:lumMod w14:val="95000"/>
                <w14:lumOff w14:val="5000"/>
              </w14:srgbClr>
            </w14:solidFill>
          </w14:textFill>
        </w:rPr>
      </w:pPr>
      <w:r w:rsidRPr="00900FC8">
        <w:rPr>
          <w:rStyle w:val="Heading4Char"/>
          <w:color w:val="0D0D0D" w:themeColor="text1" w:themeTint="F2"/>
        </w:rPr>
        <w:t>The process in which a GATT client discovers the services and characteristics in an attribute table hosted by a GATT server</w:t>
      </w:r>
      <w:r>
        <w:rPr>
          <w:color w:val="4B4F58"/>
          <w:sz w:val="27"/>
          <w:szCs w:val="27"/>
          <w:shd w:val="clear" w:color="auto" w:fill="FFFFFF"/>
          <w14:textFill>
            <w14:solidFill>
              <w14:srgbClr w14:val="4B4F58">
                <w14:lumMod w14:val="95000"/>
                <w14:lumOff w14:val="5000"/>
              </w14:srgbClr>
            </w14:solidFill>
          </w14:textFill>
        </w:rPr>
        <w:t>.</w:t>
      </w:r>
    </w:p>
    <w:p w:rsidR="00F8197C" w:rsidRDefault="00F8197C" w:rsidP="003B25B8">
      <w:pPr>
        <w:pStyle w:val="NormalWeb"/>
        <w:shd w:val="clear" w:color="auto" w:fill="FFFFFF"/>
        <w:spacing w:before="0" w:beforeAutospacing="0" w:after="168" w:afterAutospacing="0" w:line="336" w:lineRule="atLeast"/>
        <w:textAlignment w:val="baseline"/>
        <w:rPr>
          <w:rFonts w:ascii="Arial" w:hAnsi="Arial" w:cs="Arial"/>
          <w:color w:val="4B4F58"/>
          <w:sz w:val="27"/>
          <w:szCs w:val="27"/>
          <w:shd w:val="clear" w:color="auto" w:fill="FFFFFF"/>
        </w:rPr>
      </w:pPr>
    </w:p>
    <w:p w:rsidR="00F8197C" w:rsidRPr="00DD1E11" w:rsidRDefault="00F8197C" w:rsidP="00297523">
      <w:pPr>
        <w:pStyle w:val="Heading3"/>
      </w:pPr>
      <w:r w:rsidRPr="00DD1E11">
        <w:t>Client-initiated operations</w:t>
      </w:r>
    </w:p>
    <w:p w:rsidR="00F8197C" w:rsidRDefault="00F8197C" w:rsidP="00B97DC3">
      <w:pPr>
        <w:pStyle w:val="Heading4"/>
        <w:rPr>
          <w:color w:val="0D0D0D" w:themeColor="text1" w:themeTint="F2"/>
        </w:rPr>
      </w:pPr>
      <w:r>
        <w:rPr>
          <w:color w:val="0D0D0D" w:themeColor="text1" w:themeTint="F2"/>
        </w:rPr>
        <w:t>Client-initiated operations are GATT operations where the client requests data from the GATT server. The client can request to either read or write to an attribute, and in the case of the latter, it can choose whether to receive an acknowledgment from the server.</w:t>
      </w:r>
    </w:p>
    <w:p w:rsidR="00433650" w:rsidRDefault="00433650" w:rsidP="00297523">
      <w:pPr>
        <w:pStyle w:val="Heading3"/>
      </w:pPr>
      <w:r>
        <w:t>Read</w:t>
      </w:r>
    </w:p>
    <w:p w:rsidR="00433650" w:rsidRDefault="00433650" w:rsidP="00B97DC3">
      <w:pPr>
        <w:pStyle w:val="Heading4"/>
        <w:rPr>
          <w:color w:val="0D0D0D" w:themeColor="text1" w:themeTint="F2"/>
        </w:rPr>
      </w:pPr>
      <w:r>
        <w:rPr>
          <w:color w:val="0D0D0D" w:themeColor="text1" w:themeTint="F2"/>
        </w:rPr>
        <w:t>If a client wishes to read a certain value stored in an attribute on a GATT server, the client sends a read request to the server. To which the server responds by returning the attribute value.</w:t>
      </w:r>
    </w:p>
    <w:p w:rsidR="00433650" w:rsidRDefault="00433650" w:rsidP="00297523">
      <w:pPr>
        <w:pStyle w:val="Heading3"/>
      </w:pPr>
      <w:r>
        <w:lastRenderedPageBreak/>
        <w:t>Write</w:t>
      </w:r>
    </w:p>
    <w:p w:rsidR="00433650" w:rsidRDefault="00433650" w:rsidP="00B97DC3">
      <w:pPr>
        <w:pStyle w:val="Heading4"/>
        <w:rPr>
          <w:color w:val="0D0D0D" w:themeColor="text1" w:themeTint="F2"/>
        </w:rPr>
      </w:pPr>
      <w:r>
        <w:rPr>
          <w:color w:val="0D0D0D" w:themeColor="text1" w:themeTint="F2"/>
        </w:rPr>
        <w:t>If the client wishes to write a certain value to an attribute, it sends a write request</w:t>
      </w:r>
      <w:r>
        <w:rPr>
          <w:rStyle w:val="Strong"/>
          <w:rFonts w:ascii="Arial" w:hAnsi="Arial" w:cs="Arial"/>
          <w:color w:val="4B4F58"/>
          <w:sz w:val="27"/>
          <w:szCs w:val="27"/>
          <w14:textFill>
            <w14:solidFill>
              <w14:srgbClr w14:val="4B4F58">
                <w14:lumMod w14:val="95000"/>
                <w14:lumOff w14:val="5000"/>
              </w14:srgbClr>
            </w14:solidFill>
          </w14:textFill>
        </w:rPr>
        <w:t> </w:t>
      </w:r>
      <w:r>
        <w:rPr>
          <w:color w:val="0D0D0D" w:themeColor="text1" w:themeTint="F2"/>
        </w:rPr>
        <w:t>and provides data that matches the same format of the target attribute. If the server accepts the write operation, it responds with an acknowledgement.</w:t>
      </w:r>
    </w:p>
    <w:p w:rsidR="00433650" w:rsidRDefault="00433650" w:rsidP="00297523">
      <w:pPr>
        <w:pStyle w:val="Heading3"/>
      </w:pPr>
      <w:r>
        <w:t>Write without response</w:t>
      </w:r>
    </w:p>
    <w:p w:rsidR="00433650" w:rsidRDefault="00433650" w:rsidP="00B97DC3">
      <w:pPr>
        <w:pStyle w:val="Heading4"/>
        <w:rPr>
          <w:color w:val="0D0D0D" w:themeColor="text1" w:themeTint="F2"/>
        </w:rPr>
      </w:pPr>
      <w:r>
        <w:rPr>
          <w:color w:val="0D0D0D" w:themeColor="text1" w:themeTint="F2"/>
        </w:rPr>
        <w:t>If this operation is enabled, a client can write data to an attribute without waiting for an acknowledgment from the server. </w:t>
      </w:r>
    </w:p>
    <w:p w:rsidR="00433650" w:rsidRPr="00433650" w:rsidRDefault="00433650" w:rsidP="00297523">
      <w:pPr>
        <w:pStyle w:val="Heading3"/>
      </w:pPr>
      <w:r w:rsidRPr="00433650">
        <w:t>Server-initiated operations</w:t>
      </w:r>
    </w:p>
    <w:p w:rsidR="00433650" w:rsidRDefault="00433650" w:rsidP="00B97DC3">
      <w:pPr>
        <w:pStyle w:val="Heading4"/>
        <w:rPr>
          <w:color w:val="0D0D0D" w:themeColor="text1" w:themeTint="F2"/>
        </w:rPr>
      </w:pPr>
      <w:r>
        <w:rPr>
          <w:color w:val="0D0D0D" w:themeColor="text1" w:themeTint="F2"/>
        </w:rPr>
        <w:t>The other category of GATT operations are server-initiated operations, where the server sends information directly to the client, without receiving a request first. In this case, the server can either notify or indicate.</w:t>
      </w:r>
    </w:p>
    <w:p w:rsidR="00433650" w:rsidRDefault="00433650" w:rsidP="00297523">
      <w:pPr>
        <w:pStyle w:val="Heading3"/>
      </w:pPr>
      <w:r>
        <w:t>Notify</w:t>
      </w:r>
    </w:p>
    <w:p w:rsidR="00433650" w:rsidRDefault="00433650" w:rsidP="00B97DC3">
      <w:pPr>
        <w:pStyle w:val="Heading4"/>
        <w:rPr>
          <w:color w:val="0D0D0D" w:themeColor="text1" w:themeTint="F2"/>
        </w:rPr>
      </w:pPr>
      <w:r>
        <w:rPr>
          <w:color w:val="0D0D0D" w:themeColor="text1" w:themeTint="F2"/>
        </w:rPr>
        <w:t>A Notify operation is used by the server to automatically push the value of a certain attribute to the client, without the client asking for it. This, for example, can be used to update the client about a certain sensor reading which has changed recently.</w:t>
      </w:r>
    </w:p>
    <w:p w:rsidR="00433650" w:rsidRDefault="00433650" w:rsidP="00B97DC3">
      <w:pPr>
        <w:pStyle w:val="Heading4"/>
        <w:rPr>
          <w:color w:val="0D0D0D" w:themeColor="text1" w:themeTint="F2"/>
        </w:rPr>
      </w:pPr>
      <w:r>
        <w:rPr>
          <w:color w:val="0D0D0D" w:themeColor="text1" w:themeTint="F2"/>
        </w:rPr>
        <w:t>Notifications require no acknowledgment back from the client.</w:t>
      </w:r>
    </w:p>
    <w:p w:rsidR="00433650" w:rsidRDefault="00433650" w:rsidP="00297523">
      <w:pPr>
        <w:pStyle w:val="Heading3"/>
      </w:pPr>
      <w:r>
        <w:t>Indicate</w:t>
      </w:r>
    </w:p>
    <w:p w:rsidR="00433650" w:rsidRPr="00B97DC3" w:rsidRDefault="00433650" w:rsidP="00B97DC3">
      <w:pPr>
        <w:pStyle w:val="Heading4"/>
        <w:rPr>
          <w:color w:val="0D0D0D" w:themeColor="text1" w:themeTint="F2"/>
        </w:rPr>
      </w:pPr>
      <w:r w:rsidRPr="00B97DC3">
        <w:rPr>
          <w:color w:val="0D0D0D" w:themeColor="text1" w:themeTint="F2"/>
        </w:rPr>
        <w:t>Similar to the Notify operation, Indicate will also push the attribute value directly to the client. However, in this case, an acknowledgment from the client is required. Because of the acknowledgement requirement, you can only send one Indication per connection interval, meaning Indications are slower than notifications.</w:t>
      </w:r>
    </w:p>
    <w:p w:rsidR="00433650" w:rsidRPr="00B97DC3" w:rsidRDefault="00433650" w:rsidP="00B97DC3">
      <w:pPr>
        <w:pStyle w:val="Heading4"/>
        <w:rPr>
          <w:color w:val="0D0D0D" w:themeColor="text1" w:themeTint="F2"/>
        </w:rPr>
      </w:pPr>
      <w:r w:rsidRPr="00B97DC3">
        <w:rPr>
          <w:color w:val="0D0D0D" w:themeColor="text1" w:themeTint="F2"/>
        </w:rPr>
        <w:t>Although these operations are initiated by the server, the client is required to enable them first by subscribing to the characteristic and enabling either notifications or indications.</w:t>
      </w:r>
    </w:p>
    <w:p w:rsidR="00240786" w:rsidRDefault="00240786" w:rsidP="00297523">
      <w:pPr>
        <w:pStyle w:val="Heading3"/>
      </w:pPr>
      <w:r>
        <w:t>Services and characteristics</w:t>
      </w:r>
    </w:p>
    <w:p w:rsidR="00240786" w:rsidRDefault="00240786" w:rsidP="00B97DC3">
      <w:pPr>
        <w:pStyle w:val="Heading4"/>
        <w:rPr>
          <w:color w:val="0D0D0D" w:themeColor="text1" w:themeTint="F2"/>
        </w:rPr>
      </w:pPr>
      <w:r>
        <w:rPr>
          <w:color w:val="0D0D0D" w:themeColor="text1" w:themeTint="F2"/>
        </w:rPr>
        <w:t xml:space="preserve">As discussed in previous topics, the ATT layer defines attributes and how data is exposed between a client and a server. As such, one of the main </w:t>
      </w:r>
      <w:r>
        <w:rPr>
          <w:color w:val="0D0D0D" w:themeColor="text1" w:themeTint="F2"/>
        </w:rPr>
        <w:lastRenderedPageBreak/>
        <w:t>functions of GATT is the hierarchal structuring of attributes stored in a GATT server into standardized entities (services and characteristics) providing seamless interoperability between different Bluetooth LE devices.</w:t>
      </w:r>
    </w:p>
    <w:p w:rsidR="00B34DD1" w:rsidRPr="00297523" w:rsidRDefault="00B34DD1" w:rsidP="00297523">
      <w:pPr>
        <w:pStyle w:val="Heading3"/>
      </w:pPr>
      <w:r w:rsidRPr="00297523">
        <w:t>Attributes</w:t>
      </w:r>
    </w:p>
    <w:p w:rsidR="00B34DD1" w:rsidRDefault="00B34DD1" w:rsidP="00B97DC3">
      <w:pPr>
        <w:pStyle w:val="Heading4"/>
        <w:rPr>
          <w:color w:val="0D0D0D" w:themeColor="text1" w:themeTint="F2"/>
        </w:rPr>
      </w:pPr>
      <w:r w:rsidRPr="00B97DC3">
        <w:rPr>
          <w:color w:val="0D0D0D" w:themeColor="text1" w:themeTint="F2"/>
        </w:rPr>
        <w:t>The ATT layer defines how data is stored and accessed in a server’s database. The data is stored in the form of data structures called Attributes. Attributes are the core data units that both the ATT and GATT layers are based on. Attributes hold user data as well as metadata describing the attribute itself, its type, security permissions, etc. Data exchange occurring between ATT servers and clients, or, GATT servers and clients, is in the form of attributes. When discussing only attributes, they are said to be stored in an ATT server.</w:t>
      </w:r>
    </w:p>
    <w:p w:rsidR="005B35C0" w:rsidRPr="005B35C0" w:rsidRDefault="005B35C0" w:rsidP="005B35C0">
      <w:pPr>
        <w:rPr>
          <w:lang w:eastAsia="en-IN"/>
        </w:rPr>
      </w:pPr>
    </w:p>
    <w:p w:rsidR="00240786" w:rsidRDefault="005B35C0" w:rsidP="005B35C0">
      <w:pPr>
        <w:pStyle w:val="Heading3"/>
        <w:rPr>
          <w:shd w:val="clear" w:color="auto" w:fill="FFFFFF"/>
        </w:rPr>
      </w:pPr>
      <w:r>
        <w:rPr>
          <w:shd w:val="clear" w:color="auto" w:fill="FFFFFF"/>
        </w:rPr>
        <w:t>An attribute consists of 4 blocks of data:</w:t>
      </w:r>
    </w:p>
    <w:p w:rsidR="005B35C0" w:rsidRPr="00240786" w:rsidRDefault="005B35C0" w:rsidP="00240786">
      <w:pPr>
        <w:rPr>
          <w:lang w:eastAsia="en-IN"/>
        </w:rPr>
      </w:pPr>
      <w:r w:rsidRPr="005B35C0">
        <w:rPr>
          <w:lang w:eastAsia="en-IN"/>
        </w:rPr>
        <w:drawing>
          <wp:inline distT="0" distB="0" distL="0" distR="0" wp14:anchorId="517348CB" wp14:editId="6FEF56DD">
            <wp:extent cx="5731510" cy="3156585"/>
            <wp:effectExtent l="0" t="0" r="254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156585"/>
                    </a:xfrm>
                    <a:prstGeom prst="rect">
                      <a:avLst/>
                    </a:prstGeom>
                  </pic:spPr>
                </pic:pic>
              </a:graphicData>
            </a:graphic>
          </wp:inline>
        </w:drawing>
      </w:r>
    </w:p>
    <w:p w:rsidR="005B35C0" w:rsidRPr="005B35C0" w:rsidRDefault="005B35C0" w:rsidP="005B35C0">
      <w:pPr>
        <w:numPr>
          <w:ilvl w:val="0"/>
          <w:numId w:val="4"/>
        </w:numPr>
        <w:shd w:val="clear" w:color="auto" w:fill="FFFFFF"/>
        <w:spacing w:after="0" w:line="240" w:lineRule="auto"/>
        <w:ind w:left="300"/>
        <w:textAlignment w:val="baseline"/>
        <w:rPr>
          <w:rStyle w:val="Heading4Char"/>
          <w:rFonts w:eastAsiaTheme="minorHAnsi"/>
          <w:color w:val="0D0D0D" w:themeColor="text1" w:themeTint="F2"/>
        </w:rPr>
      </w:pPr>
      <w:r w:rsidRPr="005B35C0">
        <w:rPr>
          <w:rStyle w:val="Heading5Char"/>
          <w:color w:val="0D0D0D" w:themeColor="text1" w:themeTint="F2"/>
        </w:rPr>
        <w:t>Handle</w:t>
      </w:r>
      <w:r w:rsidRPr="005B35C0">
        <w:rPr>
          <w:rFonts w:ascii="Arial" w:eastAsia="Times New Roman" w:hAnsi="Arial" w:cs="Arial"/>
          <w:color w:val="4B4F58"/>
          <w:sz w:val="27"/>
          <w:szCs w:val="27"/>
          <w:lang w:eastAsia="en-IN"/>
        </w:rPr>
        <w:t xml:space="preserve">: </w:t>
      </w:r>
      <w:r w:rsidRPr="005B35C0">
        <w:rPr>
          <w:rStyle w:val="Heading4Char"/>
          <w:rFonts w:eastAsiaTheme="minorHAnsi"/>
          <w:color w:val="0D0D0D" w:themeColor="text1" w:themeTint="F2"/>
        </w:rPr>
        <w:t>A 16-bit unique index to a specific attribute in the attribute table, assigned by the stack. An attribute is addressed via its handle. You can think of it as the row number in the attribute table, although handles are not necessarily sequential.</w:t>
      </w:r>
    </w:p>
    <w:p w:rsidR="005B35C0" w:rsidRPr="005B35C0" w:rsidRDefault="005B35C0" w:rsidP="005B35C0">
      <w:pPr>
        <w:numPr>
          <w:ilvl w:val="0"/>
          <w:numId w:val="4"/>
        </w:numPr>
        <w:shd w:val="clear" w:color="auto" w:fill="FFFFFF"/>
        <w:spacing w:after="0" w:line="240" w:lineRule="auto"/>
        <w:ind w:left="300"/>
        <w:textAlignment w:val="baseline"/>
        <w:rPr>
          <w:rFonts w:ascii="Arial" w:eastAsia="Times New Roman" w:hAnsi="Arial" w:cs="Arial"/>
          <w:color w:val="4B4F58"/>
          <w:sz w:val="27"/>
          <w:szCs w:val="27"/>
          <w:lang w:eastAsia="en-IN"/>
        </w:rPr>
      </w:pPr>
      <w:r w:rsidRPr="005B35C0">
        <w:rPr>
          <w:rStyle w:val="Heading5Char"/>
          <w:color w:val="0D0D0D" w:themeColor="text1" w:themeTint="F2"/>
        </w:rPr>
        <w:t>Type (UUID):</w:t>
      </w:r>
      <w:r w:rsidRPr="005B35C0">
        <w:rPr>
          <w:rFonts w:ascii="Arial" w:eastAsia="Times New Roman" w:hAnsi="Arial" w:cs="Arial"/>
          <w:color w:val="4B4F58"/>
          <w:sz w:val="27"/>
          <w:szCs w:val="27"/>
          <w:lang w:eastAsia="en-IN"/>
        </w:rPr>
        <w:t xml:space="preserve"> </w:t>
      </w:r>
      <w:r w:rsidRPr="005B35C0">
        <w:rPr>
          <w:rStyle w:val="Heading4Char"/>
          <w:rFonts w:eastAsiaTheme="minorHAnsi"/>
          <w:color w:val="0D0D0D" w:themeColor="text1" w:themeTint="F2"/>
        </w:rPr>
        <w:t>Universally unique ID (UUID), which tells us the attribute type. For example, if this attribute declares a characteristic, this will be reflected in its Type field as it will hold a UUID used specifically to indicate declaring a characteristic.</w:t>
      </w:r>
    </w:p>
    <w:p w:rsidR="005B35C0" w:rsidRPr="005B35C0" w:rsidRDefault="005B35C0" w:rsidP="005B35C0">
      <w:pPr>
        <w:numPr>
          <w:ilvl w:val="0"/>
          <w:numId w:val="4"/>
        </w:numPr>
        <w:shd w:val="clear" w:color="auto" w:fill="FFFFFF"/>
        <w:spacing w:after="0" w:line="240" w:lineRule="auto"/>
        <w:ind w:left="300"/>
        <w:textAlignment w:val="baseline"/>
        <w:rPr>
          <w:rStyle w:val="Heading4Char"/>
          <w:rFonts w:eastAsiaTheme="minorHAnsi"/>
          <w:color w:val="0D0D0D" w:themeColor="text1" w:themeTint="F2"/>
        </w:rPr>
      </w:pPr>
      <w:r w:rsidRPr="005B35C0">
        <w:rPr>
          <w:rStyle w:val="Heading5Char"/>
          <w:color w:val="0D0D0D" w:themeColor="text1" w:themeTint="F2"/>
        </w:rPr>
        <w:lastRenderedPageBreak/>
        <w:t>Permissions:</w:t>
      </w:r>
      <w:r w:rsidRPr="005B35C0">
        <w:rPr>
          <w:rFonts w:ascii="Arial" w:eastAsia="Times New Roman" w:hAnsi="Arial" w:cs="Arial"/>
          <w:color w:val="4B4F58"/>
          <w:sz w:val="27"/>
          <w:szCs w:val="27"/>
          <w:lang w:eastAsia="en-IN"/>
        </w:rPr>
        <w:t xml:space="preserve"> </w:t>
      </w:r>
      <w:r w:rsidRPr="005B35C0">
        <w:rPr>
          <w:rStyle w:val="Heading4Char"/>
          <w:rFonts w:eastAsiaTheme="minorHAnsi"/>
          <w:color w:val="0D0D0D" w:themeColor="text1" w:themeTint="F2"/>
        </w:rPr>
        <w:t>The security level required (encryption and/or authorization) to handle that attribute, in addition to indicating whether it’s a readable and/or writeable attribute.</w:t>
      </w:r>
    </w:p>
    <w:p w:rsidR="005B35C0" w:rsidRPr="005B35C0" w:rsidRDefault="005B35C0" w:rsidP="005B35C0">
      <w:pPr>
        <w:pStyle w:val="Heading5"/>
        <w:rPr>
          <w:color w:val="0D0D0D" w:themeColor="text1" w:themeTint="F2"/>
        </w:rPr>
      </w:pPr>
      <w:r w:rsidRPr="005B35C0">
        <w:rPr>
          <w:color w:val="0D0D0D" w:themeColor="text1" w:themeTint="F2"/>
        </w:rPr>
        <w:t>Value:</w:t>
      </w:r>
    </w:p>
    <w:p w:rsidR="005B35C0" w:rsidRPr="005B35C0" w:rsidRDefault="005B35C0" w:rsidP="005B35C0">
      <w:pPr>
        <w:pStyle w:val="Heading4"/>
        <w:rPr>
          <w:color w:val="0D0D0D" w:themeColor="text1" w:themeTint="F2"/>
        </w:rPr>
      </w:pPr>
      <w:r w:rsidRPr="005B35C0">
        <w:rPr>
          <w:color w:val="0D0D0D" w:themeColor="text1" w:themeTint="F2"/>
        </w:rPr>
        <w:t>The actual user data (ex: sensor reading) that is stored in the attribute. This field accepts any data type. It can hold a heart rate monitor value (beats per minute), a temperature reading, or even a string.</w:t>
      </w:r>
    </w:p>
    <w:p w:rsidR="00433650" w:rsidRPr="00433650" w:rsidRDefault="005B35C0" w:rsidP="005B35C0">
      <w:pPr>
        <w:pStyle w:val="Heading4"/>
        <w:rPr>
          <w:color w:val="0D0D0D" w:themeColor="text1" w:themeTint="F2"/>
        </w:rPr>
      </w:pPr>
      <w:r w:rsidRPr="005B35C0">
        <w:rPr>
          <w:color w:val="0D0D0D" w:themeColor="text1" w:themeTint="F2"/>
        </w:rPr>
        <w:t>It can also hold information (me</w:t>
      </w:r>
      <w:r>
        <w:rPr>
          <w:color w:val="0D0D0D" w:themeColor="text1" w:themeTint="F2"/>
        </w:rPr>
        <w:t>tadata) about another attribute.</w:t>
      </w:r>
      <w:bookmarkStart w:id="0" w:name="_GoBack"/>
      <w:bookmarkEnd w:id="0"/>
    </w:p>
    <w:p w:rsidR="00F8197C" w:rsidRPr="000245D6" w:rsidRDefault="00F8197C" w:rsidP="003B25B8">
      <w:pPr>
        <w:pStyle w:val="NormalWeb"/>
        <w:shd w:val="clear" w:color="auto" w:fill="FFFFFF"/>
        <w:spacing w:before="0" w:beforeAutospacing="0" w:after="168" w:afterAutospacing="0" w:line="336" w:lineRule="atLeast"/>
        <w:textAlignment w:val="baseline"/>
        <w:rPr>
          <w:rFonts w:ascii="Arial" w:hAnsi="Arial" w:cs="Arial"/>
          <w:color w:val="4B4F58"/>
          <w:sz w:val="27"/>
          <w:szCs w:val="27"/>
          <w:shd w:val="clear" w:color="auto" w:fill="FFFFFF"/>
        </w:rPr>
      </w:pPr>
    </w:p>
    <w:p w:rsidR="00467016" w:rsidRDefault="00467016" w:rsidP="00705F8B"/>
    <w:sectPr w:rsidR="004670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Alef">
    <w:panose1 w:val="00000500000000000000"/>
    <w:charset w:val="00"/>
    <w:family w:val="auto"/>
    <w:pitch w:val="variable"/>
    <w:sig w:usb0="00000807" w:usb1="40000000" w:usb2="00000000" w:usb3="00000000" w:csb0="000000B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DA0054"/>
    <w:multiLevelType w:val="multilevel"/>
    <w:tmpl w:val="D61684E0"/>
    <w:lvl w:ilvl="0">
      <w:start w:val="1"/>
      <w:numFmt w:val="bullet"/>
      <w:pStyle w:val="Heading5"/>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6B77094"/>
    <w:multiLevelType w:val="hybridMultilevel"/>
    <w:tmpl w:val="9C40C526"/>
    <w:lvl w:ilvl="0" w:tplc="3C02905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721026C9"/>
    <w:multiLevelType w:val="hybridMultilevel"/>
    <w:tmpl w:val="D248A50A"/>
    <w:lvl w:ilvl="0" w:tplc="E72C400E">
      <w:numFmt w:val="bullet"/>
      <w:lvlText w:val="-"/>
      <w:lvlJc w:val="left"/>
      <w:pPr>
        <w:ind w:left="1080" w:hanging="360"/>
      </w:pPr>
      <w:rPr>
        <w:rFonts w:ascii="Arial" w:eastAsiaTheme="minorHAnsi" w:hAnsi="Arial" w:cs="Arial" w:hint="default"/>
        <w:color w:val="4B4F58"/>
        <w:sz w:val="27"/>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nsid w:val="7BC202EF"/>
    <w:multiLevelType w:val="hybridMultilevel"/>
    <w:tmpl w:val="FD66D270"/>
    <w:lvl w:ilvl="0" w:tplc="747C2DDE">
      <w:numFmt w:val="bullet"/>
      <w:lvlText w:val=""/>
      <w:lvlJc w:val="left"/>
      <w:pPr>
        <w:ind w:left="720" w:hanging="360"/>
      </w:pPr>
      <w:rPr>
        <w:rFonts w:ascii="Wingdings" w:eastAsiaTheme="minorHAnsi" w:hAnsi="Wingdings" w:cs="Arial" w:hint="default"/>
        <w:color w:val="4B4F58"/>
        <w:sz w:val="27"/>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7D0B"/>
    <w:rsid w:val="000245D6"/>
    <w:rsid w:val="001F650D"/>
    <w:rsid w:val="00206874"/>
    <w:rsid w:val="00236581"/>
    <w:rsid w:val="00240786"/>
    <w:rsid w:val="00297523"/>
    <w:rsid w:val="003331AC"/>
    <w:rsid w:val="00336989"/>
    <w:rsid w:val="003B25B8"/>
    <w:rsid w:val="00433650"/>
    <w:rsid w:val="00467016"/>
    <w:rsid w:val="004A32F3"/>
    <w:rsid w:val="00554D9B"/>
    <w:rsid w:val="005706A5"/>
    <w:rsid w:val="00584AA7"/>
    <w:rsid w:val="005954BE"/>
    <w:rsid w:val="005B35C0"/>
    <w:rsid w:val="00646756"/>
    <w:rsid w:val="006A3FF7"/>
    <w:rsid w:val="006D7399"/>
    <w:rsid w:val="00705F8B"/>
    <w:rsid w:val="007A2802"/>
    <w:rsid w:val="007C7ED5"/>
    <w:rsid w:val="00866562"/>
    <w:rsid w:val="008E7D0B"/>
    <w:rsid w:val="00900FC8"/>
    <w:rsid w:val="0094512E"/>
    <w:rsid w:val="00983A1A"/>
    <w:rsid w:val="00A343FC"/>
    <w:rsid w:val="00AF2CC3"/>
    <w:rsid w:val="00B34DD1"/>
    <w:rsid w:val="00B97DC3"/>
    <w:rsid w:val="00C57F0D"/>
    <w:rsid w:val="00CB03D9"/>
    <w:rsid w:val="00CD1C5B"/>
    <w:rsid w:val="00D942B3"/>
    <w:rsid w:val="00DD1E11"/>
    <w:rsid w:val="00DD3723"/>
    <w:rsid w:val="00DD38D9"/>
    <w:rsid w:val="00E73612"/>
    <w:rsid w:val="00E90222"/>
    <w:rsid w:val="00F22ACD"/>
    <w:rsid w:val="00F8197C"/>
    <w:rsid w:val="00FB2609"/>
    <w:rsid w:val="00FB55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D67195-A6D8-45FF-8092-A5F0DE5A7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33650"/>
    <w:pPr>
      <w:keepNext/>
      <w:keepLines/>
      <w:shd w:val="clear" w:color="auto" w:fill="FFFFFF"/>
      <w:spacing w:after="600" w:line="720" w:lineRule="atLeast"/>
      <w:textAlignment w:val="baseline"/>
      <w:outlineLvl w:val="0"/>
    </w:pPr>
    <w:rPr>
      <w:rFonts w:ascii="Arial" w:eastAsiaTheme="majorEastAsia" w:hAnsi="Arial" w:cs="Arial"/>
      <w:b/>
      <w:bCs/>
      <w:color w:val="333F48"/>
      <w:sz w:val="60"/>
      <w:szCs w:val="60"/>
    </w:rPr>
  </w:style>
  <w:style w:type="paragraph" w:styleId="Heading2">
    <w:name w:val="heading 2"/>
    <w:basedOn w:val="Normal"/>
    <w:next w:val="Normal"/>
    <w:link w:val="Heading2Char"/>
    <w:uiPriority w:val="9"/>
    <w:semiHidden/>
    <w:unhideWhenUsed/>
    <w:qFormat/>
    <w:rsid w:val="004A32F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297523"/>
    <w:pPr>
      <w:shd w:val="clear" w:color="auto" w:fill="FFFFFF"/>
      <w:spacing w:before="270" w:after="270" w:line="360" w:lineRule="atLeast"/>
      <w:textAlignment w:val="baseline"/>
      <w:outlineLvl w:val="2"/>
    </w:pPr>
    <w:rPr>
      <w:rFonts w:ascii="Arial" w:eastAsia="Times New Roman" w:hAnsi="Arial" w:cs="Arial"/>
      <w:b/>
      <w:color w:val="333F48"/>
      <w:sz w:val="36"/>
      <w:szCs w:val="36"/>
      <w:lang w:eastAsia="en-IN"/>
    </w:rPr>
  </w:style>
  <w:style w:type="paragraph" w:styleId="Heading4">
    <w:name w:val="heading 4"/>
    <w:basedOn w:val="NormalWeb"/>
    <w:next w:val="Normal"/>
    <w:link w:val="Heading4Char"/>
    <w:uiPriority w:val="9"/>
    <w:unhideWhenUsed/>
    <w:qFormat/>
    <w:rsid w:val="00B97DC3"/>
    <w:pPr>
      <w:shd w:val="clear" w:color="auto" w:fill="FFFFFF"/>
      <w:spacing w:before="0" w:beforeAutospacing="0" w:after="168" w:afterAutospacing="0" w:line="336" w:lineRule="atLeast"/>
      <w:ind w:left="720"/>
      <w:textAlignment w:val="baseline"/>
      <w:outlineLvl w:val="3"/>
    </w:pPr>
    <w:rPr>
      <w:rFonts w:ascii="Bahnschrift Light" w:hAnsi="Bahnschrift Light" w:cs="Alef"/>
      <w:color w:val="0D0D0D" w:themeColor="text1" w:themeTint="F2"/>
    </w:rPr>
  </w:style>
  <w:style w:type="paragraph" w:styleId="Heading5">
    <w:name w:val="heading 5"/>
    <w:basedOn w:val="Normal"/>
    <w:next w:val="Normal"/>
    <w:link w:val="Heading5Char"/>
    <w:uiPriority w:val="9"/>
    <w:unhideWhenUsed/>
    <w:qFormat/>
    <w:rsid w:val="005B35C0"/>
    <w:pPr>
      <w:numPr>
        <w:numId w:val="4"/>
      </w:numPr>
      <w:shd w:val="clear" w:color="auto" w:fill="FFFFFF"/>
      <w:spacing w:after="0" w:line="240" w:lineRule="auto"/>
      <w:ind w:left="300"/>
      <w:textAlignment w:val="baseline"/>
      <w:outlineLvl w:val="4"/>
    </w:pPr>
    <w:rPr>
      <w:b/>
      <w:color w:val="0D0D0D" w:themeColor="text1" w:themeTint="F2"/>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2CC3"/>
    <w:pPr>
      <w:ind w:left="720"/>
      <w:contextualSpacing/>
    </w:pPr>
  </w:style>
  <w:style w:type="character" w:customStyle="1" w:styleId="Heading3Char">
    <w:name w:val="Heading 3 Char"/>
    <w:basedOn w:val="DefaultParagraphFont"/>
    <w:link w:val="Heading3"/>
    <w:uiPriority w:val="9"/>
    <w:rsid w:val="00297523"/>
    <w:rPr>
      <w:rFonts w:ascii="Arial" w:eastAsia="Times New Roman" w:hAnsi="Arial" w:cs="Arial"/>
      <w:b/>
      <w:color w:val="333F48"/>
      <w:sz w:val="36"/>
      <w:szCs w:val="36"/>
      <w:shd w:val="clear" w:color="auto" w:fill="FFFFFF"/>
      <w:lang w:eastAsia="en-IN"/>
    </w:rPr>
  </w:style>
  <w:style w:type="paragraph" w:styleId="NormalWeb">
    <w:name w:val="Normal (Web)"/>
    <w:basedOn w:val="Normal"/>
    <w:uiPriority w:val="99"/>
    <w:semiHidden/>
    <w:unhideWhenUsed/>
    <w:rsid w:val="0046701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1F650D"/>
    <w:rPr>
      <w:color w:val="0000FF"/>
      <w:u w:val="single"/>
    </w:rPr>
  </w:style>
  <w:style w:type="character" w:customStyle="1" w:styleId="Heading2Char">
    <w:name w:val="Heading 2 Char"/>
    <w:basedOn w:val="DefaultParagraphFont"/>
    <w:link w:val="Heading2"/>
    <w:uiPriority w:val="9"/>
    <w:semiHidden/>
    <w:rsid w:val="004A32F3"/>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433650"/>
    <w:rPr>
      <w:rFonts w:ascii="Arial" w:eastAsiaTheme="majorEastAsia" w:hAnsi="Arial" w:cs="Arial"/>
      <w:b/>
      <w:bCs/>
      <w:color w:val="333F48"/>
      <w:sz w:val="60"/>
      <w:szCs w:val="60"/>
      <w:shd w:val="clear" w:color="auto" w:fill="FFFFFF"/>
    </w:rPr>
  </w:style>
  <w:style w:type="character" w:styleId="Strong">
    <w:name w:val="Strong"/>
    <w:basedOn w:val="DefaultParagraphFont"/>
    <w:uiPriority w:val="22"/>
    <w:qFormat/>
    <w:rsid w:val="00D942B3"/>
    <w:rPr>
      <w:b/>
      <w:bCs/>
    </w:rPr>
  </w:style>
  <w:style w:type="character" w:customStyle="1" w:styleId="Heading4Char">
    <w:name w:val="Heading 4 Char"/>
    <w:basedOn w:val="DefaultParagraphFont"/>
    <w:link w:val="Heading4"/>
    <w:uiPriority w:val="9"/>
    <w:rsid w:val="00B97DC3"/>
    <w:rPr>
      <w:rFonts w:ascii="Bahnschrift Light" w:eastAsia="Times New Roman" w:hAnsi="Bahnschrift Light" w:cs="Alef"/>
      <w:color w:val="0D0D0D" w:themeColor="text1" w:themeTint="F2"/>
      <w:sz w:val="24"/>
      <w:szCs w:val="24"/>
      <w:shd w:val="clear" w:color="auto" w:fill="FFFFFF"/>
      <w:lang w:eastAsia="en-IN"/>
    </w:rPr>
  </w:style>
  <w:style w:type="character" w:customStyle="1" w:styleId="Heading5Char">
    <w:name w:val="Heading 5 Char"/>
    <w:basedOn w:val="DefaultParagraphFont"/>
    <w:link w:val="Heading5"/>
    <w:uiPriority w:val="9"/>
    <w:rsid w:val="005B35C0"/>
    <w:rPr>
      <w:b/>
      <w:color w:val="0D0D0D" w:themeColor="text1" w:themeTint="F2"/>
      <w:sz w:val="36"/>
      <w:szCs w:val="36"/>
      <w:shd w:val="clear" w:color="auto" w:fill="FFFFFF"/>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648547">
      <w:bodyDiv w:val="1"/>
      <w:marLeft w:val="0"/>
      <w:marRight w:val="0"/>
      <w:marTop w:val="0"/>
      <w:marBottom w:val="0"/>
      <w:divBdr>
        <w:top w:val="none" w:sz="0" w:space="0" w:color="auto"/>
        <w:left w:val="none" w:sz="0" w:space="0" w:color="auto"/>
        <w:bottom w:val="none" w:sz="0" w:space="0" w:color="auto"/>
        <w:right w:val="none" w:sz="0" w:space="0" w:color="auto"/>
      </w:divBdr>
    </w:div>
    <w:div w:id="753356534">
      <w:bodyDiv w:val="1"/>
      <w:marLeft w:val="0"/>
      <w:marRight w:val="0"/>
      <w:marTop w:val="0"/>
      <w:marBottom w:val="0"/>
      <w:divBdr>
        <w:top w:val="none" w:sz="0" w:space="0" w:color="auto"/>
        <w:left w:val="none" w:sz="0" w:space="0" w:color="auto"/>
        <w:bottom w:val="none" w:sz="0" w:space="0" w:color="auto"/>
        <w:right w:val="none" w:sz="0" w:space="0" w:color="auto"/>
      </w:divBdr>
    </w:div>
    <w:div w:id="898707273">
      <w:bodyDiv w:val="1"/>
      <w:marLeft w:val="0"/>
      <w:marRight w:val="0"/>
      <w:marTop w:val="0"/>
      <w:marBottom w:val="0"/>
      <w:divBdr>
        <w:top w:val="none" w:sz="0" w:space="0" w:color="auto"/>
        <w:left w:val="none" w:sz="0" w:space="0" w:color="auto"/>
        <w:bottom w:val="none" w:sz="0" w:space="0" w:color="auto"/>
        <w:right w:val="none" w:sz="0" w:space="0" w:color="auto"/>
      </w:divBdr>
    </w:div>
    <w:div w:id="924656276">
      <w:bodyDiv w:val="1"/>
      <w:marLeft w:val="0"/>
      <w:marRight w:val="0"/>
      <w:marTop w:val="0"/>
      <w:marBottom w:val="0"/>
      <w:divBdr>
        <w:top w:val="none" w:sz="0" w:space="0" w:color="auto"/>
        <w:left w:val="none" w:sz="0" w:space="0" w:color="auto"/>
        <w:bottom w:val="none" w:sz="0" w:space="0" w:color="auto"/>
        <w:right w:val="none" w:sz="0" w:space="0" w:color="auto"/>
      </w:divBdr>
      <w:divsChild>
        <w:div w:id="1635327066">
          <w:marLeft w:val="0"/>
          <w:marRight w:val="0"/>
          <w:marTop w:val="0"/>
          <w:marBottom w:val="240"/>
          <w:divBdr>
            <w:top w:val="none" w:sz="0" w:space="0" w:color="auto"/>
            <w:left w:val="none" w:sz="0" w:space="0" w:color="auto"/>
            <w:bottom w:val="none" w:sz="0" w:space="0" w:color="auto"/>
            <w:right w:val="none" w:sz="0" w:space="0" w:color="auto"/>
          </w:divBdr>
          <w:divsChild>
            <w:div w:id="1906794292">
              <w:marLeft w:val="0"/>
              <w:marRight w:val="0"/>
              <w:marTop w:val="0"/>
              <w:marBottom w:val="0"/>
              <w:divBdr>
                <w:top w:val="none" w:sz="0" w:space="0" w:color="auto"/>
                <w:left w:val="none" w:sz="0" w:space="0" w:color="auto"/>
                <w:bottom w:val="none" w:sz="0" w:space="0" w:color="auto"/>
                <w:right w:val="none" w:sz="0" w:space="0" w:color="auto"/>
              </w:divBdr>
              <w:divsChild>
                <w:div w:id="1217933432">
                  <w:marLeft w:val="0"/>
                  <w:marRight w:val="0"/>
                  <w:marTop w:val="240"/>
                  <w:marBottom w:val="240"/>
                  <w:divBdr>
                    <w:top w:val="none" w:sz="0" w:space="0" w:color="auto"/>
                    <w:left w:val="none" w:sz="0" w:space="0" w:color="auto"/>
                    <w:bottom w:val="none" w:sz="0" w:space="0" w:color="auto"/>
                    <w:right w:val="none" w:sz="0" w:space="0" w:color="auto"/>
                  </w:divBdr>
                  <w:divsChild>
                    <w:div w:id="1256784554">
                      <w:marLeft w:val="0"/>
                      <w:marRight w:val="0"/>
                      <w:marTop w:val="0"/>
                      <w:marBottom w:val="0"/>
                      <w:divBdr>
                        <w:top w:val="none" w:sz="0" w:space="0" w:color="auto"/>
                        <w:left w:val="none" w:sz="0" w:space="0" w:color="auto"/>
                        <w:bottom w:val="none" w:sz="0" w:space="0" w:color="auto"/>
                        <w:right w:val="none" w:sz="0" w:space="0" w:color="auto"/>
                      </w:divBdr>
                      <w:divsChild>
                        <w:div w:id="60269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7004666">
      <w:bodyDiv w:val="1"/>
      <w:marLeft w:val="0"/>
      <w:marRight w:val="0"/>
      <w:marTop w:val="0"/>
      <w:marBottom w:val="0"/>
      <w:divBdr>
        <w:top w:val="none" w:sz="0" w:space="0" w:color="auto"/>
        <w:left w:val="none" w:sz="0" w:space="0" w:color="auto"/>
        <w:bottom w:val="none" w:sz="0" w:space="0" w:color="auto"/>
        <w:right w:val="none" w:sz="0" w:space="0" w:color="auto"/>
      </w:divBdr>
    </w:div>
    <w:div w:id="1068573327">
      <w:bodyDiv w:val="1"/>
      <w:marLeft w:val="0"/>
      <w:marRight w:val="0"/>
      <w:marTop w:val="0"/>
      <w:marBottom w:val="0"/>
      <w:divBdr>
        <w:top w:val="none" w:sz="0" w:space="0" w:color="auto"/>
        <w:left w:val="none" w:sz="0" w:space="0" w:color="auto"/>
        <w:bottom w:val="none" w:sz="0" w:space="0" w:color="auto"/>
        <w:right w:val="none" w:sz="0" w:space="0" w:color="auto"/>
      </w:divBdr>
    </w:div>
    <w:div w:id="1292126935">
      <w:bodyDiv w:val="1"/>
      <w:marLeft w:val="0"/>
      <w:marRight w:val="0"/>
      <w:marTop w:val="0"/>
      <w:marBottom w:val="0"/>
      <w:divBdr>
        <w:top w:val="none" w:sz="0" w:space="0" w:color="auto"/>
        <w:left w:val="none" w:sz="0" w:space="0" w:color="auto"/>
        <w:bottom w:val="none" w:sz="0" w:space="0" w:color="auto"/>
        <w:right w:val="none" w:sz="0" w:space="0" w:color="auto"/>
      </w:divBdr>
      <w:divsChild>
        <w:div w:id="807628126">
          <w:marLeft w:val="0"/>
          <w:marRight w:val="0"/>
          <w:marTop w:val="0"/>
          <w:marBottom w:val="240"/>
          <w:divBdr>
            <w:top w:val="none" w:sz="0" w:space="0" w:color="auto"/>
            <w:left w:val="none" w:sz="0" w:space="0" w:color="auto"/>
            <w:bottom w:val="none" w:sz="0" w:space="0" w:color="auto"/>
            <w:right w:val="none" w:sz="0" w:space="0" w:color="auto"/>
          </w:divBdr>
          <w:divsChild>
            <w:div w:id="1765764595">
              <w:marLeft w:val="0"/>
              <w:marRight w:val="0"/>
              <w:marTop w:val="0"/>
              <w:marBottom w:val="0"/>
              <w:divBdr>
                <w:top w:val="none" w:sz="0" w:space="0" w:color="auto"/>
                <w:left w:val="none" w:sz="0" w:space="0" w:color="auto"/>
                <w:bottom w:val="none" w:sz="0" w:space="0" w:color="auto"/>
                <w:right w:val="none" w:sz="0" w:space="0" w:color="auto"/>
              </w:divBdr>
              <w:divsChild>
                <w:div w:id="23798158">
                  <w:marLeft w:val="0"/>
                  <w:marRight w:val="0"/>
                  <w:marTop w:val="240"/>
                  <w:marBottom w:val="240"/>
                  <w:divBdr>
                    <w:top w:val="none" w:sz="0" w:space="0" w:color="auto"/>
                    <w:left w:val="none" w:sz="0" w:space="0" w:color="auto"/>
                    <w:bottom w:val="none" w:sz="0" w:space="0" w:color="auto"/>
                    <w:right w:val="none" w:sz="0" w:space="0" w:color="auto"/>
                  </w:divBdr>
                  <w:divsChild>
                    <w:div w:id="553394078">
                      <w:marLeft w:val="0"/>
                      <w:marRight w:val="0"/>
                      <w:marTop w:val="0"/>
                      <w:marBottom w:val="0"/>
                      <w:divBdr>
                        <w:top w:val="none" w:sz="0" w:space="0" w:color="auto"/>
                        <w:left w:val="none" w:sz="0" w:space="0" w:color="auto"/>
                        <w:bottom w:val="none" w:sz="0" w:space="0" w:color="auto"/>
                        <w:right w:val="none" w:sz="0" w:space="0" w:color="auto"/>
                      </w:divBdr>
                      <w:divsChild>
                        <w:div w:id="79517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049026">
      <w:bodyDiv w:val="1"/>
      <w:marLeft w:val="0"/>
      <w:marRight w:val="0"/>
      <w:marTop w:val="0"/>
      <w:marBottom w:val="0"/>
      <w:divBdr>
        <w:top w:val="none" w:sz="0" w:space="0" w:color="auto"/>
        <w:left w:val="none" w:sz="0" w:space="0" w:color="auto"/>
        <w:bottom w:val="none" w:sz="0" w:space="0" w:color="auto"/>
        <w:right w:val="none" w:sz="0" w:space="0" w:color="auto"/>
      </w:divBdr>
    </w:div>
    <w:div w:id="1456829938">
      <w:bodyDiv w:val="1"/>
      <w:marLeft w:val="0"/>
      <w:marRight w:val="0"/>
      <w:marTop w:val="0"/>
      <w:marBottom w:val="0"/>
      <w:divBdr>
        <w:top w:val="none" w:sz="0" w:space="0" w:color="auto"/>
        <w:left w:val="none" w:sz="0" w:space="0" w:color="auto"/>
        <w:bottom w:val="none" w:sz="0" w:space="0" w:color="auto"/>
        <w:right w:val="none" w:sz="0" w:space="0" w:color="auto"/>
      </w:divBdr>
    </w:div>
    <w:div w:id="1535999719">
      <w:bodyDiv w:val="1"/>
      <w:marLeft w:val="0"/>
      <w:marRight w:val="0"/>
      <w:marTop w:val="0"/>
      <w:marBottom w:val="0"/>
      <w:divBdr>
        <w:top w:val="none" w:sz="0" w:space="0" w:color="auto"/>
        <w:left w:val="none" w:sz="0" w:space="0" w:color="auto"/>
        <w:bottom w:val="none" w:sz="0" w:space="0" w:color="auto"/>
        <w:right w:val="none" w:sz="0" w:space="0" w:color="auto"/>
      </w:divBdr>
    </w:div>
    <w:div w:id="1589314062">
      <w:bodyDiv w:val="1"/>
      <w:marLeft w:val="0"/>
      <w:marRight w:val="0"/>
      <w:marTop w:val="0"/>
      <w:marBottom w:val="0"/>
      <w:divBdr>
        <w:top w:val="none" w:sz="0" w:space="0" w:color="auto"/>
        <w:left w:val="none" w:sz="0" w:space="0" w:color="auto"/>
        <w:bottom w:val="none" w:sz="0" w:space="0" w:color="auto"/>
        <w:right w:val="none" w:sz="0" w:space="0" w:color="auto"/>
      </w:divBdr>
    </w:div>
    <w:div w:id="1611233623">
      <w:bodyDiv w:val="1"/>
      <w:marLeft w:val="0"/>
      <w:marRight w:val="0"/>
      <w:marTop w:val="0"/>
      <w:marBottom w:val="0"/>
      <w:divBdr>
        <w:top w:val="none" w:sz="0" w:space="0" w:color="auto"/>
        <w:left w:val="none" w:sz="0" w:space="0" w:color="auto"/>
        <w:bottom w:val="none" w:sz="0" w:space="0" w:color="auto"/>
        <w:right w:val="none" w:sz="0" w:space="0" w:color="auto"/>
      </w:divBdr>
    </w:div>
    <w:div w:id="1964652448">
      <w:bodyDiv w:val="1"/>
      <w:marLeft w:val="0"/>
      <w:marRight w:val="0"/>
      <w:marTop w:val="0"/>
      <w:marBottom w:val="0"/>
      <w:divBdr>
        <w:top w:val="none" w:sz="0" w:space="0" w:color="auto"/>
        <w:left w:val="none" w:sz="0" w:space="0" w:color="auto"/>
        <w:bottom w:val="none" w:sz="0" w:space="0" w:color="auto"/>
        <w:right w:val="none" w:sz="0" w:space="0" w:color="auto"/>
      </w:divBdr>
    </w:div>
    <w:div w:id="1974212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academy.nordicsemi.com/topic/phy-mode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6</Pages>
  <Words>1234</Words>
  <Characters>7034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Jaydeepsinh Rathod</cp:lastModifiedBy>
  <cp:revision>69</cp:revision>
  <dcterms:created xsi:type="dcterms:W3CDTF">2026-04-17T06:29:00Z</dcterms:created>
  <dcterms:modified xsi:type="dcterms:W3CDTF">2026-04-22T10:42:00Z</dcterms:modified>
</cp:coreProperties>
</file>