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4riqyweel9q" w:id="0"/>
      <w:bookmarkEnd w:id="0"/>
      <w:r w:rsidDel="00000000" w:rsidR="00000000" w:rsidRPr="00000000">
        <w:rPr>
          <w:rtl w:val="0"/>
        </w:rPr>
        <w:t xml:space="preserve">Lab 02: FMX Platform Services Lab Exercise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your lab from earlier, add Clipboard support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look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http://embt.co/PlatformServices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FMX.Platform &amp; FMX.Clipboard to your uses clause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clipboard via Platform Services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uses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FMX.Platform, FMX.Clipboard;</w:t>
              <w:br w:type="textWrapping"/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procedure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 TFormFMXLab2.Button2Click</w:t>
            </w:r>
            <w:r w:rsidDel="00000000" w:rsidR="00000000" w:rsidRPr="00000000">
              <w:rPr>
                <w:rFonts w:ascii="Roboto Mono" w:cs="Roboto Mono" w:eastAsia="Roboto Mono" w:hAnsi="Roboto Mono"/>
                <w:color w:val="5c2699"/>
                <w:sz w:val="26"/>
                <w:szCs w:val="26"/>
                <w:rtl w:val="0"/>
              </w:rPr>
              <w:t xml:space="preserve">(Sender: TObject)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ClipboardService: IFMXExtendedClipboardService;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begin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t xml:space="preserve"> TPlatformServices.Current.SupportsPlatformService(</w:t>
              <w:br w:type="textWrapping"/>
              <w:tab/>
              <w:t xml:space="preserve">IFMXExtendedClipboardService, ClipboardService)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begin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t xml:space="preserve"> ClipboardService.HasText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then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br w:type="textWrapping"/>
              <w:t xml:space="preserve">      ListBox1.Items.Add(ClipboardService.GetText);</w:t>
              <w:br w:type="textWrapping"/>
              <w:t xml:space="preserve">    ClipboardService.SetText(</w:t>
            </w:r>
            <w:r w:rsidDel="00000000" w:rsidR="00000000" w:rsidRPr="00000000">
              <w:rPr>
                <w:rFonts w:ascii="Roboto Mono" w:cs="Roboto Mono" w:eastAsia="Roboto Mono" w:hAnsi="Roboto Mono"/>
                <w:color w:val="c41a16"/>
                <w:sz w:val="26"/>
                <w:szCs w:val="26"/>
                <w:rtl w:val="0"/>
              </w:rPr>
              <w:t xml:space="preserve">'Hello FireMonkey'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end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aa0d91"/>
                <w:sz w:val="26"/>
                <w:szCs w:val="26"/>
                <w:rtl w:val="0"/>
              </w:rPr>
              <w:t xml:space="preserve">end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0.0" w:type="pct"/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A">
          <w:pPr>
            <w:spacing w:line="240" w:lineRule="auto"/>
            <w:rPr>
              <w:sz w:val="18"/>
              <w:szCs w:val="18"/>
            </w:rPr>
          </w:pPr>
          <w:hyperlink r:id="rId1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Latest version online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Lab 02 - Page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C">
          <w:pPr>
            <w:widowControl w:val="0"/>
            <w:spacing w:line="240" w:lineRule="auto"/>
            <w:jc w:val="right"/>
            <w:rPr>
              <w:sz w:val="18"/>
              <w:szCs w:val="18"/>
            </w:rPr>
          </w:pPr>
          <w:hyperlink r:id="rId2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Full course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mbt.co/PlatformServices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TyXqPBEDi0Xz5plJWUKgKMkxIhLDgN97lyrO0IK__wHEYA9dmEsTJqQ4yAcR3VnhysgaftFifl4CEg/pub" TargetMode="External"/><Relationship Id="rId2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